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oter3.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2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2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2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2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EAFE8C" w14:textId="77777777" w:rsidR="00ED5F6C" w:rsidRPr="00955183" w:rsidRDefault="000E75C1" w:rsidP="00955183">
      <w:pPr>
        <w:jc w:val="center"/>
        <w:rPr>
          <w:b/>
          <w:sz w:val="28"/>
          <w:szCs w:val="28"/>
        </w:rPr>
      </w:pPr>
      <w:r w:rsidRPr="00955183">
        <w:rPr>
          <w:b/>
          <w:sz w:val="28"/>
          <w:szCs w:val="28"/>
        </w:rPr>
        <w:t>Evaluation of Traits Associated with Breeding for Improved Biomass and Ethanol Yield in S</w:t>
      </w:r>
      <w:r w:rsidR="00ED5F6C" w:rsidRPr="00955183">
        <w:rPr>
          <w:b/>
          <w:sz w:val="28"/>
          <w:szCs w:val="28"/>
        </w:rPr>
        <w:t>witchgrass</w:t>
      </w:r>
    </w:p>
    <w:p w14:paraId="5D33EDD1" w14:textId="77777777" w:rsidR="00C30304" w:rsidRDefault="00C30304">
      <w:pPr>
        <w:jc w:val="center"/>
        <w:rPr>
          <w:b/>
          <w:bCs/>
          <w:sz w:val="28"/>
        </w:rPr>
      </w:pPr>
    </w:p>
    <w:p w14:paraId="2C37442B" w14:textId="77777777" w:rsidR="00C30304" w:rsidRDefault="00C30304">
      <w:pPr>
        <w:jc w:val="center"/>
        <w:rPr>
          <w:b/>
          <w:bCs/>
          <w:sz w:val="28"/>
        </w:rPr>
      </w:pPr>
    </w:p>
    <w:p w14:paraId="5F3EE5E8" w14:textId="77777777" w:rsidR="004C7D65" w:rsidRDefault="004C7D65">
      <w:pPr>
        <w:jc w:val="center"/>
        <w:rPr>
          <w:b/>
          <w:bCs/>
          <w:sz w:val="28"/>
        </w:rPr>
      </w:pPr>
    </w:p>
    <w:p w14:paraId="0B06EFA5" w14:textId="77777777" w:rsidR="00C30304" w:rsidRDefault="00C30304">
      <w:pPr>
        <w:jc w:val="center"/>
        <w:rPr>
          <w:b/>
          <w:bCs/>
          <w:sz w:val="28"/>
        </w:rPr>
      </w:pPr>
    </w:p>
    <w:p w14:paraId="242431CF" w14:textId="77777777" w:rsidR="004C7D65" w:rsidRDefault="004C7D65">
      <w:pPr>
        <w:jc w:val="center"/>
        <w:rPr>
          <w:b/>
          <w:bCs/>
          <w:sz w:val="28"/>
        </w:rPr>
      </w:pPr>
    </w:p>
    <w:p w14:paraId="1B9793C4" w14:textId="195EE81A" w:rsidR="00C30304" w:rsidRPr="00955183" w:rsidRDefault="00C30304" w:rsidP="00955183">
      <w:pPr>
        <w:jc w:val="center"/>
        <w:rPr>
          <w:b/>
          <w:sz w:val="28"/>
          <w:szCs w:val="28"/>
        </w:rPr>
      </w:pPr>
      <w:r w:rsidRPr="00955183">
        <w:rPr>
          <w:b/>
          <w:sz w:val="28"/>
          <w:szCs w:val="28"/>
        </w:rPr>
        <w:t>A Dissertation Presented for the</w:t>
      </w:r>
    </w:p>
    <w:p w14:paraId="210C7735" w14:textId="68FAEA36" w:rsidR="00C30304" w:rsidRPr="00955183" w:rsidRDefault="00C30304" w:rsidP="00955183">
      <w:pPr>
        <w:jc w:val="center"/>
        <w:rPr>
          <w:b/>
          <w:sz w:val="28"/>
          <w:szCs w:val="28"/>
        </w:rPr>
      </w:pPr>
      <w:r w:rsidRPr="00955183">
        <w:rPr>
          <w:b/>
          <w:sz w:val="28"/>
          <w:szCs w:val="28"/>
        </w:rPr>
        <w:t>Doctor of Philosophy</w:t>
      </w:r>
    </w:p>
    <w:p w14:paraId="7645FE26" w14:textId="77777777" w:rsidR="00C30304" w:rsidRPr="00955183" w:rsidRDefault="00C30304" w:rsidP="00955183">
      <w:pPr>
        <w:jc w:val="center"/>
        <w:rPr>
          <w:b/>
          <w:sz w:val="28"/>
          <w:szCs w:val="28"/>
        </w:rPr>
      </w:pPr>
      <w:r w:rsidRPr="00955183">
        <w:rPr>
          <w:b/>
          <w:sz w:val="28"/>
          <w:szCs w:val="28"/>
        </w:rPr>
        <w:t>Degree</w:t>
      </w:r>
    </w:p>
    <w:p w14:paraId="7633E619" w14:textId="77777777" w:rsidR="00C30304" w:rsidRPr="00955183" w:rsidRDefault="00C30304" w:rsidP="00955183">
      <w:pPr>
        <w:jc w:val="center"/>
        <w:rPr>
          <w:b/>
          <w:sz w:val="28"/>
          <w:szCs w:val="28"/>
        </w:rPr>
      </w:pPr>
      <w:r w:rsidRPr="00955183">
        <w:rPr>
          <w:b/>
          <w:sz w:val="28"/>
          <w:szCs w:val="28"/>
        </w:rPr>
        <w:t>The University of Tennessee, Knoxville</w:t>
      </w:r>
    </w:p>
    <w:p w14:paraId="400F354F" w14:textId="77777777" w:rsidR="00C30304" w:rsidRPr="00955183" w:rsidRDefault="00C30304" w:rsidP="00955183">
      <w:pPr>
        <w:jc w:val="center"/>
        <w:rPr>
          <w:b/>
          <w:bCs/>
          <w:sz w:val="28"/>
          <w:szCs w:val="28"/>
        </w:rPr>
      </w:pPr>
    </w:p>
    <w:p w14:paraId="227CE4A7" w14:textId="77777777" w:rsidR="00C30304" w:rsidRPr="00955183" w:rsidRDefault="00C30304" w:rsidP="00955183">
      <w:pPr>
        <w:jc w:val="center"/>
        <w:rPr>
          <w:b/>
          <w:bCs/>
          <w:sz w:val="28"/>
          <w:szCs w:val="28"/>
        </w:rPr>
      </w:pPr>
    </w:p>
    <w:p w14:paraId="2C5CA30D" w14:textId="77777777" w:rsidR="00C30304" w:rsidRPr="00955183" w:rsidRDefault="00C30304" w:rsidP="00955183">
      <w:pPr>
        <w:jc w:val="center"/>
        <w:rPr>
          <w:b/>
          <w:bCs/>
          <w:sz w:val="28"/>
          <w:szCs w:val="28"/>
        </w:rPr>
      </w:pPr>
    </w:p>
    <w:p w14:paraId="78E7EF07" w14:textId="77777777" w:rsidR="00C30304" w:rsidRPr="00955183" w:rsidRDefault="00C30304" w:rsidP="00955183">
      <w:pPr>
        <w:jc w:val="center"/>
        <w:rPr>
          <w:b/>
          <w:bCs/>
          <w:sz w:val="28"/>
          <w:szCs w:val="28"/>
        </w:rPr>
      </w:pPr>
    </w:p>
    <w:p w14:paraId="74C9E06B" w14:textId="77777777" w:rsidR="00C30304" w:rsidRPr="00955183" w:rsidRDefault="00C30304" w:rsidP="00955183">
      <w:pPr>
        <w:jc w:val="center"/>
        <w:rPr>
          <w:b/>
          <w:bCs/>
          <w:sz w:val="28"/>
          <w:szCs w:val="28"/>
        </w:rPr>
      </w:pPr>
    </w:p>
    <w:p w14:paraId="7FB352E4" w14:textId="77777777" w:rsidR="00C30304" w:rsidRPr="00955183" w:rsidRDefault="00ED5F6C" w:rsidP="00955183">
      <w:pPr>
        <w:jc w:val="center"/>
        <w:rPr>
          <w:b/>
          <w:sz w:val="28"/>
          <w:szCs w:val="28"/>
        </w:rPr>
      </w:pPr>
      <w:r w:rsidRPr="00955183">
        <w:rPr>
          <w:b/>
          <w:sz w:val="28"/>
          <w:szCs w:val="28"/>
        </w:rPr>
        <w:t>Virginia R</w:t>
      </w:r>
      <w:r w:rsidR="00CE44F9" w:rsidRPr="00955183">
        <w:rPr>
          <w:b/>
          <w:sz w:val="28"/>
          <w:szCs w:val="28"/>
        </w:rPr>
        <w:t>oseanna</w:t>
      </w:r>
      <w:r w:rsidRPr="00955183">
        <w:rPr>
          <w:b/>
          <w:sz w:val="28"/>
          <w:szCs w:val="28"/>
        </w:rPr>
        <w:t xml:space="preserve"> Sykes</w:t>
      </w:r>
    </w:p>
    <w:p w14:paraId="1D7FF5EF" w14:textId="77777777" w:rsidR="00C30304" w:rsidRPr="00955183" w:rsidRDefault="00ED5F6C" w:rsidP="00955183">
      <w:pPr>
        <w:jc w:val="center"/>
        <w:rPr>
          <w:b/>
          <w:sz w:val="28"/>
          <w:szCs w:val="28"/>
        </w:rPr>
      </w:pPr>
      <w:r w:rsidRPr="00955183">
        <w:rPr>
          <w:b/>
          <w:sz w:val="28"/>
          <w:szCs w:val="28"/>
        </w:rPr>
        <w:t>December</w:t>
      </w:r>
      <w:r w:rsidR="001C48D6" w:rsidRPr="00955183">
        <w:rPr>
          <w:b/>
          <w:sz w:val="28"/>
          <w:szCs w:val="28"/>
        </w:rPr>
        <w:t xml:space="preserve"> </w:t>
      </w:r>
      <w:r w:rsidR="00C30304" w:rsidRPr="00955183">
        <w:rPr>
          <w:b/>
          <w:sz w:val="28"/>
          <w:szCs w:val="28"/>
        </w:rPr>
        <w:t>20</w:t>
      </w:r>
      <w:r w:rsidR="001C48D6" w:rsidRPr="00955183">
        <w:rPr>
          <w:b/>
          <w:sz w:val="28"/>
          <w:szCs w:val="28"/>
        </w:rPr>
        <w:t>1</w:t>
      </w:r>
      <w:r w:rsidRPr="00955183">
        <w:rPr>
          <w:b/>
          <w:sz w:val="28"/>
          <w:szCs w:val="28"/>
        </w:rPr>
        <w:t>4</w:t>
      </w:r>
    </w:p>
    <w:p w14:paraId="510A841A" w14:textId="77777777" w:rsidR="00DD7B6E" w:rsidRDefault="00DD7B6E" w:rsidP="00CD6BB4">
      <w:pPr>
        <w:rPr>
          <w:b/>
          <w:bCs/>
          <w:sz w:val="28"/>
          <w:szCs w:val="28"/>
        </w:rPr>
        <w:sectPr w:rsidR="00DD7B6E" w:rsidSect="00794998">
          <w:headerReference w:type="default" r:id="rId8"/>
          <w:footerReference w:type="even" r:id="rId9"/>
          <w:pgSz w:w="12240" w:h="15840" w:code="1"/>
          <w:pgMar w:top="1440" w:right="1440" w:bottom="1872" w:left="1440" w:header="720" w:footer="720" w:gutter="0"/>
          <w:pgNumType w:start="1"/>
          <w:cols w:space="720"/>
          <w:docGrid w:linePitch="360"/>
        </w:sectPr>
      </w:pPr>
    </w:p>
    <w:p w14:paraId="1B7AAEB7" w14:textId="77777777" w:rsidR="00C30304" w:rsidRDefault="00C30304" w:rsidP="00CD6BB4">
      <w:pPr>
        <w:rPr>
          <w:bCs/>
        </w:rPr>
      </w:pPr>
      <w:r>
        <w:rPr>
          <w:bCs/>
        </w:rPr>
        <w:lastRenderedPageBreak/>
        <w:t>Copyright © 20</w:t>
      </w:r>
      <w:r w:rsidR="001C48D6">
        <w:rPr>
          <w:bCs/>
        </w:rPr>
        <w:t>1</w:t>
      </w:r>
      <w:r w:rsidR="00CD6BB4">
        <w:rPr>
          <w:bCs/>
        </w:rPr>
        <w:t>4</w:t>
      </w:r>
      <w:r>
        <w:rPr>
          <w:bCs/>
        </w:rPr>
        <w:t xml:space="preserve"> by </w:t>
      </w:r>
      <w:r w:rsidR="00CD6BB4">
        <w:rPr>
          <w:bCs/>
        </w:rPr>
        <w:t>Virginia Roseanna Sykes</w:t>
      </w:r>
    </w:p>
    <w:p w14:paraId="4C8D7114" w14:textId="77777777" w:rsidR="00C30304" w:rsidRDefault="00C30304" w:rsidP="00CD6BB4">
      <w:pPr>
        <w:rPr>
          <w:bCs/>
        </w:rPr>
      </w:pPr>
      <w:r>
        <w:rPr>
          <w:bCs/>
        </w:rPr>
        <w:t xml:space="preserve">All rights reserved. </w:t>
      </w:r>
    </w:p>
    <w:p w14:paraId="6937FADC" w14:textId="77777777" w:rsidR="00CD6BB4" w:rsidRDefault="00CD6BB4" w:rsidP="00CD6BB4">
      <w:pPr>
        <w:rPr>
          <w:bCs/>
        </w:rPr>
      </w:pPr>
    </w:p>
    <w:p w14:paraId="239FA7A9" w14:textId="77777777" w:rsidR="00CD6BB4" w:rsidRDefault="00CD6BB4" w:rsidP="00CD6BB4">
      <w:pPr>
        <w:rPr>
          <w:bCs/>
        </w:rPr>
      </w:pPr>
    </w:p>
    <w:p w14:paraId="3EEFBACA" w14:textId="77777777" w:rsidR="00CD6BB4" w:rsidRDefault="00CD6BB4" w:rsidP="00CD6BB4">
      <w:pPr>
        <w:rPr>
          <w:bCs/>
        </w:rPr>
      </w:pPr>
    </w:p>
    <w:p w14:paraId="0DDD9A4C" w14:textId="77777777" w:rsidR="00CD6BB4" w:rsidRDefault="00CD6BB4" w:rsidP="00CD6BB4">
      <w:pPr>
        <w:rPr>
          <w:bCs/>
        </w:rPr>
      </w:pPr>
    </w:p>
    <w:p w14:paraId="097510F5" w14:textId="77777777" w:rsidR="00CD6BB4" w:rsidRDefault="00CD6BB4" w:rsidP="00CD6BB4">
      <w:pPr>
        <w:rPr>
          <w:bCs/>
        </w:rPr>
      </w:pPr>
    </w:p>
    <w:p w14:paraId="6B183515" w14:textId="77777777" w:rsidR="00CD6BB4" w:rsidRDefault="00CD6BB4" w:rsidP="00CD6BB4">
      <w:pPr>
        <w:rPr>
          <w:bCs/>
        </w:rPr>
      </w:pPr>
    </w:p>
    <w:p w14:paraId="1AB95BAB" w14:textId="77777777" w:rsidR="00CD6BB4" w:rsidRDefault="00CD6BB4" w:rsidP="00CD6BB4">
      <w:pPr>
        <w:rPr>
          <w:bCs/>
        </w:rPr>
      </w:pPr>
    </w:p>
    <w:p w14:paraId="53FE7E78" w14:textId="77777777" w:rsidR="00CD6BB4" w:rsidRDefault="00CD6BB4" w:rsidP="00CD6BB4">
      <w:pPr>
        <w:rPr>
          <w:bCs/>
        </w:rPr>
      </w:pPr>
    </w:p>
    <w:p w14:paraId="6546A925" w14:textId="77777777" w:rsidR="00CD6BB4" w:rsidRDefault="00CD6BB4" w:rsidP="00CD6BB4">
      <w:pPr>
        <w:rPr>
          <w:bCs/>
        </w:rPr>
      </w:pPr>
    </w:p>
    <w:p w14:paraId="62D3CB54" w14:textId="77777777" w:rsidR="00CD6BB4" w:rsidRDefault="00CD6BB4" w:rsidP="00CD6BB4">
      <w:pPr>
        <w:rPr>
          <w:bCs/>
        </w:rPr>
      </w:pPr>
    </w:p>
    <w:p w14:paraId="722C3C04" w14:textId="77777777" w:rsidR="00CD6BB4" w:rsidRDefault="00CD6BB4" w:rsidP="00CD6BB4">
      <w:pPr>
        <w:rPr>
          <w:bCs/>
        </w:rPr>
      </w:pPr>
    </w:p>
    <w:p w14:paraId="260751E0" w14:textId="77777777" w:rsidR="00CD6BB4" w:rsidRDefault="00CD6BB4" w:rsidP="00CD6BB4">
      <w:pPr>
        <w:rPr>
          <w:bCs/>
        </w:rPr>
      </w:pPr>
    </w:p>
    <w:p w14:paraId="01DCD1ED" w14:textId="77777777" w:rsidR="00CD6BB4" w:rsidRDefault="00CD6BB4" w:rsidP="00CD6BB4">
      <w:pPr>
        <w:rPr>
          <w:bCs/>
        </w:rPr>
      </w:pPr>
    </w:p>
    <w:p w14:paraId="0F6E1285" w14:textId="77777777" w:rsidR="00CD6BB4" w:rsidRDefault="00CD6BB4" w:rsidP="00CD6BB4">
      <w:pPr>
        <w:rPr>
          <w:bCs/>
        </w:rPr>
      </w:pPr>
    </w:p>
    <w:p w14:paraId="0CC92C3F" w14:textId="77777777" w:rsidR="00CD6BB4" w:rsidRDefault="00CD6BB4" w:rsidP="00CD6BB4">
      <w:pPr>
        <w:rPr>
          <w:bCs/>
        </w:rPr>
      </w:pPr>
    </w:p>
    <w:p w14:paraId="1CB332A6" w14:textId="77777777" w:rsidR="00C30304" w:rsidRDefault="00C30304">
      <w:pPr>
        <w:jc w:val="center"/>
        <w:rPr>
          <w:b/>
          <w:bCs/>
          <w:sz w:val="28"/>
          <w:szCs w:val="28"/>
        </w:rPr>
      </w:pPr>
    </w:p>
    <w:p w14:paraId="21AAC1E7" w14:textId="77777777" w:rsidR="00C30304" w:rsidRDefault="00C30304">
      <w:pPr>
        <w:jc w:val="center"/>
        <w:rPr>
          <w:b/>
          <w:bCs/>
          <w:sz w:val="28"/>
          <w:szCs w:val="28"/>
        </w:rPr>
      </w:pPr>
    </w:p>
    <w:p w14:paraId="2EDD8C37" w14:textId="77777777" w:rsidR="00C30304" w:rsidRDefault="00C30304" w:rsidP="004C7D65">
      <w:pPr>
        <w:rPr>
          <w:b/>
          <w:bCs/>
          <w:sz w:val="28"/>
          <w:szCs w:val="28"/>
        </w:rPr>
      </w:pPr>
    </w:p>
    <w:p w14:paraId="0458F6E5" w14:textId="77777777" w:rsidR="004C7D65" w:rsidRDefault="004C7D65" w:rsidP="004C7D65">
      <w:pPr>
        <w:rPr>
          <w:b/>
          <w:bCs/>
          <w:sz w:val="28"/>
          <w:szCs w:val="28"/>
        </w:rPr>
      </w:pPr>
    </w:p>
    <w:p w14:paraId="64046BA8" w14:textId="77777777" w:rsidR="00896D00" w:rsidRDefault="00896D00">
      <w:pPr>
        <w:spacing w:line="240" w:lineRule="auto"/>
        <w:rPr>
          <w:b/>
          <w:bCs/>
          <w:sz w:val="28"/>
          <w:szCs w:val="28"/>
        </w:rPr>
      </w:pPr>
      <w:r>
        <w:rPr>
          <w:b/>
          <w:bCs/>
          <w:sz w:val="28"/>
          <w:szCs w:val="28"/>
        </w:rPr>
        <w:br w:type="page"/>
      </w:r>
    </w:p>
    <w:p w14:paraId="18A2FC47" w14:textId="77777777" w:rsidR="00813803" w:rsidRDefault="004C7D65" w:rsidP="00813803">
      <w:pPr>
        <w:tabs>
          <w:tab w:val="left" w:pos="-1440"/>
        </w:tabs>
        <w:jc w:val="center"/>
        <w:rPr>
          <w:b/>
          <w:bCs/>
          <w:sz w:val="28"/>
          <w:szCs w:val="28"/>
        </w:rPr>
      </w:pPr>
      <w:r>
        <w:rPr>
          <w:b/>
          <w:bCs/>
          <w:sz w:val="28"/>
          <w:szCs w:val="28"/>
        </w:rPr>
        <w:lastRenderedPageBreak/>
        <w:t>DEDICATION</w:t>
      </w:r>
    </w:p>
    <w:p w14:paraId="3FB4E704" w14:textId="4DD7BBA7" w:rsidR="00813803" w:rsidRDefault="00813803" w:rsidP="00813803">
      <w:pPr>
        <w:tabs>
          <w:tab w:val="left" w:pos="720"/>
        </w:tabs>
        <w:ind w:firstLine="720"/>
      </w:pPr>
      <w:r>
        <w:t xml:space="preserve">This </w:t>
      </w:r>
      <w:r w:rsidR="00CD6BB4">
        <w:t>dissertation</w:t>
      </w:r>
      <w:r>
        <w:t xml:space="preserve"> is dedicated to </w:t>
      </w:r>
      <w:r w:rsidR="00CD6BB4">
        <w:t>my husband</w:t>
      </w:r>
      <w:r w:rsidR="00502273">
        <w:t>,</w:t>
      </w:r>
      <w:r w:rsidR="00CD6BB4">
        <w:t xml:space="preserve"> Mike, who </w:t>
      </w:r>
      <w:r w:rsidR="00502273">
        <w:t>has</w:t>
      </w:r>
      <w:r w:rsidR="00CD6BB4">
        <w:t xml:space="preserve"> seen me through </w:t>
      </w:r>
      <w:r w:rsidR="00954DB7">
        <w:t>eight</w:t>
      </w:r>
      <w:r w:rsidR="003441CF">
        <w:t xml:space="preserve"> years in grad school, including two M</w:t>
      </w:r>
      <w:r w:rsidR="006F7A2F">
        <w:t>.</w:t>
      </w:r>
      <w:r w:rsidR="00011D04">
        <w:t>S</w:t>
      </w:r>
      <w:r w:rsidR="006F7A2F">
        <w:t>.</w:t>
      </w:r>
      <w:r w:rsidR="003441CF">
        <w:t xml:space="preserve"> degrees and one Ph</w:t>
      </w:r>
      <w:r w:rsidR="006F7A2F">
        <w:t>.</w:t>
      </w:r>
      <w:r w:rsidR="003441CF">
        <w:t>D. He has patiently helped me water plants on weekends, pull</w:t>
      </w:r>
      <w:r w:rsidR="00502273">
        <w:t>ed</w:t>
      </w:r>
      <w:r w:rsidR="003441CF">
        <w:t xml:space="preserve"> senescing grass tissue out of pots late into the night, listened to me practice countless talks for seminars and conferences, and </w:t>
      </w:r>
      <w:r w:rsidR="0098676B">
        <w:t>kept me from starving as</w:t>
      </w:r>
      <w:r w:rsidR="003441CF">
        <w:t xml:space="preserve"> a I studied for prelims, </w:t>
      </w:r>
      <w:r w:rsidR="0098676B">
        <w:t xml:space="preserve">yelled at SAS, </w:t>
      </w:r>
      <w:r w:rsidR="003441CF">
        <w:t xml:space="preserve">made endless </w:t>
      </w:r>
      <w:r w:rsidR="0098676B">
        <w:t xml:space="preserve">tables and </w:t>
      </w:r>
      <w:r w:rsidR="003441CF">
        <w:t>graphs, and wrote for hours at a time.</w:t>
      </w:r>
      <w:r w:rsidR="001517FF">
        <w:t xml:space="preserve"> Thank you for your patience, support, and love</w:t>
      </w:r>
      <w:r w:rsidR="00954DB7">
        <w:t xml:space="preserve">. </w:t>
      </w:r>
      <w:r w:rsidR="003441CF">
        <w:t xml:space="preserve"> </w:t>
      </w:r>
    </w:p>
    <w:p w14:paraId="1A0F5946" w14:textId="77777777" w:rsidR="004C7D65" w:rsidRDefault="004C7D65">
      <w:pPr>
        <w:spacing w:line="240" w:lineRule="auto"/>
        <w:rPr>
          <w:b/>
          <w:bCs/>
          <w:sz w:val="28"/>
          <w:szCs w:val="28"/>
        </w:rPr>
      </w:pPr>
      <w:r>
        <w:rPr>
          <w:b/>
          <w:bCs/>
          <w:sz w:val="28"/>
          <w:szCs w:val="28"/>
        </w:rPr>
        <w:br w:type="page"/>
      </w:r>
    </w:p>
    <w:p w14:paraId="59E09D95" w14:textId="77777777" w:rsidR="00376CC7" w:rsidRDefault="004C7D65" w:rsidP="00DD5AC5">
      <w:pPr>
        <w:pStyle w:val="Title"/>
      </w:pPr>
      <w:r>
        <w:lastRenderedPageBreak/>
        <w:t>ACKNOWLEDGMENTS</w:t>
      </w:r>
    </w:p>
    <w:p w14:paraId="190A3E17" w14:textId="77777777" w:rsidR="00376CC7" w:rsidRDefault="00376CC7" w:rsidP="00376CC7">
      <w:pPr>
        <w:tabs>
          <w:tab w:val="left" w:pos="391"/>
        </w:tabs>
      </w:pPr>
      <w:r>
        <w:t>I express my appreciation to the following:</w:t>
      </w:r>
    </w:p>
    <w:p w14:paraId="38FCAD7B" w14:textId="002F540B" w:rsidR="00376CC7" w:rsidRDefault="00376CC7" w:rsidP="00376CC7">
      <w:pPr>
        <w:tabs>
          <w:tab w:val="left" w:pos="720"/>
        </w:tabs>
        <w:ind w:firstLine="720"/>
      </w:pPr>
      <w:r>
        <w:t>To my parents</w:t>
      </w:r>
      <w:r w:rsidR="0098676B">
        <w:t>,</w:t>
      </w:r>
      <w:r>
        <w:t xml:space="preserve"> </w:t>
      </w:r>
      <w:r w:rsidR="0098676B">
        <w:t>Ginger Williams and Ben Sykes,</w:t>
      </w:r>
      <w:r w:rsidR="00954DB7">
        <w:t xml:space="preserve"> and to my grand</w:t>
      </w:r>
      <w:r w:rsidR="00472BD4">
        <w:t xml:space="preserve">mother, Emily Williams, </w:t>
      </w:r>
      <w:r>
        <w:t xml:space="preserve">for their love and </w:t>
      </w:r>
      <w:r w:rsidR="00EC28CD">
        <w:t>support</w:t>
      </w:r>
      <w:r>
        <w:t>.</w:t>
      </w:r>
    </w:p>
    <w:p w14:paraId="50981934" w14:textId="7D3EE176" w:rsidR="00376CC7" w:rsidRDefault="00376CC7" w:rsidP="00376CC7">
      <w:pPr>
        <w:tabs>
          <w:tab w:val="left" w:pos="720"/>
        </w:tabs>
        <w:ind w:firstLine="720"/>
      </w:pPr>
      <w:r>
        <w:t>To my major professor, Dr. Fred Allen</w:t>
      </w:r>
      <w:r w:rsidR="0098676B">
        <w:t>,</w:t>
      </w:r>
      <w:r>
        <w:t xml:space="preserve"> for </w:t>
      </w:r>
      <w:r w:rsidR="0098676B">
        <w:t xml:space="preserve">giving me the opportunity to participate in the </w:t>
      </w:r>
      <w:r w:rsidR="00502273">
        <w:t xml:space="preserve">state </w:t>
      </w:r>
      <w:r w:rsidR="0098676B">
        <w:t>variety trials program, both as a graduate stud</w:t>
      </w:r>
      <w:r w:rsidR="00502273">
        <w:t xml:space="preserve">ent and as a research associate, </w:t>
      </w:r>
      <w:r w:rsidR="006F7A2F">
        <w:t xml:space="preserve">and </w:t>
      </w:r>
      <w:r w:rsidR="00502273">
        <w:t xml:space="preserve">for </w:t>
      </w:r>
      <w:r w:rsidR="00954DB7">
        <w:t>his</w:t>
      </w:r>
      <w:r w:rsidR="001517FF">
        <w:t xml:space="preserve"> many hours of encouragement and assistance in planning and </w:t>
      </w:r>
      <w:r w:rsidR="006F7A2F">
        <w:t xml:space="preserve">executing this research, </w:t>
      </w:r>
      <w:r w:rsidR="00041E33">
        <w:t>reviewing this manuscript, and teaching me more than I ever thought I would know about agronomic crops.</w:t>
      </w:r>
    </w:p>
    <w:p w14:paraId="760BD1B4" w14:textId="259C356D" w:rsidR="00376CC7" w:rsidRDefault="00376CC7" w:rsidP="00376CC7">
      <w:pPr>
        <w:tabs>
          <w:tab w:val="left" w:pos="720"/>
        </w:tabs>
        <w:ind w:firstLine="720"/>
      </w:pPr>
      <w:r>
        <w:t xml:space="preserve">To the members of my graduate committee, </w:t>
      </w:r>
      <w:r w:rsidR="0098676B">
        <w:t xml:space="preserve">Dr. Arnold Saxton, Dr. Dennis West, Dr. Hem Bhandari, Dr. Mark Windham, and Dr. Robert </w:t>
      </w:r>
      <w:proofErr w:type="spellStart"/>
      <w:r w:rsidR="0098676B">
        <w:t>Mee</w:t>
      </w:r>
      <w:proofErr w:type="spellEnd"/>
      <w:r w:rsidR="0098676B">
        <w:t xml:space="preserve">, </w:t>
      </w:r>
      <w:r>
        <w:t xml:space="preserve">for their many hours of </w:t>
      </w:r>
      <w:r w:rsidR="00041E33">
        <w:t xml:space="preserve">assistance in </w:t>
      </w:r>
      <w:r>
        <w:t xml:space="preserve">analyzing this research and </w:t>
      </w:r>
      <w:r w:rsidR="006F7A2F">
        <w:t xml:space="preserve">in </w:t>
      </w:r>
      <w:r>
        <w:t>reviewing this manuscript.</w:t>
      </w:r>
    </w:p>
    <w:p w14:paraId="3E78E339" w14:textId="75BFF9F4" w:rsidR="00376CC7" w:rsidRDefault="00376CC7" w:rsidP="00376CC7">
      <w:pPr>
        <w:tabs>
          <w:tab w:val="left" w:pos="720"/>
        </w:tabs>
        <w:ind w:firstLine="720"/>
      </w:pPr>
      <w:r>
        <w:t xml:space="preserve">To </w:t>
      </w:r>
      <w:r w:rsidR="006A59F3">
        <w:t>Richar</w:t>
      </w:r>
      <w:r w:rsidR="00472BD4">
        <w:t>d</w:t>
      </w:r>
      <w:r w:rsidR="006A59F3">
        <w:t xml:space="preserve"> Johnson, </w:t>
      </w:r>
      <w:proofErr w:type="spellStart"/>
      <w:r w:rsidR="003441CF">
        <w:t>Eifion</w:t>
      </w:r>
      <w:proofErr w:type="spellEnd"/>
      <w:r w:rsidR="003441CF">
        <w:t xml:space="preserve"> Hughes, Ali DeSantis, Matthew </w:t>
      </w:r>
      <w:proofErr w:type="spellStart"/>
      <w:r w:rsidR="003441CF">
        <w:t>Bobbit</w:t>
      </w:r>
      <w:proofErr w:type="spellEnd"/>
      <w:r w:rsidR="003441CF">
        <w:t>, Victor</w:t>
      </w:r>
      <w:r w:rsidR="0098676B">
        <w:t>ia Knapp,</w:t>
      </w:r>
      <w:r w:rsidR="00472BD4">
        <w:t xml:space="preserve"> Jennifer Lane,</w:t>
      </w:r>
      <w:r w:rsidR="0098676B">
        <w:t xml:space="preserve"> </w:t>
      </w:r>
      <w:r w:rsidR="006A59F3">
        <w:t xml:space="preserve">Douglas Renfro, Alex </w:t>
      </w:r>
      <w:proofErr w:type="spellStart"/>
      <w:r w:rsidR="00472BD4">
        <w:t>Bosnjak</w:t>
      </w:r>
      <w:proofErr w:type="spellEnd"/>
      <w:r w:rsidR="00472BD4">
        <w:t>, Andrea</w:t>
      </w:r>
      <w:r w:rsidR="00DD5AC5">
        <w:t xml:space="preserve"> Menendez</w:t>
      </w:r>
      <w:r w:rsidR="00472BD4">
        <w:t xml:space="preserve">, </w:t>
      </w:r>
      <w:proofErr w:type="spellStart"/>
      <w:r w:rsidR="00472BD4">
        <w:t>Karah</w:t>
      </w:r>
      <w:proofErr w:type="spellEnd"/>
      <w:r w:rsidR="00472BD4">
        <w:t xml:space="preserve"> Renfro</w:t>
      </w:r>
      <w:r w:rsidR="00502273">
        <w:t>, and Jonathan Allen</w:t>
      </w:r>
      <w:r w:rsidR="00472BD4">
        <w:t xml:space="preserve"> </w:t>
      </w:r>
      <w:r w:rsidR="00505614">
        <w:t>f</w:t>
      </w:r>
      <w:r w:rsidR="006A59F3">
        <w:t xml:space="preserve">or their friendship, </w:t>
      </w:r>
      <w:r>
        <w:t>support</w:t>
      </w:r>
      <w:r w:rsidR="006A59F3">
        <w:t>, and tolerance of all things switchgrass</w:t>
      </w:r>
      <w:r>
        <w:t>.</w:t>
      </w:r>
    </w:p>
    <w:p w14:paraId="3EB1CCDC" w14:textId="60E4E9AB" w:rsidR="006A59F3" w:rsidRDefault="006A59F3" w:rsidP="006A59F3">
      <w:pPr>
        <w:tabs>
          <w:tab w:val="left" w:pos="720"/>
        </w:tabs>
        <w:ind w:firstLine="720"/>
      </w:pPr>
      <w:r>
        <w:t>To the UT Department of Plant Sciences and the UT Agricultural Experiment Stations for the</w:t>
      </w:r>
      <w:r w:rsidR="00502273">
        <w:t>ir</w:t>
      </w:r>
      <w:r>
        <w:t xml:space="preserve"> financial support and facilities to conduct this research. </w:t>
      </w:r>
    </w:p>
    <w:p w14:paraId="460CF4E1" w14:textId="48E531D8" w:rsidR="006A59F3" w:rsidRPr="006A59F3" w:rsidRDefault="006A59F3" w:rsidP="006A59F3">
      <w:pPr>
        <w:tabs>
          <w:tab w:val="left" w:pos="720"/>
        </w:tabs>
        <w:ind w:firstLine="720"/>
      </w:pPr>
      <w:r>
        <w:t xml:space="preserve">To the farm crew, Bennie </w:t>
      </w:r>
      <w:proofErr w:type="spellStart"/>
      <w:r>
        <w:t>Nuchols</w:t>
      </w:r>
      <w:proofErr w:type="spellEnd"/>
      <w:r>
        <w:t xml:space="preserve">, Jason Guinn, </w:t>
      </w:r>
      <w:r w:rsidR="00472BD4">
        <w:t xml:space="preserve">Walt Hitch, </w:t>
      </w:r>
      <w:r>
        <w:t xml:space="preserve">Derick Hopkins, Charles </w:t>
      </w:r>
      <w:proofErr w:type="spellStart"/>
      <w:r>
        <w:t>Summey</w:t>
      </w:r>
      <w:proofErr w:type="spellEnd"/>
      <w:r>
        <w:t xml:space="preserve">, Brad Reagan, and </w:t>
      </w:r>
      <w:proofErr w:type="spellStart"/>
      <w:r>
        <w:t>Vasilj</w:t>
      </w:r>
      <w:proofErr w:type="spellEnd"/>
      <w:r>
        <w:t xml:space="preserve"> </w:t>
      </w:r>
      <w:proofErr w:type="spellStart"/>
      <w:r>
        <w:t>Bobrek</w:t>
      </w:r>
      <w:proofErr w:type="spellEnd"/>
      <w:r w:rsidR="00472BD4">
        <w:t>, t</w:t>
      </w:r>
      <w:r>
        <w:t xml:space="preserve">hank you for all your help. </w:t>
      </w:r>
      <w:r w:rsidR="00472BD4">
        <w:t>I</w:t>
      </w:r>
      <w:r>
        <w:t xml:space="preserve"> could not have</w:t>
      </w:r>
      <w:r w:rsidR="00472BD4">
        <w:t xml:space="preserve"> done it without you. I promise,</w:t>
      </w:r>
      <w:r>
        <w:t xml:space="preserve"> this really is the last year of switchgrass harvest. </w:t>
      </w:r>
    </w:p>
    <w:p w14:paraId="7A1B3739" w14:textId="77777777" w:rsidR="006A59F3" w:rsidRDefault="006A59F3" w:rsidP="00376CC7">
      <w:pPr>
        <w:tabs>
          <w:tab w:val="left" w:pos="720"/>
        </w:tabs>
        <w:ind w:firstLine="720"/>
      </w:pPr>
    </w:p>
    <w:p w14:paraId="01227D99" w14:textId="77777777" w:rsidR="004C7D65" w:rsidRDefault="0098676B">
      <w:pPr>
        <w:spacing w:line="240" w:lineRule="auto"/>
      </w:pPr>
      <w:r>
        <w:br w:type="page"/>
      </w:r>
    </w:p>
    <w:p w14:paraId="2338FBAC" w14:textId="77777777" w:rsidR="00440D7B" w:rsidRPr="00440D7B" w:rsidRDefault="004C7D65" w:rsidP="00DD5AC5">
      <w:pPr>
        <w:pStyle w:val="Title"/>
        <w:rPr>
          <w:rFonts w:cs="Times New Roman"/>
          <w:i/>
        </w:rPr>
      </w:pPr>
      <w:r>
        <w:lastRenderedPageBreak/>
        <w:t>ABSTRACT</w:t>
      </w:r>
    </w:p>
    <w:p w14:paraId="5C1BCBF4" w14:textId="744A3813" w:rsidR="00C30304" w:rsidRDefault="004620C0">
      <w:pPr>
        <w:ind w:firstLine="720"/>
      </w:pPr>
      <w:r w:rsidRPr="004A209F">
        <w:t>Switchgrass (</w:t>
      </w:r>
      <w:r w:rsidRPr="004A209F">
        <w:rPr>
          <w:i/>
        </w:rPr>
        <w:t>Panicum virgatum</w:t>
      </w:r>
      <w:r w:rsidRPr="004A209F">
        <w:t xml:space="preserve"> L.) is a perennial, warm season grass </w:t>
      </w:r>
      <w:r>
        <w:t xml:space="preserve">that can be </w:t>
      </w:r>
      <w:r w:rsidRPr="004A209F">
        <w:t xml:space="preserve">used as a biofuel. </w:t>
      </w:r>
      <w:r>
        <w:t>A greater understanding of</w:t>
      </w:r>
      <w:r w:rsidR="00C23572">
        <w:t xml:space="preserve"> the relationship of biomass yield and ethanol yield with disease susceptibility and morphological traits, estimation of the underlying genetic parameters</w:t>
      </w:r>
      <w:r w:rsidR="00CA0FF7">
        <w:t xml:space="preserve"> of</w:t>
      </w:r>
      <w:r w:rsidR="00C23572">
        <w:t xml:space="preserve"> these traits,</w:t>
      </w:r>
      <w:r>
        <w:t xml:space="preserve"> </w:t>
      </w:r>
      <w:r w:rsidR="00C23572">
        <w:t xml:space="preserve">and the efficacy of selection at different maturity and under different production conditions </w:t>
      </w:r>
      <w:r>
        <w:t>could help breeders more effec</w:t>
      </w:r>
      <w:r w:rsidR="007B34A9">
        <w:t>tively develop improved biofuel</w:t>
      </w:r>
      <w:r>
        <w:t xml:space="preserve"> switchgrass cultivars. </w:t>
      </w:r>
      <w:r w:rsidR="00CA0FF7">
        <w:t xml:space="preserve">To examine these </w:t>
      </w:r>
      <w:r w:rsidR="00011D04">
        <w:t>issues</w:t>
      </w:r>
      <w:r w:rsidR="00CA0FF7">
        <w:t>, three studies were performed</w:t>
      </w:r>
      <w:r w:rsidR="00954DB7">
        <w:t xml:space="preserve">. </w:t>
      </w:r>
      <w:r w:rsidR="00CA0FF7">
        <w:t>The first examined switchgrass leaves exhibiting low, medium, and high severity of infe</w:t>
      </w:r>
      <w:bookmarkStart w:id="0" w:name="_GoBack"/>
      <w:bookmarkEnd w:id="0"/>
      <w:r w:rsidR="00CA0FF7">
        <w:t xml:space="preserve">ction from the pathogen </w:t>
      </w:r>
      <w:r w:rsidR="00CA0FF7">
        <w:rPr>
          <w:i/>
        </w:rPr>
        <w:t xml:space="preserve">Puccinia </w:t>
      </w:r>
      <w:r w:rsidR="00CA0FF7" w:rsidRPr="00CA0FF7">
        <w:rPr>
          <w:i/>
        </w:rPr>
        <w:t>emaculata</w:t>
      </w:r>
      <w:r w:rsidR="00CA0FF7">
        <w:t xml:space="preserve">, one of the causal pathogens of the disease </w:t>
      </w:r>
      <w:r w:rsidR="009C1A48">
        <w:t>rust</w:t>
      </w:r>
      <w:r w:rsidR="00CA0FF7">
        <w:t xml:space="preserve">. </w:t>
      </w:r>
      <w:r w:rsidR="00AC420F">
        <w:rPr>
          <w:rFonts w:cs="Times New Roman"/>
        </w:rPr>
        <w:t xml:space="preserve">Results </w:t>
      </w:r>
      <w:r w:rsidR="00CA0FF7">
        <w:rPr>
          <w:rFonts w:cs="Times New Roman"/>
        </w:rPr>
        <w:t xml:space="preserve">indicate </w:t>
      </w:r>
      <w:r w:rsidR="009C1A48">
        <w:rPr>
          <w:rFonts w:cs="Times New Roman"/>
        </w:rPr>
        <w:t xml:space="preserve">rust </w:t>
      </w:r>
      <w:r w:rsidR="00954DB7">
        <w:rPr>
          <w:rFonts w:cs="Times New Roman"/>
        </w:rPr>
        <w:t xml:space="preserve">severity </w:t>
      </w:r>
      <w:r w:rsidR="00AC420F">
        <w:rPr>
          <w:rFonts w:cs="Times New Roman"/>
        </w:rPr>
        <w:t xml:space="preserve">may </w:t>
      </w:r>
      <w:r w:rsidR="00CA0FF7">
        <w:rPr>
          <w:rFonts w:cs="Times New Roman"/>
        </w:rPr>
        <w:t xml:space="preserve">negatively impact ethanol yield in </w:t>
      </w:r>
      <w:r w:rsidR="00954DB7">
        <w:rPr>
          <w:rFonts w:cs="Times New Roman"/>
        </w:rPr>
        <w:t xml:space="preserve">biofuels </w:t>
      </w:r>
      <w:r w:rsidR="00CA0FF7">
        <w:rPr>
          <w:rFonts w:cs="Times New Roman"/>
        </w:rPr>
        <w:t xml:space="preserve">switchgrass </w:t>
      </w:r>
      <w:r w:rsidR="00AC420F">
        <w:rPr>
          <w:rFonts w:cs="Times New Roman"/>
        </w:rPr>
        <w:t xml:space="preserve">with predicted ethanol yield reductions of 10% to 34% in leaves exhibiting medium </w:t>
      </w:r>
      <w:r w:rsidR="00954DB7">
        <w:rPr>
          <w:rFonts w:cs="Times New Roman"/>
        </w:rPr>
        <w:t>rust</w:t>
      </w:r>
      <w:r w:rsidR="00AC420F">
        <w:rPr>
          <w:rFonts w:cs="Times New Roman"/>
        </w:rPr>
        <w:t xml:space="preserve"> severity an</w:t>
      </w:r>
      <w:r w:rsidR="00B92A92">
        <w:rPr>
          <w:rFonts w:cs="Times New Roman"/>
        </w:rPr>
        <w:t>d 21% to 51% in leaves exhibiting</w:t>
      </w:r>
      <w:r w:rsidR="00AC420F">
        <w:rPr>
          <w:rFonts w:cs="Times New Roman"/>
        </w:rPr>
        <w:t xml:space="preserve"> high </w:t>
      </w:r>
      <w:r w:rsidR="00954DB7">
        <w:rPr>
          <w:rFonts w:cs="Times New Roman"/>
        </w:rPr>
        <w:t>rust</w:t>
      </w:r>
      <w:r w:rsidR="00AC420F">
        <w:rPr>
          <w:rFonts w:cs="Times New Roman"/>
        </w:rPr>
        <w:t xml:space="preserve"> severi</w:t>
      </w:r>
      <w:r w:rsidR="00954DB7">
        <w:rPr>
          <w:rFonts w:cs="Times New Roman"/>
        </w:rPr>
        <w:t>ty.</w:t>
      </w:r>
      <w:r w:rsidR="00AC420F">
        <w:rPr>
          <w:rFonts w:cs="Times New Roman"/>
        </w:rPr>
        <w:t xml:space="preserve"> </w:t>
      </w:r>
      <w:r w:rsidR="00CA0FF7">
        <w:rPr>
          <w:rFonts w:cs="Times New Roman"/>
        </w:rPr>
        <w:t xml:space="preserve">The second </w:t>
      </w:r>
      <w:r w:rsidR="00AC420F">
        <w:rPr>
          <w:rFonts w:cs="Times New Roman"/>
        </w:rPr>
        <w:t>study</w:t>
      </w:r>
      <w:r w:rsidR="00CA0FF7">
        <w:rPr>
          <w:rFonts w:cs="Times New Roman"/>
        </w:rPr>
        <w:t xml:space="preserve"> </w:t>
      </w:r>
      <w:r w:rsidR="00AC420F">
        <w:rPr>
          <w:rFonts w:cs="Times New Roman"/>
        </w:rPr>
        <w:t>analyzed</w:t>
      </w:r>
      <w:r w:rsidR="00CA0FF7">
        <w:rPr>
          <w:rFonts w:cs="Times New Roman"/>
        </w:rPr>
        <w:t xml:space="preserve"> a </w:t>
      </w:r>
      <w:r w:rsidR="00B31300">
        <w:rPr>
          <w:rFonts w:cs="Times New Roman"/>
        </w:rPr>
        <w:t>diallel of eight parents</w:t>
      </w:r>
      <w:r w:rsidR="00CA0FF7">
        <w:rPr>
          <w:rFonts w:cs="Times New Roman"/>
        </w:rPr>
        <w:t xml:space="preserve"> selected from the cultivars </w:t>
      </w:r>
      <w:r w:rsidR="00B92A92">
        <w:rPr>
          <w:rFonts w:cs="Times New Roman"/>
        </w:rPr>
        <w:t>‘</w:t>
      </w:r>
      <w:r w:rsidR="00CA0FF7" w:rsidRPr="00CA0FF7">
        <w:rPr>
          <w:rFonts w:cs="Times New Roman"/>
        </w:rPr>
        <w:t>Alamo</w:t>
      </w:r>
      <w:r w:rsidR="00B92A92">
        <w:rPr>
          <w:rFonts w:cs="Times New Roman"/>
        </w:rPr>
        <w:t>’</w:t>
      </w:r>
      <w:r w:rsidR="00B31300">
        <w:rPr>
          <w:rFonts w:cs="Times New Roman"/>
        </w:rPr>
        <w:t xml:space="preserve">, </w:t>
      </w:r>
      <w:r w:rsidR="00B92A92">
        <w:rPr>
          <w:rFonts w:cs="Times New Roman"/>
        </w:rPr>
        <w:t>‘</w:t>
      </w:r>
      <w:r w:rsidR="00B31300">
        <w:rPr>
          <w:rFonts w:cs="Times New Roman"/>
        </w:rPr>
        <w:t>Kanlow</w:t>
      </w:r>
      <w:r w:rsidR="00B92A92">
        <w:rPr>
          <w:rFonts w:cs="Times New Roman"/>
        </w:rPr>
        <w:t>’</w:t>
      </w:r>
      <w:r w:rsidR="00B31300">
        <w:rPr>
          <w:rFonts w:cs="Times New Roman"/>
        </w:rPr>
        <w:t xml:space="preserve">, and </w:t>
      </w:r>
      <w:r w:rsidR="00B92A92">
        <w:rPr>
          <w:rFonts w:cs="Times New Roman"/>
        </w:rPr>
        <w:t>‘</w:t>
      </w:r>
      <w:r w:rsidR="00B31300">
        <w:rPr>
          <w:rFonts w:cs="Times New Roman"/>
        </w:rPr>
        <w:t>Miami</w:t>
      </w:r>
      <w:r w:rsidR="00B92A92">
        <w:rPr>
          <w:rFonts w:cs="Times New Roman"/>
        </w:rPr>
        <w:t>’</w:t>
      </w:r>
      <w:r w:rsidR="00B31300">
        <w:rPr>
          <w:rFonts w:cs="Times New Roman"/>
        </w:rPr>
        <w:t>.</w:t>
      </w:r>
      <w:r w:rsidR="00CA0FF7">
        <w:rPr>
          <w:rFonts w:cs="Times New Roman"/>
        </w:rPr>
        <w:t xml:space="preserve"> </w:t>
      </w:r>
      <w:r w:rsidR="00AC420F">
        <w:rPr>
          <w:rFonts w:cs="Times New Roman"/>
        </w:rPr>
        <w:t>C</w:t>
      </w:r>
      <w:r w:rsidRPr="00CA0FF7">
        <w:t>orrelations</w:t>
      </w:r>
      <w:r w:rsidRPr="00ED44DE">
        <w:t xml:space="preserve"> of morphological traits to biomass yield indicate </w:t>
      </w:r>
      <w:r w:rsidR="00D94ADB">
        <w:t>a</w:t>
      </w:r>
      <w:r w:rsidRPr="00ED44DE">
        <w:t xml:space="preserve"> </w:t>
      </w:r>
      <w:r w:rsidR="00D94ADB">
        <w:t>high biomass yielding</w:t>
      </w:r>
      <w:r w:rsidRPr="00ED44DE">
        <w:t xml:space="preserve"> ideotype of a tall plant with a high number of thick tillers, wide leaves, and an open </w:t>
      </w:r>
      <w:r w:rsidR="00DA675F">
        <w:t>canopy density</w:t>
      </w:r>
      <w:r w:rsidRPr="00ED44DE">
        <w:t>.</w:t>
      </w:r>
      <w:r>
        <w:t xml:space="preserve"> Traits with moderate correlations to biomass yield showed </w:t>
      </w:r>
      <w:r w:rsidR="00252F7D">
        <w:t>significant, but weak,</w:t>
      </w:r>
      <w:r>
        <w:t xml:space="preserve"> negative correlations to ethanol yield. Significant SCA effects, maternal effects, and high parent heterosis were found within all traits. </w:t>
      </w:r>
      <w:r w:rsidR="00B31300">
        <w:t>Selection</w:t>
      </w:r>
      <w:r>
        <w:t xml:space="preserve"> during the establishment year </w:t>
      </w:r>
      <w:r w:rsidR="00B31300">
        <w:t>did not differ significantly from selection</w:t>
      </w:r>
      <w:r>
        <w:t xml:space="preserve"> in subsequent years. </w:t>
      </w:r>
      <w:r w:rsidR="00AC420F">
        <w:t>The third study used the same diallel populations but compared evaluations under space planted conditions to simulated swards. E</w:t>
      </w:r>
      <w:r w:rsidR="00D94ADB">
        <w:rPr>
          <w:rFonts w:eastAsiaTheme="minorHAnsi"/>
        </w:rPr>
        <w:t xml:space="preserve">valuation under </w:t>
      </w:r>
      <w:r w:rsidR="00AC420F">
        <w:rPr>
          <w:rFonts w:eastAsiaTheme="minorHAnsi"/>
        </w:rPr>
        <w:t>sward</w:t>
      </w:r>
      <w:r w:rsidR="00D94ADB">
        <w:rPr>
          <w:rFonts w:eastAsiaTheme="minorHAnsi"/>
        </w:rPr>
        <w:t xml:space="preserve"> conditions differ</w:t>
      </w:r>
      <w:r w:rsidR="00AC420F">
        <w:rPr>
          <w:rFonts w:eastAsiaTheme="minorHAnsi"/>
        </w:rPr>
        <w:t>ed</w:t>
      </w:r>
      <w:r w:rsidR="00D94ADB">
        <w:rPr>
          <w:rFonts w:eastAsiaTheme="minorHAnsi"/>
        </w:rPr>
        <w:t xml:space="preserve"> from evaluation under space planted conditions for estimates</w:t>
      </w:r>
      <w:r w:rsidR="00252F7D">
        <w:rPr>
          <w:rFonts w:eastAsiaTheme="minorHAnsi"/>
        </w:rPr>
        <w:t xml:space="preserve"> of mean production performance, </w:t>
      </w:r>
      <w:r w:rsidR="00D94ADB">
        <w:rPr>
          <w:rFonts w:eastAsiaTheme="minorHAnsi"/>
        </w:rPr>
        <w:t xml:space="preserve">characterization of morphological traits, estimates of genetic parameters, identification of high GCA and SCA in populations, and identification of potential maternal effects or high parent heterosis. If sward conditions are more </w:t>
      </w:r>
      <w:r w:rsidR="00D94ADB">
        <w:rPr>
          <w:rFonts w:eastAsiaTheme="minorHAnsi"/>
        </w:rPr>
        <w:lastRenderedPageBreak/>
        <w:t xml:space="preserve">representative of production conditions, evaluation under space planted conditions could lead to assessment </w:t>
      </w:r>
      <w:r w:rsidR="00B31300">
        <w:rPr>
          <w:rFonts w:eastAsiaTheme="minorHAnsi"/>
        </w:rPr>
        <w:t>and selection</w:t>
      </w:r>
      <w:r w:rsidR="00041E33">
        <w:rPr>
          <w:rFonts w:eastAsiaTheme="minorHAnsi"/>
        </w:rPr>
        <w:t xml:space="preserve"> of plants that are less than optimal in production conditions</w:t>
      </w:r>
      <w:r w:rsidR="00D94ADB">
        <w:rPr>
          <w:rFonts w:eastAsiaTheme="minorHAnsi"/>
        </w:rPr>
        <w:t xml:space="preserve">. </w:t>
      </w:r>
      <w:r>
        <w:t xml:space="preserve">Results from </w:t>
      </w:r>
      <w:r w:rsidR="009846FA">
        <w:t xml:space="preserve">these </w:t>
      </w:r>
      <w:r w:rsidR="00AC420F">
        <w:t xml:space="preserve">three </w:t>
      </w:r>
      <w:r w:rsidR="009846FA">
        <w:t>studies</w:t>
      </w:r>
      <w:r>
        <w:t xml:space="preserve"> should help breeders identify more efficient and effectiv</w:t>
      </w:r>
      <w:r w:rsidR="00B92A92">
        <w:t>e methods for improving biofuel</w:t>
      </w:r>
      <w:r>
        <w:t xml:space="preserve"> switchgrass cultivars</w:t>
      </w:r>
      <w:r w:rsidR="00954DB7">
        <w:t xml:space="preserve">. </w:t>
      </w:r>
      <w:r>
        <w:t xml:space="preserve"> </w:t>
      </w:r>
    </w:p>
    <w:p w14:paraId="316C2626" w14:textId="77777777" w:rsidR="00DD5421" w:rsidRDefault="00DD5421">
      <w:pPr>
        <w:ind w:firstLine="720"/>
      </w:pPr>
    </w:p>
    <w:p w14:paraId="1D003B26" w14:textId="77777777" w:rsidR="00DD5421" w:rsidRDefault="00DD5421">
      <w:pPr>
        <w:ind w:firstLine="720"/>
      </w:pPr>
    </w:p>
    <w:p w14:paraId="2CE9F540" w14:textId="77777777" w:rsidR="00DD5421" w:rsidRDefault="00DD5421">
      <w:pPr>
        <w:ind w:firstLine="720"/>
      </w:pPr>
    </w:p>
    <w:p w14:paraId="267266ED" w14:textId="77777777" w:rsidR="00DD5421" w:rsidRDefault="00DD5421">
      <w:pPr>
        <w:ind w:firstLine="720"/>
      </w:pPr>
    </w:p>
    <w:p w14:paraId="0DE3614D" w14:textId="77777777" w:rsidR="00DD5421" w:rsidRDefault="00DD5421">
      <w:pPr>
        <w:ind w:firstLine="720"/>
      </w:pPr>
    </w:p>
    <w:p w14:paraId="67187A39" w14:textId="77777777" w:rsidR="00DD5421" w:rsidRDefault="00DD5421">
      <w:pPr>
        <w:ind w:firstLine="720"/>
      </w:pPr>
    </w:p>
    <w:p w14:paraId="3115BFD7" w14:textId="77777777" w:rsidR="00DD5421" w:rsidRDefault="00DD5421">
      <w:pPr>
        <w:ind w:firstLine="720"/>
      </w:pPr>
    </w:p>
    <w:p w14:paraId="2A6D5A7F" w14:textId="77777777" w:rsidR="00DD5421" w:rsidRDefault="00DD5421">
      <w:pPr>
        <w:ind w:firstLine="720"/>
      </w:pPr>
    </w:p>
    <w:p w14:paraId="4035873D" w14:textId="77777777" w:rsidR="00DD5421" w:rsidRDefault="00DD5421">
      <w:pPr>
        <w:ind w:firstLine="720"/>
      </w:pPr>
    </w:p>
    <w:p w14:paraId="6092057A" w14:textId="77777777" w:rsidR="00DD5421" w:rsidRDefault="00DD5421">
      <w:pPr>
        <w:ind w:firstLine="720"/>
      </w:pPr>
    </w:p>
    <w:p w14:paraId="5CE8FCC0" w14:textId="77777777" w:rsidR="00DD5421" w:rsidRDefault="00DD5421">
      <w:pPr>
        <w:ind w:firstLine="720"/>
      </w:pPr>
    </w:p>
    <w:p w14:paraId="71352D03" w14:textId="77777777" w:rsidR="00DD5421" w:rsidRDefault="00DD5421">
      <w:pPr>
        <w:ind w:firstLine="720"/>
      </w:pPr>
    </w:p>
    <w:p w14:paraId="200CAF13" w14:textId="77777777" w:rsidR="00DD5421" w:rsidRDefault="00DD5421">
      <w:pPr>
        <w:ind w:firstLine="720"/>
      </w:pPr>
    </w:p>
    <w:p w14:paraId="21A51D6F" w14:textId="77777777" w:rsidR="00DD5421" w:rsidRDefault="00DD5421">
      <w:pPr>
        <w:ind w:firstLine="720"/>
      </w:pPr>
    </w:p>
    <w:p w14:paraId="5666E146" w14:textId="77777777" w:rsidR="00DD5421" w:rsidRDefault="00DD5421">
      <w:pPr>
        <w:ind w:firstLine="720"/>
      </w:pPr>
    </w:p>
    <w:p w14:paraId="43DD0BE0" w14:textId="77777777" w:rsidR="00472BD4" w:rsidRDefault="00472BD4">
      <w:pPr>
        <w:rPr>
          <w:b/>
          <w:bCs/>
          <w:iCs/>
          <w:sz w:val="28"/>
          <w:szCs w:val="28"/>
        </w:rPr>
      </w:pPr>
      <w:r>
        <w:rPr>
          <w:rFonts w:cs="Times New Roman"/>
          <w:i/>
        </w:rPr>
        <w:br w:type="page"/>
      </w:r>
    </w:p>
    <w:p w14:paraId="121D7B3A" w14:textId="77777777" w:rsidR="004C7D65" w:rsidRDefault="004C7D65" w:rsidP="00DD5AC5">
      <w:pPr>
        <w:pStyle w:val="Title"/>
        <w:rPr>
          <w:bCs/>
        </w:rPr>
      </w:pPr>
      <w:r>
        <w:lastRenderedPageBreak/>
        <w:t>PREFACE</w:t>
      </w:r>
    </w:p>
    <w:p w14:paraId="100D144C" w14:textId="63721F81" w:rsidR="004C7D65" w:rsidRPr="00BC2AA1" w:rsidRDefault="004C7D65" w:rsidP="004C7D65">
      <w:pPr>
        <w:ind w:firstLine="720"/>
      </w:pPr>
      <w:r w:rsidRPr="00BC2AA1">
        <w:t xml:space="preserve">Switchgrass is a warm season perennial grass, native to North American prairie lands </w:t>
      </w:r>
      <w:r w:rsidR="00301182" w:rsidRPr="00BC2AA1">
        <w:fldChar w:fldCharType="begin"/>
      </w:r>
      <w:r w:rsidR="00382C84">
        <w:instrText xml:space="preserve"> ADDIN EN.CITE &lt;EndNote&gt;&lt;Cite&gt;&lt;Author&gt;Newell&lt;/Author&gt;&lt;Year&gt;1961&lt;/Year&gt;&lt;RecNum&gt;16&lt;/RecNum&gt;&lt;DisplayText&gt;(Newell and Eberhart, 1961)&lt;/DisplayText&gt;&lt;record&gt;&lt;rec-number&gt;16&lt;/rec-number&gt;&lt;foreign-keys&gt;&lt;key app="EN" db-id="sax2wrdsssrrrnetz9lvvd2xw25z5retvfpp"&gt;16&lt;/key&gt;&lt;/foreign-keys&gt;&lt;ref-type name="Journal Article"&gt;17&lt;/ref-type&gt;&lt;contributors&gt;&lt;authors&gt;&lt;author&gt;Newell, L.C.&lt;/author&gt;&lt;author&gt;Eberhart, S.A.&lt;/author&gt;&lt;/authors&gt;&lt;/contributors&gt;&lt;titles&gt;&lt;title&gt;&lt;style face="normal" font="default" size="100%"&gt;Clone and progeny evaluation in the improvement of switchgrass, &lt;/style&gt;&lt;style face="italic" font="default" size="100%"&gt;Panicum virgatum &lt;/style&gt;&lt;style face="normal" font="default" size="100%"&gt;L.&lt;/style&gt;&lt;/title&gt;&lt;secondary-title&gt;Crop Science&lt;/secondary-title&gt;&lt;/titles&gt;&lt;periodical&gt;&lt;full-title&gt;Crop Science&lt;/full-title&gt;&lt;/periodical&gt;&lt;pages&gt;117-121&lt;/pages&gt;&lt;volume&gt;1&lt;/volume&gt;&lt;section&gt;117&lt;/section&gt;&lt;dates&gt;&lt;year&gt;1961&lt;/year&gt;&lt;/dates&gt;&lt;urls&gt;&lt;/urls&gt;&lt;/record&gt;&lt;/Cite&gt;&lt;/EndNote&gt;</w:instrText>
      </w:r>
      <w:r w:rsidR="00301182" w:rsidRPr="00BC2AA1">
        <w:fldChar w:fldCharType="separate"/>
      </w:r>
      <w:r w:rsidR="00382C84">
        <w:rPr>
          <w:noProof/>
        </w:rPr>
        <w:t>(</w:t>
      </w:r>
      <w:hyperlink w:anchor="_ENREF_74" w:tooltip="Newell, 1961 #1" w:history="1">
        <w:r w:rsidR="00FB5014">
          <w:rPr>
            <w:noProof/>
          </w:rPr>
          <w:t>Newell and Eberhart, 1961</w:t>
        </w:r>
      </w:hyperlink>
      <w:r w:rsidR="00382C84">
        <w:rPr>
          <w:noProof/>
        </w:rPr>
        <w:t>)</w:t>
      </w:r>
      <w:r w:rsidR="00301182" w:rsidRPr="00BC2AA1">
        <w:fldChar w:fldCharType="end"/>
      </w:r>
      <w:r w:rsidR="00954DB7">
        <w:t xml:space="preserve">. </w:t>
      </w:r>
      <w:r w:rsidRPr="00BC2AA1">
        <w:t>It is important both as a forage crop and, more recently, as a biofuel crop</w:t>
      </w:r>
      <w:r w:rsidR="00954DB7">
        <w:t xml:space="preserve">. </w:t>
      </w:r>
      <w:r w:rsidRPr="00BC2AA1">
        <w:t>While progress has been made on breeding switchgrass as a forage crop, the ideal composition of traits for switchgrass used as a biofuel crop, the genetic parameters associated with those traits, and the inter-relationships between traits when evaluated at different maturity levels or under different planting conditions are still undefined</w:t>
      </w:r>
      <w:r w:rsidR="00954DB7">
        <w:t xml:space="preserve">. </w:t>
      </w:r>
    </w:p>
    <w:p w14:paraId="60D0723C" w14:textId="6DD15F66" w:rsidR="004C7D65" w:rsidRPr="00BC2AA1" w:rsidRDefault="004C7D65" w:rsidP="004C7D65">
      <w:pPr>
        <w:ind w:firstLine="720"/>
        <w:rPr>
          <w:rFonts w:cs="Times New Roman"/>
        </w:rPr>
      </w:pPr>
      <w:r w:rsidRPr="00BC2AA1">
        <w:rPr>
          <w:rFonts w:cs="Times New Roman"/>
        </w:rPr>
        <w:t xml:space="preserve">In both forage switchgrass and biofuel switchgrass, total yield consists of two components. In forage switchgrass, these are forage yield and quality. In biofuel switchgrass, these components are biomass yield and ethanol yield. While numerous studies have examined the inter-relationship of morphological traits with </w:t>
      </w:r>
      <w:r w:rsidR="00955183">
        <w:rPr>
          <w:rFonts w:cs="Times New Roman"/>
        </w:rPr>
        <w:t>forage/</w:t>
      </w:r>
      <w:r w:rsidRPr="00BC2AA1">
        <w:rPr>
          <w:rFonts w:cs="Times New Roman"/>
        </w:rPr>
        <w:t xml:space="preserve">biomass yield or </w:t>
      </w:r>
      <w:r w:rsidR="00955183">
        <w:rPr>
          <w:rFonts w:cs="Times New Roman"/>
        </w:rPr>
        <w:t xml:space="preserve">forage </w:t>
      </w:r>
      <w:r w:rsidRPr="00BC2AA1">
        <w:rPr>
          <w:rFonts w:cs="Times New Roman"/>
        </w:rPr>
        <w:t xml:space="preserve">quality, the inter-relationship of these traits with ethanol yield has not yet been examined. Establishing a high ethanol yielding ideotype could greatly enhance the efficacy of the selection process when breeding biofuel switchgrass. </w:t>
      </w:r>
    </w:p>
    <w:p w14:paraId="37BB64B4" w14:textId="5AEFB5DA" w:rsidR="004C7D65" w:rsidRDefault="004C7D65" w:rsidP="004C7D65">
      <w:pPr>
        <w:ind w:firstLine="720"/>
        <w:rPr>
          <w:rFonts w:cs="Times New Roman"/>
        </w:rPr>
      </w:pPr>
      <w:r w:rsidRPr="00BC2AA1">
        <w:rPr>
          <w:rFonts w:cs="Times New Roman"/>
        </w:rPr>
        <w:t>Examination of the relationship between morphological traits in plants at different maturity levels or gr</w:t>
      </w:r>
      <w:r w:rsidR="00955183">
        <w:rPr>
          <w:rFonts w:cs="Times New Roman"/>
        </w:rPr>
        <w:t>own under differing conditions c</w:t>
      </w:r>
      <w:r w:rsidRPr="00BC2AA1">
        <w:rPr>
          <w:rFonts w:cs="Times New Roman"/>
        </w:rPr>
        <w:t>ould further enhance the efficacy of selection. Switchgrass plants are large, can be difficult to est</w:t>
      </w:r>
      <w:r w:rsidR="00F40B4A">
        <w:rPr>
          <w:rFonts w:cs="Times New Roman"/>
        </w:rPr>
        <w:t>ablish, and take approximately three</w:t>
      </w:r>
      <w:r w:rsidRPr="00BC2AA1">
        <w:rPr>
          <w:rFonts w:cs="Times New Roman"/>
        </w:rPr>
        <w:t xml:space="preserve"> years to reach maximum </w:t>
      </w:r>
      <w:r w:rsidR="00955183">
        <w:rPr>
          <w:rFonts w:cs="Times New Roman"/>
        </w:rPr>
        <w:t>biomass yield</w:t>
      </w:r>
      <w:r>
        <w:rPr>
          <w:rFonts w:cs="Times New Roman"/>
        </w:rPr>
        <w:t xml:space="preserve"> </w:t>
      </w:r>
      <w:r w:rsidR="00301182">
        <w:rPr>
          <w:rFonts w:cs="Times New Roman"/>
        </w:rPr>
        <w:fldChar w:fldCharType="begin"/>
      </w:r>
      <w:r w:rsidR="00382C84">
        <w:rPr>
          <w:rFonts w:cs="Times New Roman"/>
        </w:rPr>
        <w:instrText xml:space="preserve"> ADDIN EN.CITE &lt;EndNote&gt;&lt;Cite&gt;&lt;Author&gt;Garland&lt;/Author&gt;&lt;Year&gt;2008&lt;/Year&gt;&lt;RecNum&gt;242&lt;/RecNum&gt;&lt;DisplayText&gt;(Garland, 2008)&lt;/DisplayText&gt;&lt;record&gt;&lt;rec-number&gt;242&lt;/rec-number&gt;&lt;foreign-keys&gt;&lt;key app="EN" db-id="9zfxt259rawwvce0pfa5efeuatdw0pz5va5z" timestamp="1320085380"&gt;242&lt;/key&gt;&lt;/foreign-keys&gt;&lt;ref-type name="Pamphlet"&gt;24&lt;/ref-type&gt;&lt;contributors&gt;&lt;authors&gt;&lt;author&gt;Garland, C.D.&lt;/author&gt;&lt;/authors&gt;&lt;/contributors&gt;&lt;titles&gt;&lt;title&gt;Growing and harvesting switchgrass for ethanol production in Tennessee&lt;/title&gt;&lt;secondary-title&gt;UT Biofuels Initiative - SP701-A-5M-5/08&lt;/secondary-title&gt;&lt;/titles&gt;&lt;volume&gt;SP701-A-5M-5/08&lt;/volume&gt;&lt;dates&gt;&lt;year&gt;2008&lt;/year&gt;&lt;/dates&gt;&lt;pub-location&gt;Knoxville, TN&lt;/pub-location&gt;&lt;publisher&gt;UT Extension&lt;/publisher&gt;&lt;urls&gt;&lt;/urls&gt;&lt;/record&gt;&lt;/Cite&gt;&lt;/EndNote&gt;</w:instrText>
      </w:r>
      <w:r w:rsidR="00301182">
        <w:rPr>
          <w:rFonts w:cs="Times New Roman"/>
        </w:rPr>
        <w:fldChar w:fldCharType="separate"/>
      </w:r>
      <w:r>
        <w:rPr>
          <w:rFonts w:cs="Times New Roman"/>
          <w:noProof/>
        </w:rPr>
        <w:t>(</w:t>
      </w:r>
      <w:hyperlink w:anchor="_ENREF_36" w:tooltip="Garland, 2008 #242" w:history="1">
        <w:r w:rsidR="00FB5014">
          <w:rPr>
            <w:rFonts w:cs="Times New Roman"/>
            <w:noProof/>
          </w:rPr>
          <w:t>Garland, 2008</w:t>
        </w:r>
      </w:hyperlink>
      <w:r>
        <w:rPr>
          <w:rFonts w:cs="Times New Roman"/>
          <w:noProof/>
        </w:rPr>
        <w:t>)</w:t>
      </w:r>
      <w:r w:rsidR="00301182">
        <w:rPr>
          <w:rFonts w:cs="Times New Roman"/>
        </w:rPr>
        <w:fldChar w:fldCharType="end"/>
      </w:r>
      <w:r w:rsidRPr="00BC2AA1">
        <w:rPr>
          <w:rFonts w:cs="Times New Roman"/>
        </w:rPr>
        <w:t xml:space="preserve">. Examining the relationship between morphological and yield traits </w:t>
      </w:r>
      <w:r w:rsidR="00955183">
        <w:rPr>
          <w:rFonts w:cs="Times New Roman"/>
        </w:rPr>
        <w:t>at</w:t>
      </w:r>
      <w:r w:rsidRPr="00BC2AA1">
        <w:rPr>
          <w:rFonts w:cs="Times New Roman"/>
        </w:rPr>
        <w:t xml:space="preserve"> different maturity stages could provide a basis for a hi</w:t>
      </w:r>
      <w:r w:rsidR="002B423B">
        <w:rPr>
          <w:rFonts w:cs="Times New Roman"/>
        </w:rPr>
        <w:t>gh throughput screening process</w:t>
      </w:r>
      <w:r w:rsidRPr="00BC2AA1">
        <w:rPr>
          <w:rFonts w:cs="Times New Roman"/>
        </w:rPr>
        <w:t xml:space="preserve"> through juvenile selection in the greenhouse or selection prior to </w:t>
      </w:r>
      <w:r w:rsidR="00955183">
        <w:rPr>
          <w:rFonts w:cs="Times New Roman"/>
        </w:rPr>
        <w:t>reaching maximum biomass yield</w:t>
      </w:r>
      <w:r w:rsidRPr="00BC2AA1">
        <w:rPr>
          <w:rFonts w:cs="Times New Roman"/>
        </w:rPr>
        <w:t xml:space="preserve">. </w:t>
      </w:r>
    </w:p>
    <w:p w14:paraId="2B131F5D" w14:textId="66691AE5" w:rsidR="004C7D65" w:rsidRDefault="004C7D65" w:rsidP="004C7D65">
      <w:pPr>
        <w:ind w:firstLine="720"/>
        <w:rPr>
          <w:rFonts w:cs="Times New Roman"/>
        </w:rPr>
      </w:pPr>
      <w:r w:rsidRPr="00BC2AA1">
        <w:rPr>
          <w:rFonts w:cs="Times New Roman"/>
        </w:rPr>
        <w:t>The inter-rel</w:t>
      </w:r>
      <w:r w:rsidR="002B423B">
        <w:rPr>
          <w:rFonts w:cs="Times New Roman"/>
        </w:rPr>
        <w:t>ationship</w:t>
      </w:r>
      <w:r w:rsidR="00955183">
        <w:rPr>
          <w:rFonts w:cs="Times New Roman"/>
        </w:rPr>
        <w:t xml:space="preserve"> among traits may be a</w:t>
      </w:r>
      <w:r w:rsidRPr="00BC2AA1">
        <w:rPr>
          <w:rFonts w:cs="Times New Roman"/>
        </w:rPr>
        <w:t>ffected, h</w:t>
      </w:r>
      <w:r w:rsidR="00F40B4A">
        <w:rPr>
          <w:rFonts w:cs="Times New Roman"/>
        </w:rPr>
        <w:t>owever, by differing production c</w:t>
      </w:r>
      <w:r w:rsidRPr="00BC2AA1">
        <w:rPr>
          <w:rFonts w:cs="Times New Roman"/>
        </w:rPr>
        <w:t xml:space="preserve">onditions. While switchgrass breeding studies are typically evaluated in space planted nurseries, </w:t>
      </w:r>
      <w:r w:rsidRPr="00BC2AA1">
        <w:rPr>
          <w:rFonts w:cs="Times New Roman"/>
        </w:rPr>
        <w:lastRenderedPageBreak/>
        <w:t>switchgrass production is under sward conditions</w:t>
      </w:r>
      <w:r w:rsidR="00954DB7">
        <w:rPr>
          <w:rFonts w:cs="Times New Roman"/>
        </w:rPr>
        <w:t xml:space="preserve">. </w:t>
      </w:r>
      <w:r w:rsidRPr="00BC2AA1">
        <w:rPr>
          <w:rFonts w:cs="Times New Roman"/>
        </w:rPr>
        <w:t>Planting density may alter plant morphology and, in turn, affect trait associations with biomass or ethanol yield.</w:t>
      </w:r>
      <w:r>
        <w:rPr>
          <w:rFonts w:cs="Times New Roman"/>
        </w:rPr>
        <w:t xml:space="preserve"> Identifying </w:t>
      </w:r>
      <w:r>
        <w:t>the optimal</w:t>
      </w:r>
      <w:r w:rsidRPr="00BC2AA1">
        <w:t xml:space="preserve"> composition of traits for switchgrass used as a biofuel crop, the genetic parameters associated with those traits, and the inter-relationships between traits when evaluated at different maturity levels or unde</w:t>
      </w:r>
      <w:r>
        <w:t>r different planting conditions could greatly enhance current breeding efforts to improve switchgrass as a biofuel crop</w:t>
      </w:r>
      <w:r w:rsidR="00954DB7">
        <w:t xml:space="preserve">. </w:t>
      </w:r>
      <w:r w:rsidRPr="00BC2AA1">
        <w:rPr>
          <w:rFonts w:cs="Times New Roman"/>
        </w:rPr>
        <w:t xml:space="preserve"> </w:t>
      </w:r>
    </w:p>
    <w:p w14:paraId="17A701B0" w14:textId="77777777" w:rsidR="004C7D65" w:rsidRDefault="004C7D65">
      <w:pPr>
        <w:spacing w:line="240" w:lineRule="auto"/>
        <w:rPr>
          <w:b/>
          <w:sz w:val="28"/>
          <w:lang w:val="en-CA"/>
        </w:rPr>
      </w:pPr>
    </w:p>
    <w:p w14:paraId="7CF87AAD" w14:textId="77777777" w:rsidR="004C7D65" w:rsidRDefault="004C7D65">
      <w:pPr>
        <w:spacing w:line="240" w:lineRule="auto"/>
        <w:rPr>
          <w:b/>
          <w:sz w:val="28"/>
          <w:lang w:val="en-CA"/>
        </w:rPr>
      </w:pPr>
      <w:r>
        <w:br w:type="page"/>
      </w:r>
    </w:p>
    <w:sdt>
      <w:sdtPr>
        <w:rPr>
          <w:b w:val="0"/>
          <w:sz w:val="24"/>
          <w:lang w:val="en-US"/>
        </w:rPr>
        <w:id w:val="-1753962921"/>
        <w:docPartObj>
          <w:docPartGallery w:val="Table of Contents"/>
          <w:docPartUnique/>
        </w:docPartObj>
      </w:sdtPr>
      <w:sdtEndPr>
        <w:rPr>
          <w:bCs/>
          <w:noProof/>
        </w:rPr>
      </w:sdtEndPr>
      <w:sdtContent>
        <w:p w14:paraId="63873276" w14:textId="77777777" w:rsidR="00D77796" w:rsidRDefault="00D77796" w:rsidP="00D77796">
          <w:pPr>
            <w:pStyle w:val="Title"/>
          </w:pPr>
          <w:r>
            <w:t>TABLE OF CONTENTS</w:t>
          </w:r>
        </w:p>
        <w:p w14:paraId="550FFD8B" w14:textId="77777777" w:rsidR="004253E7" w:rsidRDefault="00301182">
          <w:pPr>
            <w:pStyle w:val="TOC1"/>
            <w:tabs>
              <w:tab w:val="right" w:leader="dot" w:pos="9350"/>
            </w:tabs>
            <w:rPr>
              <w:rFonts w:asciiTheme="minorHAnsi" w:hAnsiTheme="minorHAnsi"/>
              <w:noProof/>
              <w:sz w:val="22"/>
              <w:szCs w:val="22"/>
              <w:lang w:eastAsia="en-US"/>
            </w:rPr>
          </w:pPr>
          <w:r>
            <w:fldChar w:fldCharType="begin"/>
          </w:r>
          <w:r w:rsidR="00D77796">
            <w:instrText xml:space="preserve"> TOC \o "1-3" \h \z \u </w:instrText>
          </w:r>
          <w:r>
            <w:fldChar w:fldCharType="separate"/>
          </w:r>
          <w:hyperlink w:anchor="_Toc404069807" w:history="1">
            <w:r w:rsidR="004253E7" w:rsidRPr="00C90D9A">
              <w:rPr>
                <w:rStyle w:val="Hyperlink"/>
                <w:noProof/>
              </w:rPr>
              <w:t>INTRODUCTION</w:t>
            </w:r>
            <w:r w:rsidR="004253E7">
              <w:rPr>
                <w:noProof/>
                <w:webHidden/>
              </w:rPr>
              <w:tab/>
            </w:r>
            <w:r w:rsidR="004253E7">
              <w:rPr>
                <w:noProof/>
                <w:webHidden/>
              </w:rPr>
              <w:fldChar w:fldCharType="begin"/>
            </w:r>
            <w:r w:rsidR="004253E7">
              <w:rPr>
                <w:noProof/>
                <w:webHidden/>
              </w:rPr>
              <w:instrText xml:space="preserve"> PAGEREF _Toc404069807 \h </w:instrText>
            </w:r>
            <w:r w:rsidR="004253E7">
              <w:rPr>
                <w:noProof/>
                <w:webHidden/>
              </w:rPr>
            </w:r>
            <w:r w:rsidR="004253E7">
              <w:rPr>
                <w:noProof/>
                <w:webHidden/>
              </w:rPr>
              <w:fldChar w:fldCharType="separate"/>
            </w:r>
            <w:r w:rsidR="00817BBF">
              <w:rPr>
                <w:noProof/>
                <w:webHidden/>
              </w:rPr>
              <w:t>1</w:t>
            </w:r>
            <w:r w:rsidR="004253E7">
              <w:rPr>
                <w:noProof/>
                <w:webHidden/>
              </w:rPr>
              <w:fldChar w:fldCharType="end"/>
            </w:r>
          </w:hyperlink>
        </w:p>
        <w:p w14:paraId="617E995B" w14:textId="77777777" w:rsidR="004253E7" w:rsidRDefault="00190148">
          <w:pPr>
            <w:pStyle w:val="TOC2"/>
            <w:tabs>
              <w:tab w:val="right" w:leader="dot" w:pos="9350"/>
            </w:tabs>
            <w:rPr>
              <w:rFonts w:asciiTheme="minorHAnsi" w:hAnsiTheme="minorHAnsi"/>
              <w:noProof/>
              <w:sz w:val="22"/>
              <w:szCs w:val="22"/>
              <w:lang w:eastAsia="en-US"/>
            </w:rPr>
          </w:pPr>
          <w:hyperlink w:anchor="_Toc404069808" w:history="1">
            <w:r w:rsidR="004253E7" w:rsidRPr="00C90D9A">
              <w:rPr>
                <w:rStyle w:val="Hyperlink"/>
                <w:noProof/>
              </w:rPr>
              <w:t>Switchgrass Production, Genetics, and Structure</w:t>
            </w:r>
            <w:r w:rsidR="004253E7">
              <w:rPr>
                <w:noProof/>
                <w:webHidden/>
              </w:rPr>
              <w:tab/>
            </w:r>
            <w:r w:rsidR="004253E7">
              <w:rPr>
                <w:noProof/>
                <w:webHidden/>
              </w:rPr>
              <w:fldChar w:fldCharType="begin"/>
            </w:r>
            <w:r w:rsidR="004253E7">
              <w:rPr>
                <w:noProof/>
                <w:webHidden/>
              </w:rPr>
              <w:instrText xml:space="preserve"> PAGEREF _Toc404069808 \h </w:instrText>
            </w:r>
            <w:r w:rsidR="004253E7">
              <w:rPr>
                <w:noProof/>
                <w:webHidden/>
              </w:rPr>
            </w:r>
            <w:r w:rsidR="004253E7">
              <w:rPr>
                <w:noProof/>
                <w:webHidden/>
              </w:rPr>
              <w:fldChar w:fldCharType="separate"/>
            </w:r>
            <w:r w:rsidR="00817BBF">
              <w:rPr>
                <w:noProof/>
                <w:webHidden/>
              </w:rPr>
              <w:t>1</w:t>
            </w:r>
            <w:r w:rsidR="004253E7">
              <w:rPr>
                <w:noProof/>
                <w:webHidden/>
              </w:rPr>
              <w:fldChar w:fldCharType="end"/>
            </w:r>
          </w:hyperlink>
        </w:p>
        <w:p w14:paraId="50CE2C6C" w14:textId="77777777" w:rsidR="004253E7" w:rsidRDefault="00190148">
          <w:pPr>
            <w:pStyle w:val="TOC2"/>
            <w:tabs>
              <w:tab w:val="right" w:leader="dot" w:pos="9350"/>
            </w:tabs>
            <w:rPr>
              <w:rFonts w:asciiTheme="minorHAnsi" w:hAnsiTheme="minorHAnsi"/>
              <w:noProof/>
              <w:sz w:val="22"/>
              <w:szCs w:val="22"/>
              <w:lang w:eastAsia="en-US"/>
            </w:rPr>
          </w:pPr>
          <w:hyperlink w:anchor="_Toc404069809" w:history="1">
            <w:r w:rsidR="004253E7" w:rsidRPr="00C90D9A">
              <w:rPr>
                <w:rStyle w:val="Hyperlink"/>
                <w:noProof/>
              </w:rPr>
              <w:t>Switchgrass Disease</w:t>
            </w:r>
            <w:r w:rsidR="004253E7">
              <w:rPr>
                <w:noProof/>
                <w:webHidden/>
              </w:rPr>
              <w:tab/>
            </w:r>
            <w:r w:rsidR="004253E7">
              <w:rPr>
                <w:noProof/>
                <w:webHidden/>
              </w:rPr>
              <w:fldChar w:fldCharType="begin"/>
            </w:r>
            <w:r w:rsidR="004253E7">
              <w:rPr>
                <w:noProof/>
                <w:webHidden/>
              </w:rPr>
              <w:instrText xml:space="preserve"> PAGEREF _Toc404069809 \h </w:instrText>
            </w:r>
            <w:r w:rsidR="004253E7">
              <w:rPr>
                <w:noProof/>
                <w:webHidden/>
              </w:rPr>
            </w:r>
            <w:r w:rsidR="004253E7">
              <w:rPr>
                <w:noProof/>
                <w:webHidden/>
              </w:rPr>
              <w:fldChar w:fldCharType="separate"/>
            </w:r>
            <w:r w:rsidR="00817BBF">
              <w:rPr>
                <w:noProof/>
                <w:webHidden/>
              </w:rPr>
              <w:t>3</w:t>
            </w:r>
            <w:r w:rsidR="004253E7">
              <w:rPr>
                <w:noProof/>
                <w:webHidden/>
              </w:rPr>
              <w:fldChar w:fldCharType="end"/>
            </w:r>
          </w:hyperlink>
        </w:p>
        <w:p w14:paraId="108B0873" w14:textId="77777777" w:rsidR="004253E7" w:rsidRDefault="00190148">
          <w:pPr>
            <w:pStyle w:val="TOC2"/>
            <w:tabs>
              <w:tab w:val="right" w:leader="dot" w:pos="9350"/>
            </w:tabs>
            <w:rPr>
              <w:rFonts w:asciiTheme="minorHAnsi" w:hAnsiTheme="minorHAnsi"/>
              <w:noProof/>
              <w:sz w:val="22"/>
              <w:szCs w:val="22"/>
              <w:lang w:eastAsia="en-US"/>
            </w:rPr>
          </w:pPr>
          <w:hyperlink w:anchor="_Toc404069810" w:history="1">
            <w:r w:rsidR="004253E7" w:rsidRPr="00C90D9A">
              <w:rPr>
                <w:rStyle w:val="Hyperlink"/>
                <w:noProof/>
              </w:rPr>
              <w:t>Quantitative Genetics</w:t>
            </w:r>
            <w:r w:rsidR="004253E7">
              <w:rPr>
                <w:noProof/>
                <w:webHidden/>
              </w:rPr>
              <w:tab/>
            </w:r>
            <w:r w:rsidR="004253E7">
              <w:rPr>
                <w:noProof/>
                <w:webHidden/>
              </w:rPr>
              <w:fldChar w:fldCharType="begin"/>
            </w:r>
            <w:r w:rsidR="004253E7">
              <w:rPr>
                <w:noProof/>
                <w:webHidden/>
              </w:rPr>
              <w:instrText xml:space="preserve"> PAGEREF _Toc404069810 \h </w:instrText>
            </w:r>
            <w:r w:rsidR="004253E7">
              <w:rPr>
                <w:noProof/>
                <w:webHidden/>
              </w:rPr>
            </w:r>
            <w:r w:rsidR="004253E7">
              <w:rPr>
                <w:noProof/>
                <w:webHidden/>
              </w:rPr>
              <w:fldChar w:fldCharType="separate"/>
            </w:r>
            <w:r w:rsidR="00817BBF">
              <w:rPr>
                <w:noProof/>
                <w:webHidden/>
              </w:rPr>
              <w:t>4</w:t>
            </w:r>
            <w:r w:rsidR="004253E7">
              <w:rPr>
                <w:noProof/>
                <w:webHidden/>
              </w:rPr>
              <w:fldChar w:fldCharType="end"/>
            </w:r>
          </w:hyperlink>
        </w:p>
        <w:p w14:paraId="40CFD5C1" w14:textId="77777777" w:rsidR="004253E7" w:rsidRDefault="00190148">
          <w:pPr>
            <w:pStyle w:val="TOC3"/>
            <w:tabs>
              <w:tab w:val="right" w:leader="dot" w:pos="9350"/>
            </w:tabs>
            <w:rPr>
              <w:rFonts w:asciiTheme="minorHAnsi" w:hAnsiTheme="minorHAnsi"/>
              <w:noProof/>
              <w:sz w:val="22"/>
              <w:szCs w:val="22"/>
              <w:lang w:eastAsia="en-US"/>
            </w:rPr>
          </w:pPr>
          <w:hyperlink w:anchor="_Toc404069811" w:history="1">
            <w:r w:rsidR="004253E7" w:rsidRPr="00C90D9A">
              <w:rPr>
                <w:rStyle w:val="Hyperlink"/>
                <w:noProof/>
              </w:rPr>
              <w:t>Yield</w:t>
            </w:r>
            <w:r w:rsidR="004253E7">
              <w:rPr>
                <w:noProof/>
                <w:webHidden/>
              </w:rPr>
              <w:tab/>
            </w:r>
            <w:r w:rsidR="004253E7">
              <w:rPr>
                <w:noProof/>
                <w:webHidden/>
              </w:rPr>
              <w:fldChar w:fldCharType="begin"/>
            </w:r>
            <w:r w:rsidR="004253E7">
              <w:rPr>
                <w:noProof/>
                <w:webHidden/>
              </w:rPr>
              <w:instrText xml:space="preserve"> PAGEREF _Toc404069811 \h </w:instrText>
            </w:r>
            <w:r w:rsidR="004253E7">
              <w:rPr>
                <w:noProof/>
                <w:webHidden/>
              </w:rPr>
            </w:r>
            <w:r w:rsidR="004253E7">
              <w:rPr>
                <w:noProof/>
                <w:webHidden/>
              </w:rPr>
              <w:fldChar w:fldCharType="separate"/>
            </w:r>
            <w:r w:rsidR="00817BBF">
              <w:rPr>
                <w:noProof/>
                <w:webHidden/>
              </w:rPr>
              <w:t>5</w:t>
            </w:r>
            <w:r w:rsidR="004253E7">
              <w:rPr>
                <w:noProof/>
                <w:webHidden/>
              </w:rPr>
              <w:fldChar w:fldCharType="end"/>
            </w:r>
          </w:hyperlink>
        </w:p>
        <w:p w14:paraId="00482CE0" w14:textId="77777777" w:rsidR="004253E7" w:rsidRDefault="00190148">
          <w:pPr>
            <w:pStyle w:val="TOC3"/>
            <w:tabs>
              <w:tab w:val="right" w:leader="dot" w:pos="9350"/>
            </w:tabs>
            <w:rPr>
              <w:rFonts w:asciiTheme="minorHAnsi" w:hAnsiTheme="minorHAnsi"/>
              <w:noProof/>
              <w:sz w:val="22"/>
              <w:szCs w:val="22"/>
              <w:lang w:eastAsia="en-US"/>
            </w:rPr>
          </w:pPr>
          <w:hyperlink w:anchor="_Toc404069812" w:history="1">
            <w:r w:rsidR="004253E7" w:rsidRPr="00C90D9A">
              <w:rPr>
                <w:rStyle w:val="Hyperlink"/>
                <w:noProof/>
              </w:rPr>
              <w:t>Quality Correlations</w:t>
            </w:r>
            <w:r w:rsidR="004253E7">
              <w:rPr>
                <w:noProof/>
                <w:webHidden/>
              </w:rPr>
              <w:tab/>
            </w:r>
            <w:r w:rsidR="004253E7">
              <w:rPr>
                <w:noProof/>
                <w:webHidden/>
              </w:rPr>
              <w:fldChar w:fldCharType="begin"/>
            </w:r>
            <w:r w:rsidR="004253E7">
              <w:rPr>
                <w:noProof/>
                <w:webHidden/>
              </w:rPr>
              <w:instrText xml:space="preserve"> PAGEREF _Toc404069812 \h </w:instrText>
            </w:r>
            <w:r w:rsidR="004253E7">
              <w:rPr>
                <w:noProof/>
                <w:webHidden/>
              </w:rPr>
            </w:r>
            <w:r w:rsidR="004253E7">
              <w:rPr>
                <w:noProof/>
                <w:webHidden/>
              </w:rPr>
              <w:fldChar w:fldCharType="separate"/>
            </w:r>
            <w:r w:rsidR="00817BBF">
              <w:rPr>
                <w:noProof/>
                <w:webHidden/>
              </w:rPr>
              <w:t>7</w:t>
            </w:r>
            <w:r w:rsidR="004253E7">
              <w:rPr>
                <w:noProof/>
                <w:webHidden/>
              </w:rPr>
              <w:fldChar w:fldCharType="end"/>
            </w:r>
          </w:hyperlink>
        </w:p>
        <w:p w14:paraId="6BEE4618" w14:textId="77777777" w:rsidR="004253E7" w:rsidRDefault="00190148">
          <w:pPr>
            <w:pStyle w:val="TOC3"/>
            <w:tabs>
              <w:tab w:val="right" w:leader="dot" w:pos="9350"/>
            </w:tabs>
            <w:rPr>
              <w:rFonts w:asciiTheme="minorHAnsi" w:hAnsiTheme="minorHAnsi"/>
              <w:noProof/>
              <w:sz w:val="22"/>
              <w:szCs w:val="22"/>
              <w:lang w:eastAsia="en-US"/>
            </w:rPr>
          </w:pPr>
          <w:hyperlink w:anchor="_Toc404069813" w:history="1">
            <w:r w:rsidR="004253E7" w:rsidRPr="00C90D9A">
              <w:rPr>
                <w:rStyle w:val="Hyperlink"/>
                <w:noProof/>
              </w:rPr>
              <w:t>Potential Traits of Interest in Biofuel Switchgrass</w:t>
            </w:r>
            <w:r w:rsidR="004253E7">
              <w:rPr>
                <w:noProof/>
                <w:webHidden/>
              </w:rPr>
              <w:tab/>
            </w:r>
            <w:r w:rsidR="004253E7">
              <w:rPr>
                <w:noProof/>
                <w:webHidden/>
              </w:rPr>
              <w:fldChar w:fldCharType="begin"/>
            </w:r>
            <w:r w:rsidR="004253E7">
              <w:rPr>
                <w:noProof/>
                <w:webHidden/>
              </w:rPr>
              <w:instrText xml:space="preserve"> PAGEREF _Toc404069813 \h </w:instrText>
            </w:r>
            <w:r w:rsidR="004253E7">
              <w:rPr>
                <w:noProof/>
                <w:webHidden/>
              </w:rPr>
            </w:r>
            <w:r w:rsidR="004253E7">
              <w:rPr>
                <w:noProof/>
                <w:webHidden/>
              </w:rPr>
              <w:fldChar w:fldCharType="separate"/>
            </w:r>
            <w:r w:rsidR="00817BBF">
              <w:rPr>
                <w:noProof/>
                <w:webHidden/>
              </w:rPr>
              <w:t>9</w:t>
            </w:r>
            <w:r w:rsidR="004253E7">
              <w:rPr>
                <w:noProof/>
                <w:webHidden/>
              </w:rPr>
              <w:fldChar w:fldCharType="end"/>
            </w:r>
          </w:hyperlink>
        </w:p>
        <w:p w14:paraId="2F03F3D1" w14:textId="77777777" w:rsidR="004253E7" w:rsidRDefault="00190148">
          <w:pPr>
            <w:pStyle w:val="TOC3"/>
            <w:tabs>
              <w:tab w:val="right" w:leader="dot" w:pos="9350"/>
            </w:tabs>
            <w:rPr>
              <w:rFonts w:asciiTheme="minorHAnsi" w:hAnsiTheme="minorHAnsi"/>
              <w:noProof/>
              <w:sz w:val="22"/>
              <w:szCs w:val="22"/>
              <w:lang w:eastAsia="en-US"/>
            </w:rPr>
          </w:pPr>
          <w:hyperlink w:anchor="_Toc404069814" w:history="1">
            <w:r w:rsidR="004253E7" w:rsidRPr="00C90D9A">
              <w:rPr>
                <w:rStyle w:val="Hyperlink"/>
                <w:noProof/>
              </w:rPr>
              <w:t>Potential Genetic Parameters of Interest</w:t>
            </w:r>
            <w:r w:rsidR="004253E7">
              <w:rPr>
                <w:noProof/>
                <w:webHidden/>
              </w:rPr>
              <w:tab/>
            </w:r>
            <w:r w:rsidR="004253E7">
              <w:rPr>
                <w:noProof/>
                <w:webHidden/>
              </w:rPr>
              <w:fldChar w:fldCharType="begin"/>
            </w:r>
            <w:r w:rsidR="004253E7">
              <w:rPr>
                <w:noProof/>
                <w:webHidden/>
              </w:rPr>
              <w:instrText xml:space="preserve"> PAGEREF _Toc404069814 \h </w:instrText>
            </w:r>
            <w:r w:rsidR="004253E7">
              <w:rPr>
                <w:noProof/>
                <w:webHidden/>
              </w:rPr>
            </w:r>
            <w:r w:rsidR="004253E7">
              <w:rPr>
                <w:noProof/>
                <w:webHidden/>
              </w:rPr>
              <w:fldChar w:fldCharType="separate"/>
            </w:r>
            <w:r w:rsidR="00817BBF">
              <w:rPr>
                <w:noProof/>
                <w:webHidden/>
              </w:rPr>
              <w:t>11</w:t>
            </w:r>
            <w:r w:rsidR="004253E7">
              <w:rPr>
                <w:noProof/>
                <w:webHidden/>
              </w:rPr>
              <w:fldChar w:fldCharType="end"/>
            </w:r>
          </w:hyperlink>
        </w:p>
        <w:p w14:paraId="45AD6CC5" w14:textId="77777777" w:rsidR="004253E7" w:rsidRDefault="00190148">
          <w:pPr>
            <w:pStyle w:val="TOC2"/>
            <w:tabs>
              <w:tab w:val="right" w:leader="dot" w:pos="9350"/>
            </w:tabs>
            <w:rPr>
              <w:rFonts w:asciiTheme="minorHAnsi" w:hAnsiTheme="minorHAnsi"/>
              <w:noProof/>
              <w:sz w:val="22"/>
              <w:szCs w:val="22"/>
              <w:lang w:eastAsia="en-US"/>
            </w:rPr>
          </w:pPr>
          <w:hyperlink w:anchor="_Toc404069815" w:history="1">
            <w:r w:rsidR="004253E7" w:rsidRPr="00C90D9A">
              <w:rPr>
                <w:rStyle w:val="Hyperlink"/>
                <w:noProof/>
              </w:rPr>
              <w:t>Juvenile Selection</w:t>
            </w:r>
            <w:r w:rsidR="004253E7">
              <w:rPr>
                <w:noProof/>
                <w:webHidden/>
              </w:rPr>
              <w:tab/>
            </w:r>
            <w:r w:rsidR="004253E7">
              <w:rPr>
                <w:noProof/>
                <w:webHidden/>
              </w:rPr>
              <w:fldChar w:fldCharType="begin"/>
            </w:r>
            <w:r w:rsidR="004253E7">
              <w:rPr>
                <w:noProof/>
                <w:webHidden/>
              </w:rPr>
              <w:instrText xml:space="preserve"> PAGEREF _Toc404069815 \h </w:instrText>
            </w:r>
            <w:r w:rsidR="004253E7">
              <w:rPr>
                <w:noProof/>
                <w:webHidden/>
              </w:rPr>
            </w:r>
            <w:r w:rsidR="004253E7">
              <w:rPr>
                <w:noProof/>
                <w:webHidden/>
              </w:rPr>
              <w:fldChar w:fldCharType="separate"/>
            </w:r>
            <w:r w:rsidR="00817BBF">
              <w:rPr>
                <w:noProof/>
                <w:webHidden/>
              </w:rPr>
              <w:t>12</w:t>
            </w:r>
            <w:r w:rsidR="004253E7">
              <w:rPr>
                <w:noProof/>
                <w:webHidden/>
              </w:rPr>
              <w:fldChar w:fldCharType="end"/>
            </w:r>
          </w:hyperlink>
        </w:p>
        <w:p w14:paraId="2932A539" w14:textId="77777777" w:rsidR="004253E7" w:rsidRDefault="00190148">
          <w:pPr>
            <w:pStyle w:val="TOC2"/>
            <w:tabs>
              <w:tab w:val="right" w:leader="dot" w:pos="9350"/>
            </w:tabs>
            <w:rPr>
              <w:rFonts w:asciiTheme="minorHAnsi" w:hAnsiTheme="minorHAnsi"/>
              <w:noProof/>
              <w:sz w:val="22"/>
              <w:szCs w:val="22"/>
              <w:lang w:eastAsia="en-US"/>
            </w:rPr>
          </w:pPr>
          <w:hyperlink w:anchor="_Toc404069816" w:history="1">
            <w:r w:rsidR="004253E7" w:rsidRPr="00C90D9A">
              <w:rPr>
                <w:rStyle w:val="Hyperlink"/>
                <w:noProof/>
              </w:rPr>
              <w:t>Planting Density</w:t>
            </w:r>
            <w:r w:rsidR="004253E7">
              <w:rPr>
                <w:noProof/>
                <w:webHidden/>
              </w:rPr>
              <w:tab/>
            </w:r>
            <w:r w:rsidR="004253E7">
              <w:rPr>
                <w:noProof/>
                <w:webHidden/>
              </w:rPr>
              <w:fldChar w:fldCharType="begin"/>
            </w:r>
            <w:r w:rsidR="004253E7">
              <w:rPr>
                <w:noProof/>
                <w:webHidden/>
              </w:rPr>
              <w:instrText xml:space="preserve"> PAGEREF _Toc404069816 \h </w:instrText>
            </w:r>
            <w:r w:rsidR="004253E7">
              <w:rPr>
                <w:noProof/>
                <w:webHidden/>
              </w:rPr>
            </w:r>
            <w:r w:rsidR="004253E7">
              <w:rPr>
                <w:noProof/>
                <w:webHidden/>
              </w:rPr>
              <w:fldChar w:fldCharType="separate"/>
            </w:r>
            <w:r w:rsidR="00817BBF">
              <w:rPr>
                <w:noProof/>
                <w:webHidden/>
              </w:rPr>
              <w:t>13</w:t>
            </w:r>
            <w:r w:rsidR="004253E7">
              <w:rPr>
                <w:noProof/>
                <w:webHidden/>
              </w:rPr>
              <w:fldChar w:fldCharType="end"/>
            </w:r>
          </w:hyperlink>
        </w:p>
        <w:p w14:paraId="16F94584" w14:textId="77777777" w:rsidR="004253E7" w:rsidRDefault="00190148">
          <w:pPr>
            <w:pStyle w:val="TOC2"/>
            <w:tabs>
              <w:tab w:val="right" w:leader="dot" w:pos="9350"/>
            </w:tabs>
            <w:rPr>
              <w:rFonts w:asciiTheme="minorHAnsi" w:hAnsiTheme="minorHAnsi"/>
              <w:noProof/>
              <w:sz w:val="22"/>
              <w:szCs w:val="22"/>
              <w:lang w:eastAsia="en-US"/>
            </w:rPr>
          </w:pPr>
          <w:hyperlink w:anchor="_Toc404069817" w:history="1">
            <w:r w:rsidR="004253E7" w:rsidRPr="00C90D9A">
              <w:rPr>
                <w:rStyle w:val="Hyperlink"/>
                <w:noProof/>
              </w:rPr>
              <w:t>Objectives</w:t>
            </w:r>
            <w:r w:rsidR="004253E7">
              <w:rPr>
                <w:noProof/>
                <w:webHidden/>
              </w:rPr>
              <w:tab/>
            </w:r>
            <w:r w:rsidR="004253E7">
              <w:rPr>
                <w:noProof/>
                <w:webHidden/>
              </w:rPr>
              <w:fldChar w:fldCharType="begin"/>
            </w:r>
            <w:r w:rsidR="004253E7">
              <w:rPr>
                <w:noProof/>
                <w:webHidden/>
              </w:rPr>
              <w:instrText xml:space="preserve"> PAGEREF _Toc404069817 \h </w:instrText>
            </w:r>
            <w:r w:rsidR="004253E7">
              <w:rPr>
                <w:noProof/>
                <w:webHidden/>
              </w:rPr>
            </w:r>
            <w:r w:rsidR="004253E7">
              <w:rPr>
                <w:noProof/>
                <w:webHidden/>
              </w:rPr>
              <w:fldChar w:fldCharType="separate"/>
            </w:r>
            <w:r w:rsidR="00817BBF">
              <w:rPr>
                <w:noProof/>
                <w:webHidden/>
              </w:rPr>
              <w:t>15</w:t>
            </w:r>
            <w:r w:rsidR="004253E7">
              <w:rPr>
                <w:noProof/>
                <w:webHidden/>
              </w:rPr>
              <w:fldChar w:fldCharType="end"/>
            </w:r>
          </w:hyperlink>
        </w:p>
        <w:p w14:paraId="73EC8934" w14:textId="77777777" w:rsidR="004253E7" w:rsidRDefault="00190148">
          <w:pPr>
            <w:pStyle w:val="TOC1"/>
            <w:tabs>
              <w:tab w:val="right" w:leader="dot" w:pos="9350"/>
            </w:tabs>
            <w:rPr>
              <w:rFonts w:asciiTheme="minorHAnsi" w:hAnsiTheme="minorHAnsi"/>
              <w:noProof/>
              <w:sz w:val="22"/>
              <w:szCs w:val="22"/>
              <w:lang w:eastAsia="en-US"/>
            </w:rPr>
          </w:pPr>
          <w:hyperlink w:anchor="_Toc404069818" w:history="1">
            <w:r w:rsidR="004253E7" w:rsidRPr="00C90D9A">
              <w:rPr>
                <w:rStyle w:val="Hyperlink"/>
                <w:noProof/>
              </w:rPr>
              <w:t xml:space="preserve">CHAPTER 1 - REDUCTION OF PREDICTED ETHANOL YIELD FROM SWITCHGRASS INFECTED WITH </w:t>
            </w:r>
            <w:r w:rsidR="004253E7" w:rsidRPr="00C90D9A">
              <w:rPr>
                <w:rStyle w:val="Hyperlink"/>
                <w:i/>
                <w:noProof/>
              </w:rPr>
              <w:t>PUCCINIA EMACULATA</w:t>
            </w:r>
            <w:r w:rsidR="004253E7">
              <w:rPr>
                <w:noProof/>
                <w:webHidden/>
              </w:rPr>
              <w:tab/>
            </w:r>
            <w:r w:rsidR="004253E7">
              <w:rPr>
                <w:noProof/>
                <w:webHidden/>
              </w:rPr>
              <w:fldChar w:fldCharType="begin"/>
            </w:r>
            <w:r w:rsidR="004253E7">
              <w:rPr>
                <w:noProof/>
                <w:webHidden/>
              </w:rPr>
              <w:instrText xml:space="preserve"> PAGEREF _Toc404069818 \h </w:instrText>
            </w:r>
            <w:r w:rsidR="004253E7">
              <w:rPr>
                <w:noProof/>
                <w:webHidden/>
              </w:rPr>
            </w:r>
            <w:r w:rsidR="004253E7">
              <w:rPr>
                <w:noProof/>
                <w:webHidden/>
              </w:rPr>
              <w:fldChar w:fldCharType="separate"/>
            </w:r>
            <w:r w:rsidR="00817BBF">
              <w:rPr>
                <w:noProof/>
                <w:webHidden/>
              </w:rPr>
              <w:t>16</w:t>
            </w:r>
            <w:r w:rsidR="004253E7">
              <w:rPr>
                <w:noProof/>
                <w:webHidden/>
              </w:rPr>
              <w:fldChar w:fldCharType="end"/>
            </w:r>
          </w:hyperlink>
        </w:p>
        <w:p w14:paraId="54588F31" w14:textId="77777777" w:rsidR="004253E7" w:rsidRDefault="00190148">
          <w:pPr>
            <w:pStyle w:val="TOC2"/>
            <w:tabs>
              <w:tab w:val="right" w:leader="dot" w:pos="9350"/>
            </w:tabs>
            <w:rPr>
              <w:rFonts w:asciiTheme="minorHAnsi" w:hAnsiTheme="minorHAnsi"/>
              <w:noProof/>
              <w:sz w:val="22"/>
              <w:szCs w:val="22"/>
              <w:lang w:eastAsia="en-US"/>
            </w:rPr>
          </w:pPr>
          <w:hyperlink w:anchor="_Toc404069819" w:history="1">
            <w:r w:rsidR="004253E7" w:rsidRPr="00C90D9A">
              <w:rPr>
                <w:rStyle w:val="Hyperlink"/>
                <w:noProof/>
              </w:rPr>
              <w:t>Abstract</w:t>
            </w:r>
            <w:r w:rsidR="004253E7">
              <w:rPr>
                <w:noProof/>
                <w:webHidden/>
              </w:rPr>
              <w:tab/>
            </w:r>
            <w:r w:rsidR="004253E7">
              <w:rPr>
                <w:noProof/>
                <w:webHidden/>
              </w:rPr>
              <w:fldChar w:fldCharType="begin"/>
            </w:r>
            <w:r w:rsidR="004253E7">
              <w:rPr>
                <w:noProof/>
                <w:webHidden/>
              </w:rPr>
              <w:instrText xml:space="preserve"> PAGEREF _Toc404069819 \h </w:instrText>
            </w:r>
            <w:r w:rsidR="004253E7">
              <w:rPr>
                <w:noProof/>
                <w:webHidden/>
              </w:rPr>
            </w:r>
            <w:r w:rsidR="004253E7">
              <w:rPr>
                <w:noProof/>
                <w:webHidden/>
              </w:rPr>
              <w:fldChar w:fldCharType="separate"/>
            </w:r>
            <w:r w:rsidR="00817BBF">
              <w:rPr>
                <w:noProof/>
                <w:webHidden/>
              </w:rPr>
              <w:t>17</w:t>
            </w:r>
            <w:r w:rsidR="004253E7">
              <w:rPr>
                <w:noProof/>
                <w:webHidden/>
              </w:rPr>
              <w:fldChar w:fldCharType="end"/>
            </w:r>
          </w:hyperlink>
        </w:p>
        <w:p w14:paraId="647A3C04" w14:textId="77777777" w:rsidR="004253E7" w:rsidRDefault="00190148">
          <w:pPr>
            <w:pStyle w:val="TOC2"/>
            <w:tabs>
              <w:tab w:val="right" w:leader="dot" w:pos="9350"/>
            </w:tabs>
            <w:rPr>
              <w:rFonts w:asciiTheme="minorHAnsi" w:hAnsiTheme="minorHAnsi"/>
              <w:noProof/>
              <w:sz w:val="22"/>
              <w:szCs w:val="22"/>
              <w:lang w:eastAsia="en-US"/>
            </w:rPr>
          </w:pPr>
          <w:hyperlink w:anchor="_Toc404069820" w:history="1">
            <w:r w:rsidR="004253E7" w:rsidRPr="00C90D9A">
              <w:rPr>
                <w:rStyle w:val="Hyperlink"/>
                <w:noProof/>
              </w:rPr>
              <w:t>Introduction</w:t>
            </w:r>
            <w:r w:rsidR="004253E7">
              <w:rPr>
                <w:noProof/>
                <w:webHidden/>
              </w:rPr>
              <w:tab/>
            </w:r>
            <w:r w:rsidR="004253E7">
              <w:rPr>
                <w:noProof/>
                <w:webHidden/>
              </w:rPr>
              <w:fldChar w:fldCharType="begin"/>
            </w:r>
            <w:r w:rsidR="004253E7">
              <w:rPr>
                <w:noProof/>
                <w:webHidden/>
              </w:rPr>
              <w:instrText xml:space="preserve"> PAGEREF _Toc404069820 \h </w:instrText>
            </w:r>
            <w:r w:rsidR="004253E7">
              <w:rPr>
                <w:noProof/>
                <w:webHidden/>
              </w:rPr>
            </w:r>
            <w:r w:rsidR="004253E7">
              <w:rPr>
                <w:noProof/>
                <w:webHidden/>
              </w:rPr>
              <w:fldChar w:fldCharType="separate"/>
            </w:r>
            <w:r w:rsidR="00817BBF">
              <w:rPr>
                <w:noProof/>
                <w:webHidden/>
              </w:rPr>
              <w:t>18</w:t>
            </w:r>
            <w:r w:rsidR="004253E7">
              <w:rPr>
                <w:noProof/>
                <w:webHidden/>
              </w:rPr>
              <w:fldChar w:fldCharType="end"/>
            </w:r>
          </w:hyperlink>
        </w:p>
        <w:p w14:paraId="405D50E7" w14:textId="77777777" w:rsidR="004253E7" w:rsidRDefault="00190148">
          <w:pPr>
            <w:pStyle w:val="TOC2"/>
            <w:tabs>
              <w:tab w:val="right" w:leader="dot" w:pos="9350"/>
            </w:tabs>
            <w:rPr>
              <w:rFonts w:asciiTheme="minorHAnsi" w:hAnsiTheme="minorHAnsi"/>
              <w:noProof/>
              <w:sz w:val="22"/>
              <w:szCs w:val="22"/>
              <w:lang w:eastAsia="en-US"/>
            </w:rPr>
          </w:pPr>
          <w:hyperlink w:anchor="_Toc404069821" w:history="1">
            <w:r w:rsidR="004253E7" w:rsidRPr="00C90D9A">
              <w:rPr>
                <w:rStyle w:val="Hyperlink"/>
                <w:noProof/>
              </w:rPr>
              <w:t>Materials and Methods</w:t>
            </w:r>
            <w:r w:rsidR="004253E7">
              <w:rPr>
                <w:noProof/>
                <w:webHidden/>
              </w:rPr>
              <w:tab/>
            </w:r>
            <w:r w:rsidR="004253E7">
              <w:rPr>
                <w:noProof/>
                <w:webHidden/>
              </w:rPr>
              <w:fldChar w:fldCharType="begin"/>
            </w:r>
            <w:r w:rsidR="004253E7">
              <w:rPr>
                <w:noProof/>
                <w:webHidden/>
              </w:rPr>
              <w:instrText xml:space="preserve"> PAGEREF _Toc404069821 \h </w:instrText>
            </w:r>
            <w:r w:rsidR="004253E7">
              <w:rPr>
                <w:noProof/>
                <w:webHidden/>
              </w:rPr>
            </w:r>
            <w:r w:rsidR="004253E7">
              <w:rPr>
                <w:noProof/>
                <w:webHidden/>
              </w:rPr>
              <w:fldChar w:fldCharType="separate"/>
            </w:r>
            <w:r w:rsidR="00817BBF">
              <w:rPr>
                <w:noProof/>
                <w:webHidden/>
              </w:rPr>
              <w:t>19</w:t>
            </w:r>
            <w:r w:rsidR="004253E7">
              <w:rPr>
                <w:noProof/>
                <w:webHidden/>
              </w:rPr>
              <w:fldChar w:fldCharType="end"/>
            </w:r>
          </w:hyperlink>
        </w:p>
        <w:p w14:paraId="56F57386" w14:textId="77777777" w:rsidR="004253E7" w:rsidRDefault="00190148">
          <w:pPr>
            <w:pStyle w:val="TOC3"/>
            <w:tabs>
              <w:tab w:val="right" w:leader="dot" w:pos="9350"/>
            </w:tabs>
            <w:rPr>
              <w:rFonts w:asciiTheme="minorHAnsi" w:hAnsiTheme="minorHAnsi"/>
              <w:noProof/>
              <w:sz w:val="22"/>
              <w:szCs w:val="22"/>
              <w:lang w:eastAsia="en-US"/>
            </w:rPr>
          </w:pPr>
          <w:hyperlink w:anchor="_Toc404069822" w:history="1">
            <w:r w:rsidR="004253E7" w:rsidRPr="00C90D9A">
              <w:rPr>
                <w:rStyle w:val="Hyperlink"/>
                <w:noProof/>
              </w:rPr>
              <w:t>Plant Material</w:t>
            </w:r>
            <w:r w:rsidR="004253E7">
              <w:rPr>
                <w:noProof/>
                <w:webHidden/>
              </w:rPr>
              <w:tab/>
            </w:r>
            <w:r w:rsidR="004253E7">
              <w:rPr>
                <w:noProof/>
                <w:webHidden/>
              </w:rPr>
              <w:fldChar w:fldCharType="begin"/>
            </w:r>
            <w:r w:rsidR="004253E7">
              <w:rPr>
                <w:noProof/>
                <w:webHidden/>
              </w:rPr>
              <w:instrText xml:space="preserve"> PAGEREF _Toc404069822 \h </w:instrText>
            </w:r>
            <w:r w:rsidR="004253E7">
              <w:rPr>
                <w:noProof/>
                <w:webHidden/>
              </w:rPr>
            </w:r>
            <w:r w:rsidR="004253E7">
              <w:rPr>
                <w:noProof/>
                <w:webHidden/>
              </w:rPr>
              <w:fldChar w:fldCharType="separate"/>
            </w:r>
            <w:r w:rsidR="00817BBF">
              <w:rPr>
                <w:noProof/>
                <w:webHidden/>
              </w:rPr>
              <w:t>19</w:t>
            </w:r>
            <w:r w:rsidR="004253E7">
              <w:rPr>
                <w:noProof/>
                <w:webHidden/>
              </w:rPr>
              <w:fldChar w:fldCharType="end"/>
            </w:r>
          </w:hyperlink>
        </w:p>
        <w:p w14:paraId="215DD212" w14:textId="77777777" w:rsidR="004253E7" w:rsidRDefault="00190148">
          <w:pPr>
            <w:pStyle w:val="TOC3"/>
            <w:tabs>
              <w:tab w:val="right" w:leader="dot" w:pos="9350"/>
            </w:tabs>
            <w:rPr>
              <w:rFonts w:asciiTheme="minorHAnsi" w:hAnsiTheme="minorHAnsi"/>
              <w:noProof/>
              <w:sz w:val="22"/>
              <w:szCs w:val="22"/>
              <w:lang w:eastAsia="en-US"/>
            </w:rPr>
          </w:pPr>
          <w:hyperlink w:anchor="_Toc404069823" w:history="1">
            <w:r w:rsidR="004253E7" w:rsidRPr="00C90D9A">
              <w:rPr>
                <w:rStyle w:val="Hyperlink"/>
                <w:noProof/>
              </w:rPr>
              <w:t>Pathogen Isolation and Identification</w:t>
            </w:r>
            <w:r w:rsidR="004253E7">
              <w:rPr>
                <w:noProof/>
                <w:webHidden/>
              </w:rPr>
              <w:tab/>
            </w:r>
            <w:r w:rsidR="004253E7">
              <w:rPr>
                <w:noProof/>
                <w:webHidden/>
              </w:rPr>
              <w:fldChar w:fldCharType="begin"/>
            </w:r>
            <w:r w:rsidR="004253E7">
              <w:rPr>
                <w:noProof/>
                <w:webHidden/>
              </w:rPr>
              <w:instrText xml:space="preserve"> PAGEREF _Toc404069823 \h </w:instrText>
            </w:r>
            <w:r w:rsidR="004253E7">
              <w:rPr>
                <w:noProof/>
                <w:webHidden/>
              </w:rPr>
            </w:r>
            <w:r w:rsidR="004253E7">
              <w:rPr>
                <w:noProof/>
                <w:webHidden/>
              </w:rPr>
              <w:fldChar w:fldCharType="separate"/>
            </w:r>
            <w:r w:rsidR="00817BBF">
              <w:rPr>
                <w:noProof/>
                <w:webHidden/>
              </w:rPr>
              <w:t>20</w:t>
            </w:r>
            <w:r w:rsidR="004253E7">
              <w:rPr>
                <w:noProof/>
                <w:webHidden/>
              </w:rPr>
              <w:fldChar w:fldCharType="end"/>
            </w:r>
          </w:hyperlink>
        </w:p>
        <w:p w14:paraId="2750AFB8" w14:textId="77777777" w:rsidR="004253E7" w:rsidRDefault="00190148">
          <w:pPr>
            <w:pStyle w:val="TOC3"/>
            <w:tabs>
              <w:tab w:val="right" w:leader="dot" w:pos="9350"/>
            </w:tabs>
            <w:rPr>
              <w:rFonts w:asciiTheme="minorHAnsi" w:hAnsiTheme="minorHAnsi"/>
              <w:noProof/>
              <w:sz w:val="22"/>
              <w:szCs w:val="22"/>
              <w:lang w:eastAsia="en-US"/>
            </w:rPr>
          </w:pPr>
          <w:hyperlink w:anchor="_Toc404069824" w:history="1">
            <w:r w:rsidR="004253E7" w:rsidRPr="00C90D9A">
              <w:rPr>
                <w:rStyle w:val="Hyperlink"/>
                <w:noProof/>
              </w:rPr>
              <w:t>Ethanol Fermentation</w:t>
            </w:r>
            <w:r w:rsidR="004253E7">
              <w:rPr>
                <w:noProof/>
                <w:webHidden/>
              </w:rPr>
              <w:tab/>
            </w:r>
            <w:r w:rsidR="004253E7">
              <w:rPr>
                <w:noProof/>
                <w:webHidden/>
              </w:rPr>
              <w:fldChar w:fldCharType="begin"/>
            </w:r>
            <w:r w:rsidR="004253E7">
              <w:rPr>
                <w:noProof/>
                <w:webHidden/>
              </w:rPr>
              <w:instrText xml:space="preserve"> PAGEREF _Toc404069824 \h </w:instrText>
            </w:r>
            <w:r w:rsidR="004253E7">
              <w:rPr>
                <w:noProof/>
                <w:webHidden/>
              </w:rPr>
            </w:r>
            <w:r w:rsidR="004253E7">
              <w:rPr>
                <w:noProof/>
                <w:webHidden/>
              </w:rPr>
              <w:fldChar w:fldCharType="separate"/>
            </w:r>
            <w:r w:rsidR="00817BBF">
              <w:rPr>
                <w:noProof/>
                <w:webHidden/>
              </w:rPr>
              <w:t>21</w:t>
            </w:r>
            <w:r w:rsidR="004253E7">
              <w:rPr>
                <w:noProof/>
                <w:webHidden/>
              </w:rPr>
              <w:fldChar w:fldCharType="end"/>
            </w:r>
          </w:hyperlink>
        </w:p>
        <w:p w14:paraId="5D71DBA4" w14:textId="77777777" w:rsidR="004253E7" w:rsidRDefault="00190148">
          <w:pPr>
            <w:pStyle w:val="TOC3"/>
            <w:tabs>
              <w:tab w:val="right" w:leader="dot" w:pos="9350"/>
            </w:tabs>
            <w:rPr>
              <w:rFonts w:asciiTheme="minorHAnsi" w:hAnsiTheme="minorHAnsi"/>
              <w:noProof/>
              <w:sz w:val="22"/>
              <w:szCs w:val="22"/>
              <w:lang w:eastAsia="en-US"/>
            </w:rPr>
          </w:pPr>
          <w:hyperlink w:anchor="_Toc404069825" w:history="1">
            <w:r w:rsidR="004253E7" w:rsidRPr="00C90D9A">
              <w:rPr>
                <w:rStyle w:val="Hyperlink"/>
                <w:noProof/>
              </w:rPr>
              <w:t>NIRS Analysis</w:t>
            </w:r>
            <w:r w:rsidR="004253E7">
              <w:rPr>
                <w:noProof/>
                <w:webHidden/>
              </w:rPr>
              <w:tab/>
            </w:r>
            <w:r w:rsidR="004253E7">
              <w:rPr>
                <w:noProof/>
                <w:webHidden/>
              </w:rPr>
              <w:fldChar w:fldCharType="begin"/>
            </w:r>
            <w:r w:rsidR="004253E7">
              <w:rPr>
                <w:noProof/>
                <w:webHidden/>
              </w:rPr>
              <w:instrText xml:space="preserve"> PAGEREF _Toc404069825 \h </w:instrText>
            </w:r>
            <w:r w:rsidR="004253E7">
              <w:rPr>
                <w:noProof/>
                <w:webHidden/>
              </w:rPr>
            </w:r>
            <w:r w:rsidR="004253E7">
              <w:rPr>
                <w:noProof/>
                <w:webHidden/>
              </w:rPr>
              <w:fldChar w:fldCharType="separate"/>
            </w:r>
            <w:r w:rsidR="00817BBF">
              <w:rPr>
                <w:noProof/>
                <w:webHidden/>
              </w:rPr>
              <w:t>22</w:t>
            </w:r>
            <w:r w:rsidR="004253E7">
              <w:rPr>
                <w:noProof/>
                <w:webHidden/>
              </w:rPr>
              <w:fldChar w:fldCharType="end"/>
            </w:r>
          </w:hyperlink>
        </w:p>
        <w:p w14:paraId="74040C73" w14:textId="77777777" w:rsidR="004253E7" w:rsidRDefault="00190148">
          <w:pPr>
            <w:pStyle w:val="TOC3"/>
            <w:tabs>
              <w:tab w:val="right" w:leader="dot" w:pos="9350"/>
            </w:tabs>
            <w:rPr>
              <w:rFonts w:asciiTheme="minorHAnsi" w:hAnsiTheme="minorHAnsi"/>
              <w:noProof/>
              <w:sz w:val="22"/>
              <w:szCs w:val="22"/>
              <w:lang w:eastAsia="en-US"/>
            </w:rPr>
          </w:pPr>
          <w:hyperlink w:anchor="_Toc404069826" w:history="1">
            <w:r w:rsidR="004253E7" w:rsidRPr="00C90D9A">
              <w:rPr>
                <w:rStyle w:val="Hyperlink"/>
                <w:noProof/>
              </w:rPr>
              <w:t>Statistical Analysis</w:t>
            </w:r>
            <w:r w:rsidR="004253E7">
              <w:rPr>
                <w:noProof/>
                <w:webHidden/>
              </w:rPr>
              <w:tab/>
            </w:r>
            <w:r w:rsidR="004253E7">
              <w:rPr>
                <w:noProof/>
                <w:webHidden/>
              </w:rPr>
              <w:fldChar w:fldCharType="begin"/>
            </w:r>
            <w:r w:rsidR="004253E7">
              <w:rPr>
                <w:noProof/>
                <w:webHidden/>
              </w:rPr>
              <w:instrText xml:space="preserve"> PAGEREF _Toc404069826 \h </w:instrText>
            </w:r>
            <w:r w:rsidR="004253E7">
              <w:rPr>
                <w:noProof/>
                <w:webHidden/>
              </w:rPr>
            </w:r>
            <w:r w:rsidR="004253E7">
              <w:rPr>
                <w:noProof/>
                <w:webHidden/>
              </w:rPr>
              <w:fldChar w:fldCharType="separate"/>
            </w:r>
            <w:r w:rsidR="00817BBF">
              <w:rPr>
                <w:noProof/>
                <w:webHidden/>
              </w:rPr>
              <w:t>23</w:t>
            </w:r>
            <w:r w:rsidR="004253E7">
              <w:rPr>
                <w:noProof/>
                <w:webHidden/>
              </w:rPr>
              <w:fldChar w:fldCharType="end"/>
            </w:r>
          </w:hyperlink>
        </w:p>
        <w:p w14:paraId="5A5E8ADE" w14:textId="77777777" w:rsidR="004253E7" w:rsidRDefault="00190148">
          <w:pPr>
            <w:pStyle w:val="TOC2"/>
            <w:tabs>
              <w:tab w:val="right" w:leader="dot" w:pos="9350"/>
            </w:tabs>
            <w:rPr>
              <w:rFonts w:asciiTheme="minorHAnsi" w:hAnsiTheme="minorHAnsi"/>
              <w:noProof/>
              <w:sz w:val="22"/>
              <w:szCs w:val="22"/>
              <w:lang w:eastAsia="en-US"/>
            </w:rPr>
          </w:pPr>
          <w:hyperlink w:anchor="_Toc404069827" w:history="1">
            <w:r w:rsidR="004253E7" w:rsidRPr="00C90D9A">
              <w:rPr>
                <w:rStyle w:val="Hyperlink"/>
                <w:noProof/>
              </w:rPr>
              <w:t>Results and Discussion</w:t>
            </w:r>
            <w:r w:rsidR="004253E7">
              <w:rPr>
                <w:noProof/>
                <w:webHidden/>
              </w:rPr>
              <w:tab/>
            </w:r>
            <w:r w:rsidR="004253E7">
              <w:rPr>
                <w:noProof/>
                <w:webHidden/>
              </w:rPr>
              <w:fldChar w:fldCharType="begin"/>
            </w:r>
            <w:r w:rsidR="004253E7">
              <w:rPr>
                <w:noProof/>
                <w:webHidden/>
              </w:rPr>
              <w:instrText xml:space="preserve"> PAGEREF _Toc404069827 \h </w:instrText>
            </w:r>
            <w:r w:rsidR="004253E7">
              <w:rPr>
                <w:noProof/>
                <w:webHidden/>
              </w:rPr>
            </w:r>
            <w:r w:rsidR="004253E7">
              <w:rPr>
                <w:noProof/>
                <w:webHidden/>
              </w:rPr>
              <w:fldChar w:fldCharType="separate"/>
            </w:r>
            <w:r w:rsidR="00817BBF">
              <w:rPr>
                <w:noProof/>
                <w:webHidden/>
              </w:rPr>
              <w:t>24</w:t>
            </w:r>
            <w:r w:rsidR="004253E7">
              <w:rPr>
                <w:noProof/>
                <w:webHidden/>
              </w:rPr>
              <w:fldChar w:fldCharType="end"/>
            </w:r>
          </w:hyperlink>
        </w:p>
        <w:p w14:paraId="7802407C" w14:textId="77777777" w:rsidR="004253E7" w:rsidRDefault="00190148">
          <w:pPr>
            <w:pStyle w:val="TOC2"/>
            <w:tabs>
              <w:tab w:val="right" w:leader="dot" w:pos="9350"/>
            </w:tabs>
            <w:rPr>
              <w:rFonts w:asciiTheme="minorHAnsi" w:hAnsiTheme="minorHAnsi"/>
              <w:noProof/>
              <w:sz w:val="22"/>
              <w:szCs w:val="22"/>
              <w:lang w:eastAsia="en-US"/>
            </w:rPr>
          </w:pPr>
          <w:hyperlink w:anchor="_Toc404069828" w:history="1">
            <w:r w:rsidR="004253E7" w:rsidRPr="00C90D9A">
              <w:rPr>
                <w:rStyle w:val="Hyperlink"/>
                <w:noProof/>
                <w:shd w:val="clear" w:color="auto" w:fill="FFFFFF"/>
              </w:rPr>
              <w:t>Conclusion</w:t>
            </w:r>
            <w:r w:rsidR="004253E7">
              <w:rPr>
                <w:noProof/>
                <w:webHidden/>
              </w:rPr>
              <w:tab/>
            </w:r>
            <w:r w:rsidR="004253E7">
              <w:rPr>
                <w:noProof/>
                <w:webHidden/>
              </w:rPr>
              <w:fldChar w:fldCharType="begin"/>
            </w:r>
            <w:r w:rsidR="004253E7">
              <w:rPr>
                <w:noProof/>
                <w:webHidden/>
              </w:rPr>
              <w:instrText xml:space="preserve"> PAGEREF _Toc404069828 \h </w:instrText>
            </w:r>
            <w:r w:rsidR="004253E7">
              <w:rPr>
                <w:noProof/>
                <w:webHidden/>
              </w:rPr>
            </w:r>
            <w:r w:rsidR="004253E7">
              <w:rPr>
                <w:noProof/>
                <w:webHidden/>
              </w:rPr>
              <w:fldChar w:fldCharType="separate"/>
            </w:r>
            <w:r w:rsidR="00817BBF">
              <w:rPr>
                <w:noProof/>
                <w:webHidden/>
              </w:rPr>
              <w:t>28</w:t>
            </w:r>
            <w:r w:rsidR="004253E7">
              <w:rPr>
                <w:noProof/>
                <w:webHidden/>
              </w:rPr>
              <w:fldChar w:fldCharType="end"/>
            </w:r>
          </w:hyperlink>
        </w:p>
        <w:p w14:paraId="0970CD16" w14:textId="77777777" w:rsidR="004253E7" w:rsidRDefault="00190148">
          <w:pPr>
            <w:pStyle w:val="TOC2"/>
            <w:tabs>
              <w:tab w:val="right" w:leader="dot" w:pos="9350"/>
            </w:tabs>
            <w:rPr>
              <w:rFonts w:asciiTheme="minorHAnsi" w:hAnsiTheme="minorHAnsi"/>
              <w:noProof/>
              <w:sz w:val="22"/>
              <w:szCs w:val="22"/>
              <w:lang w:eastAsia="en-US"/>
            </w:rPr>
          </w:pPr>
          <w:hyperlink w:anchor="_Toc404069829" w:history="1">
            <w:r w:rsidR="004253E7" w:rsidRPr="00C90D9A">
              <w:rPr>
                <w:rStyle w:val="Hyperlink"/>
                <w:noProof/>
              </w:rPr>
              <w:t>Appendix I</w:t>
            </w:r>
            <w:r w:rsidR="004253E7">
              <w:rPr>
                <w:noProof/>
                <w:webHidden/>
              </w:rPr>
              <w:tab/>
            </w:r>
            <w:r w:rsidR="004253E7">
              <w:rPr>
                <w:noProof/>
                <w:webHidden/>
              </w:rPr>
              <w:fldChar w:fldCharType="begin"/>
            </w:r>
            <w:r w:rsidR="004253E7">
              <w:rPr>
                <w:noProof/>
                <w:webHidden/>
              </w:rPr>
              <w:instrText xml:space="preserve"> PAGEREF _Toc404069829 \h </w:instrText>
            </w:r>
            <w:r w:rsidR="004253E7">
              <w:rPr>
                <w:noProof/>
                <w:webHidden/>
              </w:rPr>
            </w:r>
            <w:r w:rsidR="004253E7">
              <w:rPr>
                <w:noProof/>
                <w:webHidden/>
              </w:rPr>
              <w:fldChar w:fldCharType="separate"/>
            </w:r>
            <w:r w:rsidR="00817BBF">
              <w:rPr>
                <w:noProof/>
                <w:webHidden/>
              </w:rPr>
              <w:t>29</w:t>
            </w:r>
            <w:r w:rsidR="004253E7">
              <w:rPr>
                <w:noProof/>
                <w:webHidden/>
              </w:rPr>
              <w:fldChar w:fldCharType="end"/>
            </w:r>
          </w:hyperlink>
        </w:p>
        <w:p w14:paraId="4778782B" w14:textId="77777777" w:rsidR="004253E7" w:rsidRDefault="00190148">
          <w:pPr>
            <w:pStyle w:val="TOC1"/>
            <w:tabs>
              <w:tab w:val="right" w:leader="dot" w:pos="9350"/>
            </w:tabs>
            <w:rPr>
              <w:rFonts w:asciiTheme="minorHAnsi" w:hAnsiTheme="minorHAnsi"/>
              <w:noProof/>
              <w:sz w:val="22"/>
              <w:szCs w:val="22"/>
              <w:lang w:eastAsia="en-US"/>
            </w:rPr>
          </w:pPr>
          <w:hyperlink w:anchor="_Toc404069830" w:history="1">
            <w:r w:rsidR="004253E7" w:rsidRPr="00C90D9A">
              <w:rPr>
                <w:rStyle w:val="Hyperlink"/>
                <w:noProof/>
              </w:rPr>
              <w:t>CHAPTER 2 - DIALLEL ANALYSIS TO ASSESS QUANTITATIVE GENETICS OF BIOFUEL PRODUCTION TRAITS IN SWITCHGRASS</w:t>
            </w:r>
            <w:r w:rsidR="004253E7">
              <w:rPr>
                <w:noProof/>
                <w:webHidden/>
              </w:rPr>
              <w:tab/>
            </w:r>
            <w:r w:rsidR="004253E7">
              <w:rPr>
                <w:noProof/>
                <w:webHidden/>
              </w:rPr>
              <w:fldChar w:fldCharType="begin"/>
            </w:r>
            <w:r w:rsidR="004253E7">
              <w:rPr>
                <w:noProof/>
                <w:webHidden/>
              </w:rPr>
              <w:instrText xml:space="preserve"> PAGEREF _Toc404069830 \h </w:instrText>
            </w:r>
            <w:r w:rsidR="004253E7">
              <w:rPr>
                <w:noProof/>
                <w:webHidden/>
              </w:rPr>
            </w:r>
            <w:r w:rsidR="004253E7">
              <w:rPr>
                <w:noProof/>
                <w:webHidden/>
              </w:rPr>
              <w:fldChar w:fldCharType="separate"/>
            </w:r>
            <w:r w:rsidR="00817BBF">
              <w:rPr>
                <w:noProof/>
                <w:webHidden/>
              </w:rPr>
              <w:t>34</w:t>
            </w:r>
            <w:r w:rsidR="004253E7">
              <w:rPr>
                <w:noProof/>
                <w:webHidden/>
              </w:rPr>
              <w:fldChar w:fldCharType="end"/>
            </w:r>
          </w:hyperlink>
        </w:p>
        <w:p w14:paraId="73A6E5C8" w14:textId="77777777" w:rsidR="004253E7" w:rsidRDefault="00190148">
          <w:pPr>
            <w:pStyle w:val="TOC2"/>
            <w:tabs>
              <w:tab w:val="right" w:leader="dot" w:pos="9350"/>
            </w:tabs>
            <w:rPr>
              <w:rFonts w:asciiTheme="minorHAnsi" w:hAnsiTheme="minorHAnsi"/>
              <w:noProof/>
              <w:sz w:val="22"/>
              <w:szCs w:val="22"/>
              <w:lang w:eastAsia="en-US"/>
            </w:rPr>
          </w:pPr>
          <w:hyperlink w:anchor="_Toc404069831" w:history="1">
            <w:r w:rsidR="004253E7" w:rsidRPr="00C90D9A">
              <w:rPr>
                <w:rStyle w:val="Hyperlink"/>
                <w:noProof/>
              </w:rPr>
              <w:t>Abstract</w:t>
            </w:r>
            <w:r w:rsidR="004253E7">
              <w:rPr>
                <w:noProof/>
                <w:webHidden/>
              </w:rPr>
              <w:tab/>
            </w:r>
            <w:r w:rsidR="004253E7">
              <w:rPr>
                <w:noProof/>
                <w:webHidden/>
              </w:rPr>
              <w:fldChar w:fldCharType="begin"/>
            </w:r>
            <w:r w:rsidR="004253E7">
              <w:rPr>
                <w:noProof/>
                <w:webHidden/>
              </w:rPr>
              <w:instrText xml:space="preserve"> PAGEREF _Toc404069831 \h </w:instrText>
            </w:r>
            <w:r w:rsidR="004253E7">
              <w:rPr>
                <w:noProof/>
                <w:webHidden/>
              </w:rPr>
            </w:r>
            <w:r w:rsidR="004253E7">
              <w:rPr>
                <w:noProof/>
                <w:webHidden/>
              </w:rPr>
              <w:fldChar w:fldCharType="separate"/>
            </w:r>
            <w:r w:rsidR="00817BBF">
              <w:rPr>
                <w:noProof/>
                <w:webHidden/>
              </w:rPr>
              <w:t>35</w:t>
            </w:r>
            <w:r w:rsidR="004253E7">
              <w:rPr>
                <w:noProof/>
                <w:webHidden/>
              </w:rPr>
              <w:fldChar w:fldCharType="end"/>
            </w:r>
          </w:hyperlink>
        </w:p>
        <w:p w14:paraId="64CA1387" w14:textId="77777777" w:rsidR="004253E7" w:rsidRDefault="00190148">
          <w:pPr>
            <w:pStyle w:val="TOC2"/>
            <w:tabs>
              <w:tab w:val="right" w:leader="dot" w:pos="9350"/>
            </w:tabs>
            <w:rPr>
              <w:rFonts w:asciiTheme="minorHAnsi" w:hAnsiTheme="minorHAnsi"/>
              <w:noProof/>
              <w:sz w:val="22"/>
              <w:szCs w:val="22"/>
              <w:lang w:eastAsia="en-US"/>
            </w:rPr>
          </w:pPr>
          <w:hyperlink w:anchor="_Toc404069832" w:history="1">
            <w:r w:rsidR="004253E7" w:rsidRPr="00C90D9A">
              <w:rPr>
                <w:rStyle w:val="Hyperlink"/>
                <w:noProof/>
              </w:rPr>
              <w:t>Introduction</w:t>
            </w:r>
            <w:r w:rsidR="004253E7">
              <w:rPr>
                <w:noProof/>
                <w:webHidden/>
              </w:rPr>
              <w:tab/>
            </w:r>
            <w:r w:rsidR="004253E7">
              <w:rPr>
                <w:noProof/>
                <w:webHidden/>
              </w:rPr>
              <w:fldChar w:fldCharType="begin"/>
            </w:r>
            <w:r w:rsidR="004253E7">
              <w:rPr>
                <w:noProof/>
                <w:webHidden/>
              </w:rPr>
              <w:instrText xml:space="preserve"> PAGEREF _Toc404069832 \h </w:instrText>
            </w:r>
            <w:r w:rsidR="004253E7">
              <w:rPr>
                <w:noProof/>
                <w:webHidden/>
              </w:rPr>
            </w:r>
            <w:r w:rsidR="004253E7">
              <w:rPr>
                <w:noProof/>
                <w:webHidden/>
              </w:rPr>
              <w:fldChar w:fldCharType="separate"/>
            </w:r>
            <w:r w:rsidR="00817BBF">
              <w:rPr>
                <w:noProof/>
                <w:webHidden/>
              </w:rPr>
              <w:t>36</w:t>
            </w:r>
            <w:r w:rsidR="004253E7">
              <w:rPr>
                <w:noProof/>
                <w:webHidden/>
              </w:rPr>
              <w:fldChar w:fldCharType="end"/>
            </w:r>
          </w:hyperlink>
        </w:p>
        <w:p w14:paraId="375C1535" w14:textId="77777777" w:rsidR="004253E7" w:rsidRDefault="00190148">
          <w:pPr>
            <w:pStyle w:val="TOC2"/>
            <w:tabs>
              <w:tab w:val="right" w:leader="dot" w:pos="9350"/>
            </w:tabs>
            <w:rPr>
              <w:rFonts w:asciiTheme="minorHAnsi" w:hAnsiTheme="minorHAnsi"/>
              <w:noProof/>
              <w:sz w:val="22"/>
              <w:szCs w:val="22"/>
              <w:lang w:eastAsia="en-US"/>
            </w:rPr>
          </w:pPr>
          <w:hyperlink w:anchor="_Toc404069833" w:history="1">
            <w:r w:rsidR="004253E7" w:rsidRPr="00C90D9A">
              <w:rPr>
                <w:rStyle w:val="Hyperlink"/>
                <w:rFonts w:eastAsiaTheme="majorEastAsia"/>
                <w:noProof/>
              </w:rPr>
              <w:t>Materials and Methods</w:t>
            </w:r>
            <w:r w:rsidR="004253E7">
              <w:rPr>
                <w:noProof/>
                <w:webHidden/>
              </w:rPr>
              <w:tab/>
            </w:r>
            <w:r w:rsidR="004253E7">
              <w:rPr>
                <w:noProof/>
                <w:webHidden/>
              </w:rPr>
              <w:fldChar w:fldCharType="begin"/>
            </w:r>
            <w:r w:rsidR="004253E7">
              <w:rPr>
                <w:noProof/>
                <w:webHidden/>
              </w:rPr>
              <w:instrText xml:space="preserve"> PAGEREF _Toc404069833 \h </w:instrText>
            </w:r>
            <w:r w:rsidR="004253E7">
              <w:rPr>
                <w:noProof/>
                <w:webHidden/>
              </w:rPr>
            </w:r>
            <w:r w:rsidR="004253E7">
              <w:rPr>
                <w:noProof/>
                <w:webHidden/>
              </w:rPr>
              <w:fldChar w:fldCharType="separate"/>
            </w:r>
            <w:r w:rsidR="00817BBF">
              <w:rPr>
                <w:noProof/>
                <w:webHidden/>
              </w:rPr>
              <w:t>41</w:t>
            </w:r>
            <w:r w:rsidR="004253E7">
              <w:rPr>
                <w:noProof/>
                <w:webHidden/>
              </w:rPr>
              <w:fldChar w:fldCharType="end"/>
            </w:r>
          </w:hyperlink>
        </w:p>
        <w:p w14:paraId="62A6730F" w14:textId="77777777" w:rsidR="004253E7" w:rsidRDefault="00190148">
          <w:pPr>
            <w:pStyle w:val="TOC3"/>
            <w:tabs>
              <w:tab w:val="right" w:leader="dot" w:pos="9350"/>
            </w:tabs>
            <w:rPr>
              <w:rFonts w:asciiTheme="minorHAnsi" w:hAnsiTheme="minorHAnsi"/>
              <w:noProof/>
              <w:sz w:val="22"/>
              <w:szCs w:val="22"/>
              <w:lang w:eastAsia="en-US"/>
            </w:rPr>
          </w:pPr>
          <w:hyperlink w:anchor="_Toc404069834" w:history="1">
            <w:r w:rsidR="004253E7" w:rsidRPr="00C90D9A">
              <w:rPr>
                <w:rStyle w:val="Hyperlink"/>
                <w:rFonts w:eastAsiaTheme="majorEastAsia" w:cs="Times New Roman"/>
                <w:noProof/>
              </w:rPr>
              <w:t>Parent Material</w:t>
            </w:r>
            <w:r w:rsidR="004253E7">
              <w:rPr>
                <w:noProof/>
                <w:webHidden/>
              </w:rPr>
              <w:tab/>
            </w:r>
            <w:r w:rsidR="004253E7">
              <w:rPr>
                <w:noProof/>
                <w:webHidden/>
              </w:rPr>
              <w:fldChar w:fldCharType="begin"/>
            </w:r>
            <w:r w:rsidR="004253E7">
              <w:rPr>
                <w:noProof/>
                <w:webHidden/>
              </w:rPr>
              <w:instrText xml:space="preserve"> PAGEREF _Toc404069834 \h </w:instrText>
            </w:r>
            <w:r w:rsidR="004253E7">
              <w:rPr>
                <w:noProof/>
                <w:webHidden/>
              </w:rPr>
            </w:r>
            <w:r w:rsidR="004253E7">
              <w:rPr>
                <w:noProof/>
                <w:webHidden/>
              </w:rPr>
              <w:fldChar w:fldCharType="separate"/>
            </w:r>
            <w:r w:rsidR="00817BBF">
              <w:rPr>
                <w:noProof/>
                <w:webHidden/>
              </w:rPr>
              <w:t>41</w:t>
            </w:r>
            <w:r w:rsidR="004253E7">
              <w:rPr>
                <w:noProof/>
                <w:webHidden/>
              </w:rPr>
              <w:fldChar w:fldCharType="end"/>
            </w:r>
          </w:hyperlink>
        </w:p>
        <w:p w14:paraId="2698FA5D" w14:textId="77777777" w:rsidR="004253E7" w:rsidRDefault="00190148">
          <w:pPr>
            <w:pStyle w:val="TOC3"/>
            <w:tabs>
              <w:tab w:val="right" w:leader="dot" w:pos="9350"/>
            </w:tabs>
            <w:rPr>
              <w:rFonts w:asciiTheme="minorHAnsi" w:hAnsiTheme="minorHAnsi"/>
              <w:noProof/>
              <w:sz w:val="22"/>
              <w:szCs w:val="22"/>
              <w:lang w:eastAsia="en-US"/>
            </w:rPr>
          </w:pPr>
          <w:hyperlink w:anchor="_Toc404069835" w:history="1">
            <w:r w:rsidR="004253E7" w:rsidRPr="00C90D9A">
              <w:rPr>
                <w:rStyle w:val="Hyperlink"/>
                <w:rFonts w:eastAsiaTheme="majorEastAsia" w:cs="Times New Roman"/>
                <w:noProof/>
              </w:rPr>
              <w:t>Breeding Methods and Greenhouse Maintenance</w:t>
            </w:r>
            <w:r w:rsidR="004253E7">
              <w:rPr>
                <w:noProof/>
                <w:webHidden/>
              </w:rPr>
              <w:tab/>
            </w:r>
            <w:r w:rsidR="004253E7">
              <w:rPr>
                <w:noProof/>
                <w:webHidden/>
              </w:rPr>
              <w:fldChar w:fldCharType="begin"/>
            </w:r>
            <w:r w:rsidR="004253E7">
              <w:rPr>
                <w:noProof/>
                <w:webHidden/>
              </w:rPr>
              <w:instrText xml:space="preserve"> PAGEREF _Toc404069835 \h </w:instrText>
            </w:r>
            <w:r w:rsidR="004253E7">
              <w:rPr>
                <w:noProof/>
                <w:webHidden/>
              </w:rPr>
            </w:r>
            <w:r w:rsidR="004253E7">
              <w:rPr>
                <w:noProof/>
                <w:webHidden/>
              </w:rPr>
              <w:fldChar w:fldCharType="separate"/>
            </w:r>
            <w:r w:rsidR="00817BBF">
              <w:rPr>
                <w:noProof/>
                <w:webHidden/>
              </w:rPr>
              <w:t>42</w:t>
            </w:r>
            <w:r w:rsidR="004253E7">
              <w:rPr>
                <w:noProof/>
                <w:webHidden/>
              </w:rPr>
              <w:fldChar w:fldCharType="end"/>
            </w:r>
          </w:hyperlink>
        </w:p>
        <w:p w14:paraId="55C99B8C" w14:textId="77777777" w:rsidR="004253E7" w:rsidRDefault="00190148">
          <w:pPr>
            <w:pStyle w:val="TOC3"/>
            <w:tabs>
              <w:tab w:val="right" w:leader="dot" w:pos="9350"/>
            </w:tabs>
            <w:rPr>
              <w:rFonts w:asciiTheme="minorHAnsi" w:hAnsiTheme="minorHAnsi"/>
              <w:noProof/>
              <w:sz w:val="22"/>
              <w:szCs w:val="22"/>
              <w:lang w:eastAsia="en-US"/>
            </w:rPr>
          </w:pPr>
          <w:hyperlink w:anchor="_Toc404069836" w:history="1">
            <w:r w:rsidR="004253E7" w:rsidRPr="00C90D9A">
              <w:rPr>
                <w:rStyle w:val="Hyperlink"/>
                <w:noProof/>
              </w:rPr>
              <w:t>Juvenile Evaluation</w:t>
            </w:r>
            <w:r w:rsidR="004253E7">
              <w:rPr>
                <w:noProof/>
                <w:webHidden/>
              </w:rPr>
              <w:tab/>
            </w:r>
            <w:r w:rsidR="004253E7">
              <w:rPr>
                <w:noProof/>
                <w:webHidden/>
              </w:rPr>
              <w:fldChar w:fldCharType="begin"/>
            </w:r>
            <w:r w:rsidR="004253E7">
              <w:rPr>
                <w:noProof/>
                <w:webHidden/>
              </w:rPr>
              <w:instrText xml:space="preserve"> PAGEREF _Toc404069836 \h </w:instrText>
            </w:r>
            <w:r w:rsidR="004253E7">
              <w:rPr>
                <w:noProof/>
                <w:webHidden/>
              </w:rPr>
            </w:r>
            <w:r w:rsidR="004253E7">
              <w:rPr>
                <w:noProof/>
                <w:webHidden/>
              </w:rPr>
              <w:fldChar w:fldCharType="separate"/>
            </w:r>
            <w:r w:rsidR="00817BBF">
              <w:rPr>
                <w:noProof/>
                <w:webHidden/>
              </w:rPr>
              <w:t>43</w:t>
            </w:r>
            <w:r w:rsidR="004253E7">
              <w:rPr>
                <w:noProof/>
                <w:webHidden/>
              </w:rPr>
              <w:fldChar w:fldCharType="end"/>
            </w:r>
          </w:hyperlink>
        </w:p>
        <w:p w14:paraId="32613AED" w14:textId="77777777" w:rsidR="004253E7" w:rsidRDefault="00190148">
          <w:pPr>
            <w:pStyle w:val="TOC3"/>
            <w:tabs>
              <w:tab w:val="right" w:leader="dot" w:pos="9350"/>
            </w:tabs>
            <w:rPr>
              <w:rFonts w:asciiTheme="minorHAnsi" w:hAnsiTheme="minorHAnsi"/>
              <w:noProof/>
              <w:sz w:val="22"/>
              <w:szCs w:val="22"/>
              <w:lang w:eastAsia="en-US"/>
            </w:rPr>
          </w:pPr>
          <w:hyperlink w:anchor="_Toc404069837" w:history="1">
            <w:r w:rsidR="004253E7" w:rsidRPr="00C90D9A">
              <w:rPr>
                <w:rStyle w:val="Hyperlink"/>
                <w:rFonts w:eastAsiaTheme="minorHAnsi"/>
                <w:noProof/>
              </w:rPr>
              <w:t>Field Evaluation</w:t>
            </w:r>
            <w:r w:rsidR="004253E7">
              <w:rPr>
                <w:noProof/>
                <w:webHidden/>
              </w:rPr>
              <w:tab/>
            </w:r>
            <w:r w:rsidR="004253E7">
              <w:rPr>
                <w:noProof/>
                <w:webHidden/>
              </w:rPr>
              <w:fldChar w:fldCharType="begin"/>
            </w:r>
            <w:r w:rsidR="004253E7">
              <w:rPr>
                <w:noProof/>
                <w:webHidden/>
              </w:rPr>
              <w:instrText xml:space="preserve"> PAGEREF _Toc404069837 \h </w:instrText>
            </w:r>
            <w:r w:rsidR="004253E7">
              <w:rPr>
                <w:noProof/>
                <w:webHidden/>
              </w:rPr>
            </w:r>
            <w:r w:rsidR="004253E7">
              <w:rPr>
                <w:noProof/>
                <w:webHidden/>
              </w:rPr>
              <w:fldChar w:fldCharType="separate"/>
            </w:r>
            <w:r w:rsidR="00817BBF">
              <w:rPr>
                <w:noProof/>
                <w:webHidden/>
              </w:rPr>
              <w:t>44</w:t>
            </w:r>
            <w:r w:rsidR="004253E7">
              <w:rPr>
                <w:noProof/>
                <w:webHidden/>
              </w:rPr>
              <w:fldChar w:fldCharType="end"/>
            </w:r>
          </w:hyperlink>
        </w:p>
        <w:p w14:paraId="571E739B" w14:textId="77777777" w:rsidR="004253E7" w:rsidRDefault="00190148">
          <w:pPr>
            <w:pStyle w:val="TOC3"/>
            <w:tabs>
              <w:tab w:val="right" w:leader="dot" w:pos="9350"/>
            </w:tabs>
            <w:rPr>
              <w:rFonts w:asciiTheme="minorHAnsi" w:hAnsiTheme="minorHAnsi"/>
              <w:noProof/>
              <w:sz w:val="22"/>
              <w:szCs w:val="22"/>
              <w:lang w:eastAsia="en-US"/>
            </w:rPr>
          </w:pPr>
          <w:hyperlink w:anchor="_Toc404069838" w:history="1">
            <w:r w:rsidR="004253E7" w:rsidRPr="00C90D9A">
              <w:rPr>
                <w:rStyle w:val="Hyperlink"/>
                <w:rFonts w:eastAsiaTheme="majorEastAsia" w:cs="Times New Roman"/>
                <w:noProof/>
              </w:rPr>
              <w:t>Statistical Analysis</w:t>
            </w:r>
            <w:r w:rsidR="004253E7">
              <w:rPr>
                <w:noProof/>
                <w:webHidden/>
              </w:rPr>
              <w:tab/>
            </w:r>
            <w:r w:rsidR="004253E7">
              <w:rPr>
                <w:noProof/>
                <w:webHidden/>
              </w:rPr>
              <w:fldChar w:fldCharType="begin"/>
            </w:r>
            <w:r w:rsidR="004253E7">
              <w:rPr>
                <w:noProof/>
                <w:webHidden/>
              </w:rPr>
              <w:instrText xml:space="preserve"> PAGEREF _Toc404069838 \h </w:instrText>
            </w:r>
            <w:r w:rsidR="004253E7">
              <w:rPr>
                <w:noProof/>
                <w:webHidden/>
              </w:rPr>
            </w:r>
            <w:r w:rsidR="004253E7">
              <w:rPr>
                <w:noProof/>
                <w:webHidden/>
              </w:rPr>
              <w:fldChar w:fldCharType="separate"/>
            </w:r>
            <w:r w:rsidR="00817BBF">
              <w:rPr>
                <w:noProof/>
                <w:webHidden/>
              </w:rPr>
              <w:t>46</w:t>
            </w:r>
            <w:r w:rsidR="004253E7">
              <w:rPr>
                <w:noProof/>
                <w:webHidden/>
              </w:rPr>
              <w:fldChar w:fldCharType="end"/>
            </w:r>
          </w:hyperlink>
        </w:p>
        <w:p w14:paraId="4645F586" w14:textId="77777777" w:rsidR="004253E7" w:rsidRDefault="00190148">
          <w:pPr>
            <w:pStyle w:val="TOC2"/>
            <w:tabs>
              <w:tab w:val="right" w:leader="dot" w:pos="9350"/>
            </w:tabs>
            <w:rPr>
              <w:rFonts w:asciiTheme="minorHAnsi" w:hAnsiTheme="minorHAnsi"/>
              <w:noProof/>
              <w:sz w:val="22"/>
              <w:szCs w:val="22"/>
              <w:lang w:eastAsia="en-US"/>
            </w:rPr>
          </w:pPr>
          <w:hyperlink w:anchor="_Toc404069839" w:history="1">
            <w:r w:rsidR="004253E7" w:rsidRPr="00C90D9A">
              <w:rPr>
                <w:rStyle w:val="Hyperlink"/>
                <w:rFonts w:eastAsiaTheme="minorHAnsi"/>
                <w:noProof/>
              </w:rPr>
              <w:t>Results and Discussion</w:t>
            </w:r>
            <w:r w:rsidR="004253E7">
              <w:rPr>
                <w:noProof/>
                <w:webHidden/>
              </w:rPr>
              <w:tab/>
            </w:r>
            <w:r w:rsidR="004253E7">
              <w:rPr>
                <w:noProof/>
                <w:webHidden/>
              </w:rPr>
              <w:fldChar w:fldCharType="begin"/>
            </w:r>
            <w:r w:rsidR="004253E7">
              <w:rPr>
                <w:noProof/>
                <w:webHidden/>
              </w:rPr>
              <w:instrText xml:space="preserve"> PAGEREF _Toc404069839 \h </w:instrText>
            </w:r>
            <w:r w:rsidR="004253E7">
              <w:rPr>
                <w:noProof/>
                <w:webHidden/>
              </w:rPr>
            </w:r>
            <w:r w:rsidR="004253E7">
              <w:rPr>
                <w:noProof/>
                <w:webHidden/>
              </w:rPr>
              <w:fldChar w:fldCharType="separate"/>
            </w:r>
            <w:r w:rsidR="00817BBF">
              <w:rPr>
                <w:noProof/>
                <w:webHidden/>
              </w:rPr>
              <w:t>49</w:t>
            </w:r>
            <w:r w:rsidR="004253E7">
              <w:rPr>
                <w:noProof/>
                <w:webHidden/>
              </w:rPr>
              <w:fldChar w:fldCharType="end"/>
            </w:r>
          </w:hyperlink>
        </w:p>
        <w:p w14:paraId="04E8E4F5" w14:textId="77777777" w:rsidR="004253E7" w:rsidRDefault="00190148">
          <w:pPr>
            <w:pStyle w:val="TOC3"/>
            <w:tabs>
              <w:tab w:val="right" w:leader="dot" w:pos="9350"/>
            </w:tabs>
            <w:rPr>
              <w:rFonts w:asciiTheme="minorHAnsi" w:hAnsiTheme="minorHAnsi"/>
              <w:noProof/>
              <w:sz w:val="22"/>
              <w:szCs w:val="22"/>
              <w:lang w:eastAsia="en-US"/>
            </w:rPr>
          </w:pPr>
          <w:hyperlink w:anchor="_Toc404069840" w:history="1">
            <w:r w:rsidR="004253E7" w:rsidRPr="00C90D9A">
              <w:rPr>
                <w:rStyle w:val="Hyperlink"/>
                <w:rFonts w:eastAsiaTheme="minorHAnsi" w:cs="Times New Roman"/>
                <w:noProof/>
              </w:rPr>
              <w:t>Means of Measured Traits by Location and Year</w:t>
            </w:r>
            <w:r w:rsidR="004253E7">
              <w:rPr>
                <w:noProof/>
                <w:webHidden/>
              </w:rPr>
              <w:tab/>
            </w:r>
            <w:r w:rsidR="004253E7">
              <w:rPr>
                <w:noProof/>
                <w:webHidden/>
              </w:rPr>
              <w:fldChar w:fldCharType="begin"/>
            </w:r>
            <w:r w:rsidR="004253E7">
              <w:rPr>
                <w:noProof/>
                <w:webHidden/>
              </w:rPr>
              <w:instrText xml:space="preserve"> PAGEREF _Toc404069840 \h </w:instrText>
            </w:r>
            <w:r w:rsidR="004253E7">
              <w:rPr>
                <w:noProof/>
                <w:webHidden/>
              </w:rPr>
            </w:r>
            <w:r w:rsidR="004253E7">
              <w:rPr>
                <w:noProof/>
                <w:webHidden/>
              </w:rPr>
              <w:fldChar w:fldCharType="separate"/>
            </w:r>
            <w:r w:rsidR="00817BBF">
              <w:rPr>
                <w:noProof/>
                <w:webHidden/>
              </w:rPr>
              <w:t>49</w:t>
            </w:r>
            <w:r w:rsidR="004253E7">
              <w:rPr>
                <w:noProof/>
                <w:webHidden/>
              </w:rPr>
              <w:fldChar w:fldCharType="end"/>
            </w:r>
          </w:hyperlink>
        </w:p>
        <w:p w14:paraId="75A44538" w14:textId="77777777" w:rsidR="004253E7" w:rsidRDefault="00190148">
          <w:pPr>
            <w:pStyle w:val="TOC3"/>
            <w:tabs>
              <w:tab w:val="right" w:leader="dot" w:pos="9350"/>
            </w:tabs>
            <w:rPr>
              <w:rFonts w:asciiTheme="minorHAnsi" w:hAnsiTheme="minorHAnsi"/>
              <w:noProof/>
              <w:sz w:val="22"/>
              <w:szCs w:val="22"/>
              <w:lang w:eastAsia="en-US"/>
            </w:rPr>
          </w:pPr>
          <w:hyperlink w:anchor="_Toc404069841" w:history="1">
            <w:r w:rsidR="004253E7" w:rsidRPr="00C90D9A">
              <w:rPr>
                <w:rStyle w:val="Hyperlink"/>
                <w:rFonts w:eastAsiaTheme="minorHAnsi" w:cs="Times New Roman"/>
                <w:noProof/>
              </w:rPr>
              <w:t>Correlations of Biomass and Ethanol Yield with Morphological Traits</w:t>
            </w:r>
            <w:r w:rsidR="004253E7">
              <w:rPr>
                <w:noProof/>
                <w:webHidden/>
              </w:rPr>
              <w:tab/>
            </w:r>
            <w:r w:rsidR="004253E7">
              <w:rPr>
                <w:noProof/>
                <w:webHidden/>
              </w:rPr>
              <w:fldChar w:fldCharType="begin"/>
            </w:r>
            <w:r w:rsidR="004253E7">
              <w:rPr>
                <w:noProof/>
                <w:webHidden/>
              </w:rPr>
              <w:instrText xml:space="preserve"> PAGEREF _Toc404069841 \h </w:instrText>
            </w:r>
            <w:r w:rsidR="004253E7">
              <w:rPr>
                <w:noProof/>
                <w:webHidden/>
              </w:rPr>
            </w:r>
            <w:r w:rsidR="004253E7">
              <w:rPr>
                <w:noProof/>
                <w:webHidden/>
              </w:rPr>
              <w:fldChar w:fldCharType="separate"/>
            </w:r>
            <w:r w:rsidR="00817BBF">
              <w:rPr>
                <w:noProof/>
                <w:webHidden/>
              </w:rPr>
              <w:t>52</w:t>
            </w:r>
            <w:r w:rsidR="004253E7">
              <w:rPr>
                <w:noProof/>
                <w:webHidden/>
              </w:rPr>
              <w:fldChar w:fldCharType="end"/>
            </w:r>
          </w:hyperlink>
        </w:p>
        <w:p w14:paraId="3A007AB7" w14:textId="77777777" w:rsidR="004253E7" w:rsidRDefault="00190148">
          <w:pPr>
            <w:pStyle w:val="TOC3"/>
            <w:tabs>
              <w:tab w:val="right" w:leader="dot" w:pos="9350"/>
            </w:tabs>
            <w:rPr>
              <w:rFonts w:asciiTheme="minorHAnsi" w:hAnsiTheme="minorHAnsi"/>
              <w:noProof/>
              <w:sz w:val="22"/>
              <w:szCs w:val="22"/>
              <w:lang w:eastAsia="en-US"/>
            </w:rPr>
          </w:pPr>
          <w:hyperlink w:anchor="_Toc404069842" w:history="1">
            <w:r w:rsidR="004253E7" w:rsidRPr="00C90D9A">
              <w:rPr>
                <w:rStyle w:val="Hyperlink"/>
                <w:rFonts w:eastAsiaTheme="minorHAnsi" w:cs="Times New Roman"/>
                <w:noProof/>
              </w:rPr>
              <w:t>Variance Components of Measured Traits</w:t>
            </w:r>
            <w:r w:rsidR="004253E7">
              <w:rPr>
                <w:noProof/>
                <w:webHidden/>
              </w:rPr>
              <w:tab/>
            </w:r>
            <w:r w:rsidR="004253E7">
              <w:rPr>
                <w:noProof/>
                <w:webHidden/>
              </w:rPr>
              <w:fldChar w:fldCharType="begin"/>
            </w:r>
            <w:r w:rsidR="004253E7">
              <w:rPr>
                <w:noProof/>
                <w:webHidden/>
              </w:rPr>
              <w:instrText xml:space="preserve"> PAGEREF _Toc404069842 \h </w:instrText>
            </w:r>
            <w:r w:rsidR="004253E7">
              <w:rPr>
                <w:noProof/>
                <w:webHidden/>
              </w:rPr>
            </w:r>
            <w:r w:rsidR="004253E7">
              <w:rPr>
                <w:noProof/>
                <w:webHidden/>
              </w:rPr>
              <w:fldChar w:fldCharType="separate"/>
            </w:r>
            <w:r w:rsidR="00817BBF">
              <w:rPr>
                <w:noProof/>
                <w:webHidden/>
              </w:rPr>
              <w:t>55</w:t>
            </w:r>
            <w:r w:rsidR="004253E7">
              <w:rPr>
                <w:noProof/>
                <w:webHidden/>
              </w:rPr>
              <w:fldChar w:fldCharType="end"/>
            </w:r>
          </w:hyperlink>
        </w:p>
        <w:p w14:paraId="3F70A49C" w14:textId="77777777" w:rsidR="004253E7" w:rsidRDefault="00190148">
          <w:pPr>
            <w:pStyle w:val="TOC3"/>
            <w:tabs>
              <w:tab w:val="right" w:leader="dot" w:pos="9350"/>
            </w:tabs>
            <w:rPr>
              <w:rFonts w:asciiTheme="minorHAnsi" w:hAnsiTheme="minorHAnsi"/>
              <w:noProof/>
              <w:sz w:val="22"/>
              <w:szCs w:val="22"/>
              <w:lang w:eastAsia="en-US"/>
            </w:rPr>
          </w:pPr>
          <w:hyperlink w:anchor="_Toc404069843" w:history="1">
            <w:r w:rsidR="004253E7" w:rsidRPr="00C90D9A">
              <w:rPr>
                <w:rStyle w:val="Hyperlink"/>
                <w:rFonts w:eastAsiaTheme="minorHAnsi"/>
                <w:noProof/>
              </w:rPr>
              <w:t>Heritability of Measured Traits</w:t>
            </w:r>
            <w:r w:rsidR="004253E7">
              <w:rPr>
                <w:noProof/>
                <w:webHidden/>
              </w:rPr>
              <w:tab/>
            </w:r>
            <w:r w:rsidR="004253E7">
              <w:rPr>
                <w:noProof/>
                <w:webHidden/>
              </w:rPr>
              <w:fldChar w:fldCharType="begin"/>
            </w:r>
            <w:r w:rsidR="004253E7">
              <w:rPr>
                <w:noProof/>
                <w:webHidden/>
              </w:rPr>
              <w:instrText xml:space="preserve"> PAGEREF _Toc404069843 \h </w:instrText>
            </w:r>
            <w:r w:rsidR="004253E7">
              <w:rPr>
                <w:noProof/>
                <w:webHidden/>
              </w:rPr>
            </w:r>
            <w:r w:rsidR="004253E7">
              <w:rPr>
                <w:noProof/>
                <w:webHidden/>
              </w:rPr>
              <w:fldChar w:fldCharType="separate"/>
            </w:r>
            <w:r w:rsidR="00817BBF">
              <w:rPr>
                <w:noProof/>
                <w:webHidden/>
              </w:rPr>
              <w:t>56</w:t>
            </w:r>
            <w:r w:rsidR="004253E7">
              <w:rPr>
                <w:noProof/>
                <w:webHidden/>
              </w:rPr>
              <w:fldChar w:fldCharType="end"/>
            </w:r>
          </w:hyperlink>
        </w:p>
        <w:p w14:paraId="5F67BE40" w14:textId="77777777" w:rsidR="004253E7" w:rsidRDefault="00190148">
          <w:pPr>
            <w:pStyle w:val="TOC3"/>
            <w:tabs>
              <w:tab w:val="right" w:leader="dot" w:pos="9350"/>
            </w:tabs>
            <w:rPr>
              <w:rFonts w:asciiTheme="minorHAnsi" w:hAnsiTheme="minorHAnsi"/>
              <w:noProof/>
              <w:sz w:val="22"/>
              <w:szCs w:val="22"/>
              <w:lang w:eastAsia="en-US"/>
            </w:rPr>
          </w:pPr>
          <w:hyperlink w:anchor="_Toc404069844" w:history="1">
            <w:r w:rsidR="004253E7" w:rsidRPr="00C90D9A">
              <w:rPr>
                <w:rStyle w:val="Hyperlink"/>
                <w:rFonts w:eastAsiaTheme="minorHAnsi"/>
                <w:noProof/>
              </w:rPr>
              <w:t>General and Specific Combining Ability and Maternal Effects of Measured Traits</w:t>
            </w:r>
            <w:r w:rsidR="004253E7">
              <w:rPr>
                <w:noProof/>
                <w:webHidden/>
              </w:rPr>
              <w:tab/>
            </w:r>
            <w:r w:rsidR="004253E7">
              <w:rPr>
                <w:noProof/>
                <w:webHidden/>
              </w:rPr>
              <w:fldChar w:fldCharType="begin"/>
            </w:r>
            <w:r w:rsidR="004253E7">
              <w:rPr>
                <w:noProof/>
                <w:webHidden/>
              </w:rPr>
              <w:instrText xml:space="preserve"> PAGEREF _Toc404069844 \h </w:instrText>
            </w:r>
            <w:r w:rsidR="004253E7">
              <w:rPr>
                <w:noProof/>
                <w:webHidden/>
              </w:rPr>
            </w:r>
            <w:r w:rsidR="004253E7">
              <w:rPr>
                <w:noProof/>
                <w:webHidden/>
              </w:rPr>
              <w:fldChar w:fldCharType="separate"/>
            </w:r>
            <w:r w:rsidR="00817BBF">
              <w:rPr>
                <w:noProof/>
                <w:webHidden/>
              </w:rPr>
              <w:t>59</w:t>
            </w:r>
            <w:r w:rsidR="004253E7">
              <w:rPr>
                <w:noProof/>
                <w:webHidden/>
              </w:rPr>
              <w:fldChar w:fldCharType="end"/>
            </w:r>
          </w:hyperlink>
        </w:p>
        <w:p w14:paraId="29FA8554" w14:textId="77777777" w:rsidR="004253E7" w:rsidRDefault="00190148">
          <w:pPr>
            <w:pStyle w:val="TOC3"/>
            <w:tabs>
              <w:tab w:val="right" w:leader="dot" w:pos="9350"/>
            </w:tabs>
            <w:rPr>
              <w:rFonts w:asciiTheme="minorHAnsi" w:hAnsiTheme="minorHAnsi"/>
              <w:noProof/>
              <w:sz w:val="22"/>
              <w:szCs w:val="22"/>
              <w:lang w:eastAsia="en-US"/>
            </w:rPr>
          </w:pPr>
          <w:hyperlink w:anchor="_Toc404069845" w:history="1">
            <w:r w:rsidR="004253E7" w:rsidRPr="00C90D9A">
              <w:rPr>
                <w:rStyle w:val="Hyperlink"/>
                <w:rFonts w:eastAsiaTheme="minorHAnsi" w:cs="Times New Roman"/>
                <w:noProof/>
              </w:rPr>
              <w:t>Heterosis of Measured Traits</w:t>
            </w:r>
            <w:r w:rsidR="004253E7">
              <w:rPr>
                <w:noProof/>
                <w:webHidden/>
              </w:rPr>
              <w:tab/>
            </w:r>
            <w:r w:rsidR="004253E7">
              <w:rPr>
                <w:noProof/>
                <w:webHidden/>
              </w:rPr>
              <w:fldChar w:fldCharType="begin"/>
            </w:r>
            <w:r w:rsidR="004253E7">
              <w:rPr>
                <w:noProof/>
                <w:webHidden/>
              </w:rPr>
              <w:instrText xml:space="preserve"> PAGEREF _Toc404069845 \h </w:instrText>
            </w:r>
            <w:r w:rsidR="004253E7">
              <w:rPr>
                <w:noProof/>
                <w:webHidden/>
              </w:rPr>
            </w:r>
            <w:r w:rsidR="004253E7">
              <w:rPr>
                <w:noProof/>
                <w:webHidden/>
              </w:rPr>
              <w:fldChar w:fldCharType="separate"/>
            </w:r>
            <w:r w:rsidR="00817BBF">
              <w:rPr>
                <w:noProof/>
                <w:webHidden/>
              </w:rPr>
              <w:t>63</w:t>
            </w:r>
            <w:r w:rsidR="004253E7">
              <w:rPr>
                <w:noProof/>
                <w:webHidden/>
              </w:rPr>
              <w:fldChar w:fldCharType="end"/>
            </w:r>
          </w:hyperlink>
        </w:p>
        <w:p w14:paraId="0AD9A675" w14:textId="77777777" w:rsidR="004253E7" w:rsidRDefault="00190148">
          <w:pPr>
            <w:pStyle w:val="TOC3"/>
            <w:tabs>
              <w:tab w:val="right" w:leader="dot" w:pos="9350"/>
            </w:tabs>
            <w:rPr>
              <w:rFonts w:asciiTheme="minorHAnsi" w:hAnsiTheme="minorHAnsi"/>
              <w:noProof/>
              <w:sz w:val="22"/>
              <w:szCs w:val="22"/>
              <w:lang w:eastAsia="en-US"/>
            </w:rPr>
          </w:pPr>
          <w:hyperlink w:anchor="_Toc404069846" w:history="1">
            <w:r w:rsidR="004253E7" w:rsidRPr="00C90D9A">
              <w:rPr>
                <w:rStyle w:val="Hyperlink"/>
                <w:rFonts w:eastAsiaTheme="minorHAnsi"/>
                <w:noProof/>
              </w:rPr>
              <w:t>Early Selection for Biomass Yield and Ethanol Yield</w:t>
            </w:r>
            <w:r w:rsidR="004253E7">
              <w:rPr>
                <w:noProof/>
                <w:webHidden/>
              </w:rPr>
              <w:tab/>
            </w:r>
            <w:r w:rsidR="004253E7">
              <w:rPr>
                <w:noProof/>
                <w:webHidden/>
              </w:rPr>
              <w:fldChar w:fldCharType="begin"/>
            </w:r>
            <w:r w:rsidR="004253E7">
              <w:rPr>
                <w:noProof/>
                <w:webHidden/>
              </w:rPr>
              <w:instrText xml:space="preserve"> PAGEREF _Toc404069846 \h </w:instrText>
            </w:r>
            <w:r w:rsidR="004253E7">
              <w:rPr>
                <w:noProof/>
                <w:webHidden/>
              </w:rPr>
            </w:r>
            <w:r w:rsidR="004253E7">
              <w:rPr>
                <w:noProof/>
                <w:webHidden/>
              </w:rPr>
              <w:fldChar w:fldCharType="separate"/>
            </w:r>
            <w:r w:rsidR="00817BBF">
              <w:rPr>
                <w:noProof/>
                <w:webHidden/>
              </w:rPr>
              <w:t>68</w:t>
            </w:r>
            <w:r w:rsidR="004253E7">
              <w:rPr>
                <w:noProof/>
                <w:webHidden/>
              </w:rPr>
              <w:fldChar w:fldCharType="end"/>
            </w:r>
          </w:hyperlink>
        </w:p>
        <w:p w14:paraId="5AD3A028" w14:textId="77777777" w:rsidR="004253E7" w:rsidRDefault="00190148">
          <w:pPr>
            <w:pStyle w:val="TOC2"/>
            <w:tabs>
              <w:tab w:val="right" w:leader="dot" w:pos="9350"/>
            </w:tabs>
            <w:rPr>
              <w:rFonts w:asciiTheme="minorHAnsi" w:hAnsiTheme="minorHAnsi"/>
              <w:noProof/>
              <w:sz w:val="22"/>
              <w:szCs w:val="22"/>
              <w:lang w:eastAsia="en-US"/>
            </w:rPr>
          </w:pPr>
          <w:hyperlink w:anchor="_Toc404069847" w:history="1">
            <w:r w:rsidR="004253E7" w:rsidRPr="00C90D9A">
              <w:rPr>
                <w:rStyle w:val="Hyperlink"/>
                <w:noProof/>
              </w:rPr>
              <w:t>Conclusion</w:t>
            </w:r>
            <w:r w:rsidR="004253E7">
              <w:rPr>
                <w:noProof/>
                <w:webHidden/>
              </w:rPr>
              <w:tab/>
            </w:r>
            <w:r w:rsidR="004253E7">
              <w:rPr>
                <w:noProof/>
                <w:webHidden/>
              </w:rPr>
              <w:fldChar w:fldCharType="begin"/>
            </w:r>
            <w:r w:rsidR="004253E7">
              <w:rPr>
                <w:noProof/>
                <w:webHidden/>
              </w:rPr>
              <w:instrText xml:space="preserve"> PAGEREF _Toc404069847 \h </w:instrText>
            </w:r>
            <w:r w:rsidR="004253E7">
              <w:rPr>
                <w:noProof/>
                <w:webHidden/>
              </w:rPr>
            </w:r>
            <w:r w:rsidR="004253E7">
              <w:rPr>
                <w:noProof/>
                <w:webHidden/>
              </w:rPr>
              <w:fldChar w:fldCharType="separate"/>
            </w:r>
            <w:r w:rsidR="00817BBF">
              <w:rPr>
                <w:noProof/>
                <w:webHidden/>
              </w:rPr>
              <w:t>70</w:t>
            </w:r>
            <w:r w:rsidR="004253E7">
              <w:rPr>
                <w:noProof/>
                <w:webHidden/>
              </w:rPr>
              <w:fldChar w:fldCharType="end"/>
            </w:r>
          </w:hyperlink>
        </w:p>
        <w:p w14:paraId="03B40D94" w14:textId="77777777" w:rsidR="004253E7" w:rsidRDefault="00190148">
          <w:pPr>
            <w:pStyle w:val="TOC2"/>
            <w:tabs>
              <w:tab w:val="right" w:leader="dot" w:pos="9350"/>
            </w:tabs>
            <w:rPr>
              <w:rFonts w:asciiTheme="minorHAnsi" w:hAnsiTheme="minorHAnsi"/>
              <w:noProof/>
              <w:sz w:val="22"/>
              <w:szCs w:val="22"/>
              <w:lang w:eastAsia="en-US"/>
            </w:rPr>
          </w:pPr>
          <w:hyperlink w:anchor="_Toc404069848" w:history="1">
            <w:r w:rsidR="004253E7" w:rsidRPr="00C90D9A">
              <w:rPr>
                <w:rStyle w:val="Hyperlink"/>
                <w:noProof/>
              </w:rPr>
              <w:t>Appendix II</w:t>
            </w:r>
            <w:r w:rsidR="004253E7">
              <w:rPr>
                <w:noProof/>
                <w:webHidden/>
              </w:rPr>
              <w:tab/>
            </w:r>
            <w:r w:rsidR="004253E7">
              <w:rPr>
                <w:noProof/>
                <w:webHidden/>
              </w:rPr>
              <w:fldChar w:fldCharType="begin"/>
            </w:r>
            <w:r w:rsidR="004253E7">
              <w:rPr>
                <w:noProof/>
                <w:webHidden/>
              </w:rPr>
              <w:instrText xml:space="preserve"> PAGEREF _Toc404069848 \h </w:instrText>
            </w:r>
            <w:r w:rsidR="004253E7">
              <w:rPr>
                <w:noProof/>
                <w:webHidden/>
              </w:rPr>
            </w:r>
            <w:r w:rsidR="004253E7">
              <w:rPr>
                <w:noProof/>
                <w:webHidden/>
              </w:rPr>
              <w:fldChar w:fldCharType="separate"/>
            </w:r>
            <w:r w:rsidR="00817BBF">
              <w:rPr>
                <w:noProof/>
                <w:webHidden/>
              </w:rPr>
              <w:t>74</w:t>
            </w:r>
            <w:r w:rsidR="004253E7">
              <w:rPr>
                <w:noProof/>
                <w:webHidden/>
              </w:rPr>
              <w:fldChar w:fldCharType="end"/>
            </w:r>
          </w:hyperlink>
        </w:p>
        <w:p w14:paraId="2D79A196" w14:textId="77777777" w:rsidR="004253E7" w:rsidRDefault="00190148">
          <w:pPr>
            <w:pStyle w:val="TOC1"/>
            <w:tabs>
              <w:tab w:val="right" w:leader="dot" w:pos="9350"/>
            </w:tabs>
            <w:rPr>
              <w:rFonts w:asciiTheme="minorHAnsi" w:hAnsiTheme="minorHAnsi"/>
              <w:noProof/>
              <w:sz w:val="22"/>
              <w:szCs w:val="22"/>
              <w:lang w:eastAsia="en-US"/>
            </w:rPr>
          </w:pPr>
          <w:hyperlink w:anchor="_Toc404069849" w:history="1">
            <w:r w:rsidR="004253E7" w:rsidRPr="00C90D9A">
              <w:rPr>
                <w:rStyle w:val="Hyperlink"/>
                <w:rFonts w:eastAsiaTheme="majorEastAsia"/>
                <w:noProof/>
              </w:rPr>
              <w:t>CHAPTER 3 - COMPARISON OF SPACE AND SWARD PLANTED SWITCHGRASS FOR ESTIMATES OF GENETIC PARAMETERS AND RANKING OF BIOMASS AND PREDICTED ETHANOL YIELD</w:t>
            </w:r>
            <w:r w:rsidR="004253E7">
              <w:rPr>
                <w:noProof/>
                <w:webHidden/>
              </w:rPr>
              <w:tab/>
            </w:r>
            <w:r w:rsidR="004253E7">
              <w:rPr>
                <w:noProof/>
                <w:webHidden/>
              </w:rPr>
              <w:fldChar w:fldCharType="begin"/>
            </w:r>
            <w:r w:rsidR="004253E7">
              <w:rPr>
                <w:noProof/>
                <w:webHidden/>
              </w:rPr>
              <w:instrText xml:space="preserve"> PAGEREF _Toc404069849 \h </w:instrText>
            </w:r>
            <w:r w:rsidR="004253E7">
              <w:rPr>
                <w:noProof/>
                <w:webHidden/>
              </w:rPr>
            </w:r>
            <w:r w:rsidR="004253E7">
              <w:rPr>
                <w:noProof/>
                <w:webHidden/>
              </w:rPr>
              <w:fldChar w:fldCharType="separate"/>
            </w:r>
            <w:r w:rsidR="00817BBF">
              <w:rPr>
                <w:noProof/>
                <w:webHidden/>
              </w:rPr>
              <w:t>104</w:t>
            </w:r>
            <w:r w:rsidR="004253E7">
              <w:rPr>
                <w:noProof/>
                <w:webHidden/>
              </w:rPr>
              <w:fldChar w:fldCharType="end"/>
            </w:r>
          </w:hyperlink>
        </w:p>
        <w:p w14:paraId="2E38C186" w14:textId="77777777" w:rsidR="004253E7" w:rsidRDefault="00190148">
          <w:pPr>
            <w:pStyle w:val="TOC2"/>
            <w:tabs>
              <w:tab w:val="right" w:leader="dot" w:pos="9350"/>
            </w:tabs>
            <w:rPr>
              <w:rFonts w:asciiTheme="minorHAnsi" w:hAnsiTheme="minorHAnsi"/>
              <w:noProof/>
              <w:sz w:val="22"/>
              <w:szCs w:val="22"/>
              <w:lang w:eastAsia="en-US"/>
            </w:rPr>
          </w:pPr>
          <w:hyperlink w:anchor="_Toc404069850" w:history="1">
            <w:r w:rsidR="004253E7" w:rsidRPr="00C90D9A">
              <w:rPr>
                <w:rStyle w:val="Hyperlink"/>
                <w:noProof/>
              </w:rPr>
              <w:t>Abstract</w:t>
            </w:r>
            <w:r w:rsidR="004253E7">
              <w:rPr>
                <w:noProof/>
                <w:webHidden/>
              </w:rPr>
              <w:tab/>
            </w:r>
            <w:r w:rsidR="004253E7">
              <w:rPr>
                <w:noProof/>
                <w:webHidden/>
              </w:rPr>
              <w:fldChar w:fldCharType="begin"/>
            </w:r>
            <w:r w:rsidR="004253E7">
              <w:rPr>
                <w:noProof/>
                <w:webHidden/>
              </w:rPr>
              <w:instrText xml:space="preserve"> PAGEREF _Toc404069850 \h </w:instrText>
            </w:r>
            <w:r w:rsidR="004253E7">
              <w:rPr>
                <w:noProof/>
                <w:webHidden/>
              </w:rPr>
            </w:r>
            <w:r w:rsidR="004253E7">
              <w:rPr>
                <w:noProof/>
                <w:webHidden/>
              </w:rPr>
              <w:fldChar w:fldCharType="separate"/>
            </w:r>
            <w:r w:rsidR="00817BBF">
              <w:rPr>
                <w:noProof/>
                <w:webHidden/>
              </w:rPr>
              <w:t>105</w:t>
            </w:r>
            <w:r w:rsidR="004253E7">
              <w:rPr>
                <w:noProof/>
                <w:webHidden/>
              </w:rPr>
              <w:fldChar w:fldCharType="end"/>
            </w:r>
          </w:hyperlink>
        </w:p>
        <w:p w14:paraId="5264F6D6" w14:textId="77777777" w:rsidR="004253E7" w:rsidRDefault="00190148">
          <w:pPr>
            <w:pStyle w:val="TOC2"/>
            <w:tabs>
              <w:tab w:val="right" w:leader="dot" w:pos="9350"/>
            </w:tabs>
            <w:rPr>
              <w:rFonts w:asciiTheme="minorHAnsi" w:hAnsiTheme="minorHAnsi"/>
              <w:noProof/>
              <w:sz w:val="22"/>
              <w:szCs w:val="22"/>
              <w:lang w:eastAsia="en-US"/>
            </w:rPr>
          </w:pPr>
          <w:hyperlink w:anchor="_Toc404069851" w:history="1">
            <w:r w:rsidR="004253E7" w:rsidRPr="00C90D9A">
              <w:rPr>
                <w:rStyle w:val="Hyperlink"/>
                <w:noProof/>
              </w:rPr>
              <w:t>Introduction</w:t>
            </w:r>
            <w:r w:rsidR="004253E7">
              <w:rPr>
                <w:noProof/>
                <w:webHidden/>
              </w:rPr>
              <w:tab/>
            </w:r>
            <w:r w:rsidR="004253E7">
              <w:rPr>
                <w:noProof/>
                <w:webHidden/>
              </w:rPr>
              <w:fldChar w:fldCharType="begin"/>
            </w:r>
            <w:r w:rsidR="004253E7">
              <w:rPr>
                <w:noProof/>
                <w:webHidden/>
              </w:rPr>
              <w:instrText xml:space="preserve"> PAGEREF _Toc404069851 \h </w:instrText>
            </w:r>
            <w:r w:rsidR="004253E7">
              <w:rPr>
                <w:noProof/>
                <w:webHidden/>
              </w:rPr>
            </w:r>
            <w:r w:rsidR="004253E7">
              <w:rPr>
                <w:noProof/>
                <w:webHidden/>
              </w:rPr>
              <w:fldChar w:fldCharType="separate"/>
            </w:r>
            <w:r w:rsidR="00817BBF">
              <w:rPr>
                <w:noProof/>
                <w:webHidden/>
              </w:rPr>
              <w:t>106</w:t>
            </w:r>
            <w:r w:rsidR="004253E7">
              <w:rPr>
                <w:noProof/>
                <w:webHidden/>
              </w:rPr>
              <w:fldChar w:fldCharType="end"/>
            </w:r>
          </w:hyperlink>
        </w:p>
        <w:p w14:paraId="065E62B0" w14:textId="77777777" w:rsidR="004253E7" w:rsidRDefault="00190148">
          <w:pPr>
            <w:pStyle w:val="TOC2"/>
            <w:tabs>
              <w:tab w:val="right" w:leader="dot" w:pos="9350"/>
            </w:tabs>
            <w:rPr>
              <w:rFonts w:asciiTheme="minorHAnsi" w:hAnsiTheme="minorHAnsi"/>
              <w:noProof/>
              <w:sz w:val="22"/>
              <w:szCs w:val="22"/>
              <w:lang w:eastAsia="en-US"/>
            </w:rPr>
          </w:pPr>
          <w:hyperlink w:anchor="_Toc404069852" w:history="1">
            <w:r w:rsidR="004253E7" w:rsidRPr="00C90D9A">
              <w:rPr>
                <w:rStyle w:val="Hyperlink"/>
                <w:noProof/>
              </w:rPr>
              <w:t>Materials and Methods</w:t>
            </w:r>
            <w:r w:rsidR="004253E7">
              <w:rPr>
                <w:noProof/>
                <w:webHidden/>
              </w:rPr>
              <w:tab/>
            </w:r>
            <w:r w:rsidR="004253E7">
              <w:rPr>
                <w:noProof/>
                <w:webHidden/>
              </w:rPr>
              <w:fldChar w:fldCharType="begin"/>
            </w:r>
            <w:r w:rsidR="004253E7">
              <w:rPr>
                <w:noProof/>
                <w:webHidden/>
              </w:rPr>
              <w:instrText xml:space="preserve"> PAGEREF _Toc404069852 \h </w:instrText>
            </w:r>
            <w:r w:rsidR="004253E7">
              <w:rPr>
                <w:noProof/>
                <w:webHidden/>
              </w:rPr>
            </w:r>
            <w:r w:rsidR="004253E7">
              <w:rPr>
                <w:noProof/>
                <w:webHidden/>
              </w:rPr>
              <w:fldChar w:fldCharType="separate"/>
            </w:r>
            <w:r w:rsidR="00817BBF">
              <w:rPr>
                <w:noProof/>
                <w:webHidden/>
              </w:rPr>
              <w:t>108</w:t>
            </w:r>
            <w:r w:rsidR="004253E7">
              <w:rPr>
                <w:noProof/>
                <w:webHidden/>
              </w:rPr>
              <w:fldChar w:fldCharType="end"/>
            </w:r>
          </w:hyperlink>
        </w:p>
        <w:p w14:paraId="6DFC9F79" w14:textId="77777777" w:rsidR="004253E7" w:rsidRDefault="00190148">
          <w:pPr>
            <w:pStyle w:val="TOC3"/>
            <w:tabs>
              <w:tab w:val="right" w:leader="dot" w:pos="9350"/>
            </w:tabs>
            <w:rPr>
              <w:rFonts w:asciiTheme="minorHAnsi" w:hAnsiTheme="minorHAnsi"/>
              <w:noProof/>
              <w:sz w:val="22"/>
              <w:szCs w:val="22"/>
              <w:lang w:eastAsia="en-US"/>
            </w:rPr>
          </w:pPr>
          <w:hyperlink w:anchor="_Toc404069853" w:history="1">
            <w:r w:rsidR="004253E7" w:rsidRPr="00C90D9A">
              <w:rPr>
                <w:rStyle w:val="Hyperlink"/>
                <w:rFonts w:cs="Times New Roman"/>
                <w:noProof/>
              </w:rPr>
              <w:t>Breeding Methods and Greenhouse Maintenance</w:t>
            </w:r>
            <w:r w:rsidR="004253E7">
              <w:rPr>
                <w:noProof/>
                <w:webHidden/>
              </w:rPr>
              <w:tab/>
            </w:r>
            <w:r w:rsidR="004253E7">
              <w:rPr>
                <w:noProof/>
                <w:webHidden/>
              </w:rPr>
              <w:fldChar w:fldCharType="begin"/>
            </w:r>
            <w:r w:rsidR="004253E7">
              <w:rPr>
                <w:noProof/>
                <w:webHidden/>
              </w:rPr>
              <w:instrText xml:space="preserve"> PAGEREF _Toc404069853 \h </w:instrText>
            </w:r>
            <w:r w:rsidR="004253E7">
              <w:rPr>
                <w:noProof/>
                <w:webHidden/>
              </w:rPr>
            </w:r>
            <w:r w:rsidR="004253E7">
              <w:rPr>
                <w:noProof/>
                <w:webHidden/>
              </w:rPr>
              <w:fldChar w:fldCharType="separate"/>
            </w:r>
            <w:r w:rsidR="00817BBF">
              <w:rPr>
                <w:noProof/>
                <w:webHidden/>
              </w:rPr>
              <w:t>109</w:t>
            </w:r>
            <w:r w:rsidR="004253E7">
              <w:rPr>
                <w:noProof/>
                <w:webHidden/>
              </w:rPr>
              <w:fldChar w:fldCharType="end"/>
            </w:r>
          </w:hyperlink>
        </w:p>
        <w:p w14:paraId="0F7EE53D" w14:textId="77777777" w:rsidR="004253E7" w:rsidRDefault="00190148">
          <w:pPr>
            <w:pStyle w:val="TOC3"/>
            <w:tabs>
              <w:tab w:val="right" w:leader="dot" w:pos="9350"/>
            </w:tabs>
            <w:rPr>
              <w:rFonts w:asciiTheme="minorHAnsi" w:hAnsiTheme="minorHAnsi"/>
              <w:noProof/>
              <w:sz w:val="22"/>
              <w:szCs w:val="22"/>
              <w:lang w:eastAsia="en-US"/>
            </w:rPr>
          </w:pPr>
          <w:hyperlink w:anchor="_Toc404069854" w:history="1">
            <w:r w:rsidR="004253E7" w:rsidRPr="00C90D9A">
              <w:rPr>
                <w:rStyle w:val="Hyperlink"/>
                <w:rFonts w:eastAsiaTheme="minorHAnsi" w:cs="Times New Roman"/>
                <w:noProof/>
              </w:rPr>
              <w:t>Field Evaluation</w:t>
            </w:r>
            <w:r w:rsidR="004253E7">
              <w:rPr>
                <w:noProof/>
                <w:webHidden/>
              </w:rPr>
              <w:tab/>
            </w:r>
            <w:r w:rsidR="004253E7">
              <w:rPr>
                <w:noProof/>
                <w:webHidden/>
              </w:rPr>
              <w:fldChar w:fldCharType="begin"/>
            </w:r>
            <w:r w:rsidR="004253E7">
              <w:rPr>
                <w:noProof/>
                <w:webHidden/>
              </w:rPr>
              <w:instrText xml:space="preserve"> PAGEREF _Toc404069854 \h </w:instrText>
            </w:r>
            <w:r w:rsidR="004253E7">
              <w:rPr>
                <w:noProof/>
                <w:webHidden/>
              </w:rPr>
            </w:r>
            <w:r w:rsidR="004253E7">
              <w:rPr>
                <w:noProof/>
                <w:webHidden/>
              </w:rPr>
              <w:fldChar w:fldCharType="separate"/>
            </w:r>
            <w:r w:rsidR="00817BBF">
              <w:rPr>
                <w:noProof/>
                <w:webHidden/>
              </w:rPr>
              <w:t>111</w:t>
            </w:r>
            <w:r w:rsidR="004253E7">
              <w:rPr>
                <w:noProof/>
                <w:webHidden/>
              </w:rPr>
              <w:fldChar w:fldCharType="end"/>
            </w:r>
          </w:hyperlink>
        </w:p>
        <w:p w14:paraId="122D0771" w14:textId="77777777" w:rsidR="004253E7" w:rsidRDefault="00190148">
          <w:pPr>
            <w:pStyle w:val="TOC3"/>
            <w:tabs>
              <w:tab w:val="right" w:leader="dot" w:pos="9350"/>
            </w:tabs>
            <w:rPr>
              <w:rFonts w:asciiTheme="minorHAnsi" w:hAnsiTheme="minorHAnsi"/>
              <w:noProof/>
              <w:sz w:val="22"/>
              <w:szCs w:val="22"/>
              <w:lang w:eastAsia="en-US"/>
            </w:rPr>
          </w:pPr>
          <w:hyperlink w:anchor="_Toc404069855" w:history="1">
            <w:r w:rsidR="004253E7" w:rsidRPr="00C90D9A">
              <w:rPr>
                <w:rStyle w:val="Hyperlink"/>
                <w:rFonts w:cs="Times New Roman"/>
                <w:noProof/>
              </w:rPr>
              <w:t>Statistical Analysis</w:t>
            </w:r>
            <w:r w:rsidR="004253E7">
              <w:rPr>
                <w:noProof/>
                <w:webHidden/>
              </w:rPr>
              <w:tab/>
            </w:r>
            <w:r w:rsidR="004253E7">
              <w:rPr>
                <w:noProof/>
                <w:webHidden/>
              </w:rPr>
              <w:fldChar w:fldCharType="begin"/>
            </w:r>
            <w:r w:rsidR="004253E7">
              <w:rPr>
                <w:noProof/>
                <w:webHidden/>
              </w:rPr>
              <w:instrText xml:space="preserve"> PAGEREF _Toc404069855 \h </w:instrText>
            </w:r>
            <w:r w:rsidR="004253E7">
              <w:rPr>
                <w:noProof/>
                <w:webHidden/>
              </w:rPr>
            </w:r>
            <w:r w:rsidR="004253E7">
              <w:rPr>
                <w:noProof/>
                <w:webHidden/>
              </w:rPr>
              <w:fldChar w:fldCharType="separate"/>
            </w:r>
            <w:r w:rsidR="00817BBF">
              <w:rPr>
                <w:noProof/>
                <w:webHidden/>
              </w:rPr>
              <w:t>112</w:t>
            </w:r>
            <w:r w:rsidR="004253E7">
              <w:rPr>
                <w:noProof/>
                <w:webHidden/>
              </w:rPr>
              <w:fldChar w:fldCharType="end"/>
            </w:r>
          </w:hyperlink>
        </w:p>
        <w:p w14:paraId="648328F4" w14:textId="77777777" w:rsidR="004253E7" w:rsidRDefault="00190148">
          <w:pPr>
            <w:pStyle w:val="TOC2"/>
            <w:tabs>
              <w:tab w:val="right" w:leader="dot" w:pos="9350"/>
            </w:tabs>
            <w:rPr>
              <w:rFonts w:asciiTheme="minorHAnsi" w:hAnsiTheme="minorHAnsi"/>
              <w:noProof/>
              <w:sz w:val="22"/>
              <w:szCs w:val="22"/>
              <w:lang w:eastAsia="en-US"/>
            </w:rPr>
          </w:pPr>
          <w:hyperlink w:anchor="_Toc404069856" w:history="1">
            <w:r w:rsidR="004253E7" w:rsidRPr="00C90D9A">
              <w:rPr>
                <w:rStyle w:val="Hyperlink"/>
                <w:rFonts w:eastAsiaTheme="minorHAnsi"/>
                <w:noProof/>
              </w:rPr>
              <w:t>Results and Discussion</w:t>
            </w:r>
            <w:r w:rsidR="004253E7">
              <w:rPr>
                <w:noProof/>
                <w:webHidden/>
              </w:rPr>
              <w:tab/>
            </w:r>
            <w:r w:rsidR="004253E7">
              <w:rPr>
                <w:noProof/>
                <w:webHidden/>
              </w:rPr>
              <w:fldChar w:fldCharType="begin"/>
            </w:r>
            <w:r w:rsidR="004253E7">
              <w:rPr>
                <w:noProof/>
                <w:webHidden/>
              </w:rPr>
              <w:instrText xml:space="preserve"> PAGEREF _Toc404069856 \h </w:instrText>
            </w:r>
            <w:r w:rsidR="004253E7">
              <w:rPr>
                <w:noProof/>
                <w:webHidden/>
              </w:rPr>
            </w:r>
            <w:r w:rsidR="004253E7">
              <w:rPr>
                <w:noProof/>
                <w:webHidden/>
              </w:rPr>
              <w:fldChar w:fldCharType="separate"/>
            </w:r>
            <w:r w:rsidR="00817BBF">
              <w:rPr>
                <w:noProof/>
                <w:webHidden/>
              </w:rPr>
              <w:t>116</w:t>
            </w:r>
            <w:r w:rsidR="004253E7">
              <w:rPr>
                <w:noProof/>
                <w:webHidden/>
              </w:rPr>
              <w:fldChar w:fldCharType="end"/>
            </w:r>
          </w:hyperlink>
        </w:p>
        <w:p w14:paraId="16C70D9B" w14:textId="77777777" w:rsidR="004253E7" w:rsidRDefault="00190148">
          <w:pPr>
            <w:pStyle w:val="TOC3"/>
            <w:tabs>
              <w:tab w:val="right" w:leader="dot" w:pos="9350"/>
            </w:tabs>
            <w:rPr>
              <w:rFonts w:asciiTheme="minorHAnsi" w:hAnsiTheme="minorHAnsi"/>
              <w:noProof/>
              <w:sz w:val="22"/>
              <w:szCs w:val="22"/>
              <w:lang w:eastAsia="en-US"/>
            </w:rPr>
          </w:pPr>
          <w:hyperlink w:anchor="_Toc404069857" w:history="1">
            <w:r w:rsidR="004253E7" w:rsidRPr="00C90D9A">
              <w:rPr>
                <w:rStyle w:val="Hyperlink"/>
                <w:rFonts w:eastAsiaTheme="minorHAnsi"/>
                <w:noProof/>
              </w:rPr>
              <w:t>Means of Measured Traits</w:t>
            </w:r>
            <w:r w:rsidR="004253E7">
              <w:rPr>
                <w:noProof/>
                <w:webHidden/>
              </w:rPr>
              <w:tab/>
            </w:r>
            <w:r w:rsidR="004253E7">
              <w:rPr>
                <w:noProof/>
                <w:webHidden/>
              </w:rPr>
              <w:fldChar w:fldCharType="begin"/>
            </w:r>
            <w:r w:rsidR="004253E7">
              <w:rPr>
                <w:noProof/>
                <w:webHidden/>
              </w:rPr>
              <w:instrText xml:space="preserve"> PAGEREF _Toc404069857 \h </w:instrText>
            </w:r>
            <w:r w:rsidR="004253E7">
              <w:rPr>
                <w:noProof/>
                <w:webHidden/>
              </w:rPr>
            </w:r>
            <w:r w:rsidR="004253E7">
              <w:rPr>
                <w:noProof/>
                <w:webHidden/>
              </w:rPr>
              <w:fldChar w:fldCharType="separate"/>
            </w:r>
            <w:r w:rsidR="00817BBF">
              <w:rPr>
                <w:noProof/>
                <w:webHidden/>
              </w:rPr>
              <w:t>116</w:t>
            </w:r>
            <w:r w:rsidR="004253E7">
              <w:rPr>
                <w:noProof/>
                <w:webHidden/>
              </w:rPr>
              <w:fldChar w:fldCharType="end"/>
            </w:r>
          </w:hyperlink>
        </w:p>
        <w:p w14:paraId="6D61BB89" w14:textId="77777777" w:rsidR="004253E7" w:rsidRDefault="00190148">
          <w:pPr>
            <w:pStyle w:val="TOC3"/>
            <w:tabs>
              <w:tab w:val="right" w:leader="dot" w:pos="9350"/>
            </w:tabs>
            <w:rPr>
              <w:rFonts w:asciiTheme="minorHAnsi" w:hAnsiTheme="minorHAnsi"/>
              <w:noProof/>
              <w:sz w:val="22"/>
              <w:szCs w:val="22"/>
              <w:lang w:eastAsia="en-US"/>
            </w:rPr>
          </w:pPr>
          <w:hyperlink w:anchor="_Toc404069858" w:history="1">
            <w:r w:rsidR="004253E7" w:rsidRPr="00C90D9A">
              <w:rPr>
                <w:rStyle w:val="Hyperlink"/>
                <w:rFonts w:eastAsiaTheme="minorHAnsi"/>
                <w:noProof/>
              </w:rPr>
              <w:t>Between Nursery Correlations of Measured Traits</w:t>
            </w:r>
            <w:r w:rsidR="004253E7">
              <w:rPr>
                <w:noProof/>
                <w:webHidden/>
              </w:rPr>
              <w:tab/>
            </w:r>
            <w:r w:rsidR="004253E7">
              <w:rPr>
                <w:noProof/>
                <w:webHidden/>
              </w:rPr>
              <w:fldChar w:fldCharType="begin"/>
            </w:r>
            <w:r w:rsidR="004253E7">
              <w:rPr>
                <w:noProof/>
                <w:webHidden/>
              </w:rPr>
              <w:instrText xml:space="preserve"> PAGEREF _Toc404069858 \h </w:instrText>
            </w:r>
            <w:r w:rsidR="004253E7">
              <w:rPr>
                <w:noProof/>
                <w:webHidden/>
              </w:rPr>
            </w:r>
            <w:r w:rsidR="004253E7">
              <w:rPr>
                <w:noProof/>
                <w:webHidden/>
              </w:rPr>
              <w:fldChar w:fldCharType="separate"/>
            </w:r>
            <w:r w:rsidR="00817BBF">
              <w:rPr>
                <w:noProof/>
                <w:webHidden/>
              </w:rPr>
              <w:t>118</w:t>
            </w:r>
            <w:r w:rsidR="004253E7">
              <w:rPr>
                <w:noProof/>
                <w:webHidden/>
              </w:rPr>
              <w:fldChar w:fldCharType="end"/>
            </w:r>
          </w:hyperlink>
        </w:p>
        <w:p w14:paraId="59647ADE" w14:textId="77777777" w:rsidR="004253E7" w:rsidRDefault="00190148">
          <w:pPr>
            <w:pStyle w:val="TOC3"/>
            <w:tabs>
              <w:tab w:val="right" w:leader="dot" w:pos="9350"/>
            </w:tabs>
            <w:rPr>
              <w:rFonts w:asciiTheme="minorHAnsi" w:hAnsiTheme="minorHAnsi"/>
              <w:noProof/>
              <w:sz w:val="22"/>
              <w:szCs w:val="22"/>
              <w:lang w:eastAsia="en-US"/>
            </w:rPr>
          </w:pPr>
          <w:hyperlink w:anchor="_Toc404069859" w:history="1">
            <w:r w:rsidR="004253E7" w:rsidRPr="00C90D9A">
              <w:rPr>
                <w:rStyle w:val="Hyperlink"/>
                <w:rFonts w:eastAsiaTheme="minorHAnsi"/>
                <w:noProof/>
              </w:rPr>
              <w:t>Within Nursery Correlations of Biomass Yield and Predicted Ethanol Yield with Morphological Traits</w:t>
            </w:r>
            <w:r w:rsidR="004253E7">
              <w:rPr>
                <w:noProof/>
                <w:webHidden/>
              </w:rPr>
              <w:tab/>
            </w:r>
            <w:r w:rsidR="004253E7">
              <w:rPr>
                <w:noProof/>
                <w:webHidden/>
              </w:rPr>
              <w:fldChar w:fldCharType="begin"/>
            </w:r>
            <w:r w:rsidR="004253E7">
              <w:rPr>
                <w:noProof/>
                <w:webHidden/>
              </w:rPr>
              <w:instrText xml:space="preserve"> PAGEREF _Toc404069859 \h </w:instrText>
            </w:r>
            <w:r w:rsidR="004253E7">
              <w:rPr>
                <w:noProof/>
                <w:webHidden/>
              </w:rPr>
            </w:r>
            <w:r w:rsidR="004253E7">
              <w:rPr>
                <w:noProof/>
                <w:webHidden/>
              </w:rPr>
              <w:fldChar w:fldCharType="separate"/>
            </w:r>
            <w:r w:rsidR="00817BBF">
              <w:rPr>
                <w:noProof/>
                <w:webHidden/>
              </w:rPr>
              <w:t>118</w:t>
            </w:r>
            <w:r w:rsidR="004253E7">
              <w:rPr>
                <w:noProof/>
                <w:webHidden/>
              </w:rPr>
              <w:fldChar w:fldCharType="end"/>
            </w:r>
          </w:hyperlink>
        </w:p>
        <w:p w14:paraId="7ECA797A" w14:textId="77777777" w:rsidR="004253E7" w:rsidRDefault="00190148">
          <w:pPr>
            <w:pStyle w:val="TOC3"/>
            <w:tabs>
              <w:tab w:val="right" w:leader="dot" w:pos="9350"/>
            </w:tabs>
            <w:rPr>
              <w:rFonts w:asciiTheme="minorHAnsi" w:hAnsiTheme="minorHAnsi"/>
              <w:noProof/>
              <w:sz w:val="22"/>
              <w:szCs w:val="22"/>
              <w:lang w:eastAsia="en-US"/>
            </w:rPr>
          </w:pPr>
          <w:hyperlink w:anchor="_Toc404069860" w:history="1">
            <w:r w:rsidR="004253E7" w:rsidRPr="00C90D9A">
              <w:rPr>
                <w:rStyle w:val="Hyperlink"/>
                <w:rFonts w:eastAsiaTheme="minorHAnsi"/>
                <w:noProof/>
              </w:rPr>
              <w:t>Variance Components of Biomass Yield and Predicted Ethanol Yield</w:t>
            </w:r>
            <w:r w:rsidR="004253E7">
              <w:rPr>
                <w:noProof/>
                <w:webHidden/>
              </w:rPr>
              <w:tab/>
            </w:r>
            <w:r w:rsidR="004253E7">
              <w:rPr>
                <w:noProof/>
                <w:webHidden/>
              </w:rPr>
              <w:fldChar w:fldCharType="begin"/>
            </w:r>
            <w:r w:rsidR="004253E7">
              <w:rPr>
                <w:noProof/>
                <w:webHidden/>
              </w:rPr>
              <w:instrText xml:space="preserve"> PAGEREF _Toc404069860 \h </w:instrText>
            </w:r>
            <w:r w:rsidR="004253E7">
              <w:rPr>
                <w:noProof/>
                <w:webHidden/>
              </w:rPr>
            </w:r>
            <w:r w:rsidR="004253E7">
              <w:rPr>
                <w:noProof/>
                <w:webHidden/>
              </w:rPr>
              <w:fldChar w:fldCharType="separate"/>
            </w:r>
            <w:r w:rsidR="00817BBF">
              <w:rPr>
                <w:noProof/>
                <w:webHidden/>
              </w:rPr>
              <w:t>119</w:t>
            </w:r>
            <w:r w:rsidR="004253E7">
              <w:rPr>
                <w:noProof/>
                <w:webHidden/>
              </w:rPr>
              <w:fldChar w:fldCharType="end"/>
            </w:r>
          </w:hyperlink>
        </w:p>
        <w:p w14:paraId="38A32D90" w14:textId="77777777" w:rsidR="004253E7" w:rsidRDefault="00190148">
          <w:pPr>
            <w:pStyle w:val="TOC3"/>
            <w:tabs>
              <w:tab w:val="right" w:leader="dot" w:pos="9350"/>
            </w:tabs>
            <w:rPr>
              <w:rFonts w:asciiTheme="minorHAnsi" w:hAnsiTheme="minorHAnsi"/>
              <w:noProof/>
              <w:sz w:val="22"/>
              <w:szCs w:val="22"/>
              <w:lang w:eastAsia="en-US"/>
            </w:rPr>
          </w:pPr>
          <w:hyperlink w:anchor="_Toc404069861" w:history="1">
            <w:r w:rsidR="004253E7" w:rsidRPr="00C90D9A">
              <w:rPr>
                <w:rStyle w:val="Hyperlink"/>
                <w:rFonts w:eastAsiaTheme="minorHAnsi"/>
                <w:noProof/>
              </w:rPr>
              <w:t>Heterosis of Biomass Yield and Predicted Ethanol Yield</w:t>
            </w:r>
            <w:r w:rsidR="004253E7">
              <w:rPr>
                <w:noProof/>
                <w:webHidden/>
              </w:rPr>
              <w:tab/>
            </w:r>
            <w:r w:rsidR="004253E7">
              <w:rPr>
                <w:noProof/>
                <w:webHidden/>
              </w:rPr>
              <w:fldChar w:fldCharType="begin"/>
            </w:r>
            <w:r w:rsidR="004253E7">
              <w:rPr>
                <w:noProof/>
                <w:webHidden/>
              </w:rPr>
              <w:instrText xml:space="preserve"> PAGEREF _Toc404069861 \h </w:instrText>
            </w:r>
            <w:r w:rsidR="004253E7">
              <w:rPr>
                <w:noProof/>
                <w:webHidden/>
              </w:rPr>
            </w:r>
            <w:r w:rsidR="004253E7">
              <w:rPr>
                <w:noProof/>
                <w:webHidden/>
              </w:rPr>
              <w:fldChar w:fldCharType="separate"/>
            </w:r>
            <w:r w:rsidR="00817BBF">
              <w:rPr>
                <w:noProof/>
                <w:webHidden/>
              </w:rPr>
              <w:t>123</w:t>
            </w:r>
            <w:r w:rsidR="004253E7">
              <w:rPr>
                <w:noProof/>
                <w:webHidden/>
              </w:rPr>
              <w:fldChar w:fldCharType="end"/>
            </w:r>
          </w:hyperlink>
        </w:p>
        <w:p w14:paraId="6717CB0C" w14:textId="77777777" w:rsidR="004253E7" w:rsidRDefault="00190148">
          <w:pPr>
            <w:pStyle w:val="TOC3"/>
            <w:tabs>
              <w:tab w:val="right" w:leader="dot" w:pos="9350"/>
            </w:tabs>
            <w:rPr>
              <w:rFonts w:asciiTheme="minorHAnsi" w:hAnsiTheme="minorHAnsi"/>
              <w:noProof/>
              <w:sz w:val="22"/>
              <w:szCs w:val="22"/>
              <w:lang w:eastAsia="en-US"/>
            </w:rPr>
          </w:pPr>
          <w:hyperlink w:anchor="_Toc404069862" w:history="1">
            <w:r w:rsidR="004253E7" w:rsidRPr="00C90D9A">
              <w:rPr>
                <w:rStyle w:val="Hyperlink"/>
                <w:rFonts w:eastAsiaTheme="minorHAnsi"/>
                <w:noProof/>
              </w:rPr>
              <w:t>Selections for Biomass Yield and Predicted Ethanol Yield</w:t>
            </w:r>
            <w:r w:rsidR="004253E7">
              <w:rPr>
                <w:noProof/>
                <w:webHidden/>
              </w:rPr>
              <w:tab/>
            </w:r>
            <w:r w:rsidR="004253E7">
              <w:rPr>
                <w:noProof/>
                <w:webHidden/>
              </w:rPr>
              <w:fldChar w:fldCharType="begin"/>
            </w:r>
            <w:r w:rsidR="004253E7">
              <w:rPr>
                <w:noProof/>
                <w:webHidden/>
              </w:rPr>
              <w:instrText xml:space="preserve"> PAGEREF _Toc404069862 \h </w:instrText>
            </w:r>
            <w:r w:rsidR="004253E7">
              <w:rPr>
                <w:noProof/>
                <w:webHidden/>
              </w:rPr>
            </w:r>
            <w:r w:rsidR="004253E7">
              <w:rPr>
                <w:noProof/>
                <w:webHidden/>
              </w:rPr>
              <w:fldChar w:fldCharType="separate"/>
            </w:r>
            <w:r w:rsidR="00817BBF">
              <w:rPr>
                <w:noProof/>
                <w:webHidden/>
              </w:rPr>
              <w:t>124</w:t>
            </w:r>
            <w:r w:rsidR="004253E7">
              <w:rPr>
                <w:noProof/>
                <w:webHidden/>
              </w:rPr>
              <w:fldChar w:fldCharType="end"/>
            </w:r>
          </w:hyperlink>
        </w:p>
        <w:p w14:paraId="16D56E1E" w14:textId="77777777" w:rsidR="004253E7" w:rsidRDefault="00190148">
          <w:pPr>
            <w:pStyle w:val="TOC2"/>
            <w:tabs>
              <w:tab w:val="right" w:leader="dot" w:pos="9350"/>
            </w:tabs>
            <w:rPr>
              <w:rFonts w:asciiTheme="minorHAnsi" w:hAnsiTheme="minorHAnsi"/>
              <w:noProof/>
              <w:sz w:val="22"/>
              <w:szCs w:val="22"/>
              <w:lang w:eastAsia="en-US"/>
            </w:rPr>
          </w:pPr>
          <w:hyperlink w:anchor="_Toc404069863" w:history="1">
            <w:r w:rsidR="004253E7" w:rsidRPr="00C90D9A">
              <w:rPr>
                <w:rStyle w:val="Hyperlink"/>
                <w:noProof/>
              </w:rPr>
              <w:t>Conclusion</w:t>
            </w:r>
            <w:r w:rsidR="004253E7">
              <w:rPr>
                <w:noProof/>
                <w:webHidden/>
              </w:rPr>
              <w:tab/>
            </w:r>
            <w:r w:rsidR="004253E7">
              <w:rPr>
                <w:noProof/>
                <w:webHidden/>
              </w:rPr>
              <w:fldChar w:fldCharType="begin"/>
            </w:r>
            <w:r w:rsidR="004253E7">
              <w:rPr>
                <w:noProof/>
                <w:webHidden/>
              </w:rPr>
              <w:instrText xml:space="preserve"> PAGEREF _Toc404069863 \h </w:instrText>
            </w:r>
            <w:r w:rsidR="004253E7">
              <w:rPr>
                <w:noProof/>
                <w:webHidden/>
              </w:rPr>
            </w:r>
            <w:r w:rsidR="004253E7">
              <w:rPr>
                <w:noProof/>
                <w:webHidden/>
              </w:rPr>
              <w:fldChar w:fldCharType="separate"/>
            </w:r>
            <w:r w:rsidR="00817BBF">
              <w:rPr>
                <w:noProof/>
                <w:webHidden/>
              </w:rPr>
              <w:t>126</w:t>
            </w:r>
            <w:r w:rsidR="004253E7">
              <w:rPr>
                <w:noProof/>
                <w:webHidden/>
              </w:rPr>
              <w:fldChar w:fldCharType="end"/>
            </w:r>
          </w:hyperlink>
        </w:p>
        <w:p w14:paraId="14EE37D0" w14:textId="77777777" w:rsidR="004253E7" w:rsidRDefault="00190148">
          <w:pPr>
            <w:pStyle w:val="TOC2"/>
            <w:tabs>
              <w:tab w:val="right" w:leader="dot" w:pos="9350"/>
            </w:tabs>
            <w:rPr>
              <w:rFonts w:asciiTheme="minorHAnsi" w:hAnsiTheme="minorHAnsi"/>
              <w:noProof/>
              <w:sz w:val="22"/>
              <w:szCs w:val="22"/>
              <w:lang w:eastAsia="en-US"/>
            </w:rPr>
          </w:pPr>
          <w:hyperlink w:anchor="_Toc404069864" w:history="1">
            <w:r w:rsidR="004253E7" w:rsidRPr="00C90D9A">
              <w:rPr>
                <w:rStyle w:val="Hyperlink"/>
                <w:rFonts w:eastAsiaTheme="minorHAnsi"/>
                <w:noProof/>
              </w:rPr>
              <w:t>Appendix III</w:t>
            </w:r>
            <w:r w:rsidR="004253E7">
              <w:rPr>
                <w:noProof/>
                <w:webHidden/>
              </w:rPr>
              <w:tab/>
            </w:r>
            <w:r w:rsidR="004253E7">
              <w:rPr>
                <w:noProof/>
                <w:webHidden/>
              </w:rPr>
              <w:fldChar w:fldCharType="begin"/>
            </w:r>
            <w:r w:rsidR="004253E7">
              <w:rPr>
                <w:noProof/>
                <w:webHidden/>
              </w:rPr>
              <w:instrText xml:space="preserve"> PAGEREF _Toc404069864 \h </w:instrText>
            </w:r>
            <w:r w:rsidR="004253E7">
              <w:rPr>
                <w:noProof/>
                <w:webHidden/>
              </w:rPr>
            </w:r>
            <w:r w:rsidR="004253E7">
              <w:rPr>
                <w:noProof/>
                <w:webHidden/>
              </w:rPr>
              <w:fldChar w:fldCharType="separate"/>
            </w:r>
            <w:r w:rsidR="00817BBF">
              <w:rPr>
                <w:noProof/>
                <w:webHidden/>
              </w:rPr>
              <w:t>128</w:t>
            </w:r>
            <w:r w:rsidR="004253E7">
              <w:rPr>
                <w:noProof/>
                <w:webHidden/>
              </w:rPr>
              <w:fldChar w:fldCharType="end"/>
            </w:r>
          </w:hyperlink>
        </w:p>
        <w:p w14:paraId="11DFE1E9" w14:textId="77777777" w:rsidR="004253E7" w:rsidRDefault="00190148">
          <w:pPr>
            <w:pStyle w:val="TOC1"/>
            <w:tabs>
              <w:tab w:val="right" w:leader="dot" w:pos="9350"/>
            </w:tabs>
            <w:rPr>
              <w:rFonts w:asciiTheme="minorHAnsi" w:hAnsiTheme="minorHAnsi"/>
              <w:noProof/>
              <w:sz w:val="22"/>
              <w:szCs w:val="22"/>
              <w:lang w:eastAsia="en-US"/>
            </w:rPr>
          </w:pPr>
          <w:hyperlink w:anchor="_Toc404069865" w:history="1">
            <w:r w:rsidR="004253E7" w:rsidRPr="00C90D9A">
              <w:rPr>
                <w:rStyle w:val="Hyperlink"/>
                <w:noProof/>
              </w:rPr>
              <w:t>CONCLUSION</w:t>
            </w:r>
            <w:r w:rsidR="004253E7">
              <w:rPr>
                <w:noProof/>
                <w:webHidden/>
              </w:rPr>
              <w:tab/>
            </w:r>
            <w:r w:rsidR="004253E7">
              <w:rPr>
                <w:noProof/>
                <w:webHidden/>
              </w:rPr>
              <w:fldChar w:fldCharType="begin"/>
            </w:r>
            <w:r w:rsidR="004253E7">
              <w:rPr>
                <w:noProof/>
                <w:webHidden/>
              </w:rPr>
              <w:instrText xml:space="preserve"> PAGEREF _Toc404069865 \h </w:instrText>
            </w:r>
            <w:r w:rsidR="004253E7">
              <w:rPr>
                <w:noProof/>
                <w:webHidden/>
              </w:rPr>
            </w:r>
            <w:r w:rsidR="004253E7">
              <w:rPr>
                <w:noProof/>
                <w:webHidden/>
              </w:rPr>
              <w:fldChar w:fldCharType="separate"/>
            </w:r>
            <w:r w:rsidR="00817BBF">
              <w:rPr>
                <w:noProof/>
                <w:webHidden/>
              </w:rPr>
              <w:t>145</w:t>
            </w:r>
            <w:r w:rsidR="004253E7">
              <w:rPr>
                <w:noProof/>
                <w:webHidden/>
              </w:rPr>
              <w:fldChar w:fldCharType="end"/>
            </w:r>
          </w:hyperlink>
        </w:p>
        <w:p w14:paraId="54EA55B9" w14:textId="77777777" w:rsidR="004253E7" w:rsidRDefault="00190148">
          <w:pPr>
            <w:pStyle w:val="TOC3"/>
            <w:tabs>
              <w:tab w:val="right" w:leader="dot" w:pos="9350"/>
            </w:tabs>
            <w:rPr>
              <w:rFonts w:asciiTheme="minorHAnsi" w:hAnsiTheme="minorHAnsi"/>
              <w:noProof/>
              <w:sz w:val="22"/>
              <w:szCs w:val="22"/>
              <w:lang w:eastAsia="en-US"/>
            </w:rPr>
          </w:pPr>
          <w:hyperlink w:anchor="_Toc404069866" w:history="1">
            <w:r w:rsidR="004253E7" w:rsidRPr="00C90D9A">
              <w:rPr>
                <w:rStyle w:val="Hyperlink"/>
                <w:noProof/>
              </w:rPr>
              <w:t>Reduction of Predicted Ethanol Yield from Switchgrass Infected with Puccinia emaculata</w:t>
            </w:r>
            <w:r w:rsidR="004253E7">
              <w:rPr>
                <w:noProof/>
                <w:webHidden/>
              </w:rPr>
              <w:tab/>
            </w:r>
            <w:r w:rsidR="004253E7">
              <w:rPr>
                <w:noProof/>
                <w:webHidden/>
              </w:rPr>
              <w:fldChar w:fldCharType="begin"/>
            </w:r>
            <w:r w:rsidR="004253E7">
              <w:rPr>
                <w:noProof/>
                <w:webHidden/>
              </w:rPr>
              <w:instrText xml:space="preserve"> PAGEREF _Toc404069866 \h </w:instrText>
            </w:r>
            <w:r w:rsidR="004253E7">
              <w:rPr>
                <w:noProof/>
                <w:webHidden/>
              </w:rPr>
            </w:r>
            <w:r w:rsidR="004253E7">
              <w:rPr>
                <w:noProof/>
                <w:webHidden/>
              </w:rPr>
              <w:fldChar w:fldCharType="separate"/>
            </w:r>
            <w:r w:rsidR="00817BBF">
              <w:rPr>
                <w:noProof/>
                <w:webHidden/>
              </w:rPr>
              <w:t>145</w:t>
            </w:r>
            <w:r w:rsidR="004253E7">
              <w:rPr>
                <w:noProof/>
                <w:webHidden/>
              </w:rPr>
              <w:fldChar w:fldCharType="end"/>
            </w:r>
          </w:hyperlink>
        </w:p>
        <w:p w14:paraId="3CE78F3F" w14:textId="77777777" w:rsidR="004253E7" w:rsidRDefault="00190148">
          <w:pPr>
            <w:pStyle w:val="TOC3"/>
            <w:tabs>
              <w:tab w:val="right" w:leader="dot" w:pos="9350"/>
            </w:tabs>
            <w:rPr>
              <w:rFonts w:asciiTheme="minorHAnsi" w:hAnsiTheme="minorHAnsi"/>
              <w:noProof/>
              <w:sz w:val="22"/>
              <w:szCs w:val="22"/>
              <w:lang w:eastAsia="en-US"/>
            </w:rPr>
          </w:pPr>
          <w:hyperlink w:anchor="_Toc404069867" w:history="1">
            <w:r w:rsidR="004253E7" w:rsidRPr="00C90D9A">
              <w:rPr>
                <w:rStyle w:val="Hyperlink"/>
                <w:noProof/>
                <w:shd w:val="clear" w:color="auto" w:fill="FFFFFF"/>
              </w:rPr>
              <w:t>Diallel Analysis to Assess Quantitative Genetics of Biofuel Production Traits in Switchgrass</w:t>
            </w:r>
            <w:r w:rsidR="004253E7">
              <w:rPr>
                <w:noProof/>
                <w:webHidden/>
              </w:rPr>
              <w:tab/>
            </w:r>
            <w:r w:rsidR="004253E7">
              <w:rPr>
                <w:noProof/>
                <w:webHidden/>
              </w:rPr>
              <w:fldChar w:fldCharType="begin"/>
            </w:r>
            <w:r w:rsidR="004253E7">
              <w:rPr>
                <w:noProof/>
                <w:webHidden/>
              </w:rPr>
              <w:instrText xml:space="preserve"> PAGEREF _Toc404069867 \h </w:instrText>
            </w:r>
            <w:r w:rsidR="004253E7">
              <w:rPr>
                <w:noProof/>
                <w:webHidden/>
              </w:rPr>
            </w:r>
            <w:r w:rsidR="004253E7">
              <w:rPr>
                <w:noProof/>
                <w:webHidden/>
              </w:rPr>
              <w:fldChar w:fldCharType="separate"/>
            </w:r>
            <w:r w:rsidR="00817BBF">
              <w:rPr>
                <w:noProof/>
                <w:webHidden/>
              </w:rPr>
              <w:t>146</w:t>
            </w:r>
            <w:r w:rsidR="004253E7">
              <w:rPr>
                <w:noProof/>
                <w:webHidden/>
              </w:rPr>
              <w:fldChar w:fldCharType="end"/>
            </w:r>
          </w:hyperlink>
        </w:p>
        <w:p w14:paraId="1A6F3317" w14:textId="77777777" w:rsidR="004253E7" w:rsidRDefault="00190148">
          <w:pPr>
            <w:pStyle w:val="TOC3"/>
            <w:tabs>
              <w:tab w:val="right" w:leader="dot" w:pos="9350"/>
            </w:tabs>
            <w:rPr>
              <w:rFonts w:asciiTheme="minorHAnsi" w:hAnsiTheme="minorHAnsi"/>
              <w:noProof/>
              <w:sz w:val="22"/>
              <w:szCs w:val="22"/>
              <w:lang w:eastAsia="en-US"/>
            </w:rPr>
          </w:pPr>
          <w:hyperlink w:anchor="_Toc404069868" w:history="1">
            <w:r w:rsidR="004253E7" w:rsidRPr="00C90D9A">
              <w:rPr>
                <w:rStyle w:val="Hyperlink"/>
                <w:noProof/>
              </w:rPr>
              <w:t>Comparison of Space and Sward Planted Switchgrass for Estimates of Genetic Parameters and Ranking of Biomass and Predicted Ethanol Yield</w:t>
            </w:r>
            <w:r w:rsidR="004253E7">
              <w:rPr>
                <w:noProof/>
                <w:webHidden/>
              </w:rPr>
              <w:tab/>
            </w:r>
            <w:r w:rsidR="004253E7">
              <w:rPr>
                <w:noProof/>
                <w:webHidden/>
              </w:rPr>
              <w:fldChar w:fldCharType="begin"/>
            </w:r>
            <w:r w:rsidR="004253E7">
              <w:rPr>
                <w:noProof/>
                <w:webHidden/>
              </w:rPr>
              <w:instrText xml:space="preserve"> PAGEREF _Toc404069868 \h </w:instrText>
            </w:r>
            <w:r w:rsidR="004253E7">
              <w:rPr>
                <w:noProof/>
                <w:webHidden/>
              </w:rPr>
            </w:r>
            <w:r w:rsidR="004253E7">
              <w:rPr>
                <w:noProof/>
                <w:webHidden/>
              </w:rPr>
              <w:fldChar w:fldCharType="separate"/>
            </w:r>
            <w:r w:rsidR="00817BBF">
              <w:rPr>
                <w:noProof/>
                <w:webHidden/>
              </w:rPr>
              <w:t>151</w:t>
            </w:r>
            <w:r w:rsidR="004253E7">
              <w:rPr>
                <w:noProof/>
                <w:webHidden/>
              </w:rPr>
              <w:fldChar w:fldCharType="end"/>
            </w:r>
          </w:hyperlink>
        </w:p>
        <w:p w14:paraId="3707AC9B" w14:textId="77777777" w:rsidR="004253E7" w:rsidRDefault="00190148">
          <w:pPr>
            <w:pStyle w:val="TOC1"/>
            <w:tabs>
              <w:tab w:val="right" w:leader="dot" w:pos="9350"/>
            </w:tabs>
            <w:rPr>
              <w:rFonts w:asciiTheme="minorHAnsi" w:hAnsiTheme="minorHAnsi"/>
              <w:noProof/>
              <w:sz w:val="22"/>
              <w:szCs w:val="22"/>
              <w:lang w:eastAsia="en-US"/>
            </w:rPr>
          </w:pPr>
          <w:hyperlink w:anchor="_Toc404069869" w:history="1">
            <w:r w:rsidR="004253E7" w:rsidRPr="00C90D9A">
              <w:rPr>
                <w:rStyle w:val="Hyperlink"/>
                <w:noProof/>
              </w:rPr>
              <w:t>REFERENCES</w:t>
            </w:r>
            <w:r w:rsidR="004253E7">
              <w:rPr>
                <w:noProof/>
                <w:webHidden/>
              </w:rPr>
              <w:tab/>
            </w:r>
            <w:r w:rsidR="004253E7">
              <w:rPr>
                <w:noProof/>
                <w:webHidden/>
              </w:rPr>
              <w:fldChar w:fldCharType="begin"/>
            </w:r>
            <w:r w:rsidR="004253E7">
              <w:rPr>
                <w:noProof/>
                <w:webHidden/>
              </w:rPr>
              <w:instrText xml:space="preserve"> PAGEREF _Toc404069869 \h </w:instrText>
            </w:r>
            <w:r w:rsidR="004253E7">
              <w:rPr>
                <w:noProof/>
                <w:webHidden/>
              </w:rPr>
            </w:r>
            <w:r w:rsidR="004253E7">
              <w:rPr>
                <w:noProof/>
                <w:webHidden/>
              </w:rPr>
              <w:fldChar w:fldCharType="separate"/>
            </w:r>
            <w:r w:rsidR="00817BBF">
              <w:rPr>
                <w:noProof/>
                <w:webHidden/>
              </w:rPr>
              <w:t>157</w:t>
            </w:r>
            <w:r w:rsidR="004253E7">
              <w:rPr>
                <w:noProof/>
                <w:webHidden/>
              </w:rPr>
              <w:fldChar w:fldCharType="end"/>
            </w:r>
          </w:hyperlink>
        </w:p>
        <w:p w14:paraId="3C759970" w14:textId="77777777" w:rsidR="004253E7" w:rsidRDefault="00190148">
          <w:pPr>
            <w:pStyle w:val="TOC1"/>
            <w:tabs>
              <w:tab w:val="right" w:leader="dot" w:pos="9350"/>
            </w:tabs>
            <w:rPr>
              <w:rFonts w:asciiTheme="minorHAnsi" w:hAnsiTheme="minorHAnsi"/>
              <w:noProof/>
              <w:sz w:val="22"/>
              <w:szCs w:val="22"/>
              <w:lang w:eastAsia="en-US"/>
            </w:rPr>
          </w:pPr>
          <w:hyperlink w:anchor="_Toc404069870" w:history="1">
            <w:r w:rsidR="004253E7" w:rsidRPr="00C90D9A">
              <w:rPr>
                <w:rStyle w:val="Hyperlink"/>
                <w:noProof/>
              </w:rPr>
              <w:t>VITA</w:t>
            </w:r>
            <w:r w:rsidR="004253E7">
              <w:rPr>
                <w:noProof/>
                <w:webHidden/>
              </w:rPr>
              <w:tab/>
            </w:r>
            <w:r w:rsidR="004253E7">
              <w:rPr>
                <w:noProof/>
                <w:webHidden/>
              </w:rPr>
              <w:fldChar w:fldCharType="begin"/>
            </w:r>
            <w:r w:rsidR="004253E7">
              <w:rPr>
                <w:noProof/>
                <w:webHidden/>
              </w:rPr>
              <w:instrText xml:space="preserve"> PAGEREF _Toc404069870 \h </w:instrText>
            </w:r>
            <w:r w:rsidR="004253E7">
              <w:rPr>
                <w:noProof/>
                <w:webHidden/>
              </w:rPr>
            </w:r>
            <w:r w:rsidR="004253E7">
              <w:rPr>
                <w:noProof/>
                <w:webHidden/>
              </w:rPr>
              <w:fldChar w:fldCharType="separate"/>
            </w:r>
            <w:r w:rsidR="00817BBF">
              <w:rPr>
                <w:noProof/>
                <w:webHidden/>
              </w:rPr>
              <w:t>170</w:t>
            </w:r>
            <w:r w:rsidR="004253E7">
              <w:rPr>
                <w:noProof/>
                <w:webHidden/>
              </w:rPr>
              <w:fldChar w:fldCharType="end"/>
            </w:r>
          </w:hyperlink>
        </w:p>
        <w:p w14:paraId="4820FCB2" w14:textId="77777777" w:rsidR="00D77796" w:rsidRDefault="00301182">
          <w:r>
            <w:rPr>
              <w:b/>
              <w:bCs/>
              <w:noProof/>
            </w:rPr>
            <w:fldChar w:fldCharType="end"/>
          </w:r>
        </w:p>
      </w:sdtContent>
    </w:sdt>
    <w:p w14:paraId="348B16A0" w14:textId="77777777" w:rsidR="004C212B" w:rsidRDefault="004C212B">
      <w:pPr>
        <w:spacing w:line="240" w:lineRule="auto"/>
        <w:rPr>
          <w:b/>
          <w:sz w:val="28"/>
          <w:lang w:val="en-CA"/>
        </w:rPr>
      </w:pPr>
      <w:r>
        <w:br w:type="page"/>
      </w:r>
    </w:p>
    <w:p w14:paraId="4C324572" w14:textId="77777777" w:rsidR="00FB5014" w:rsidRDefault="008E7D64" w:rsidP="008E7D64">
      <w:pPr>
        <w:pStyle w:val="Title"/>
        <w:rPr>
          <w:noProof/>
        </w:rPr>
      </w:pPr>
      <w:r w:rsidRPr="008E7D64">
        <w:lastRenderedPageBreak/>
        <w:t>LIST OF TABLES</w:t>
      </w:r>
      <w:r w:rsidR="00301182">
        <w:fldChar w:fldCharType="begin"/>
      </w:r>
      <w:r w:rsidRPr="008E7D64">
        <w:instrText xml:space="preserve"> TOC \h \z \t "Caption" \c </w:instrText>
      </w:r>
      <w:r w:rsidR="00301182">
        <w:fldChar w:fldCharType="separate"/>
      </w:r>
    </w:p>
    <w:p w14:paraId="3F9EF204" w14:textId="77777777" w:rsidR="00FB5014" w:rsidRDefault="00190148">
      <w:pPr>
        <w:pStyle w:val="TableofFigures"/>
        <w:tabs>
          <w:tab w:val="right" w:leader="dot" w:pos="9350"/>
        </w:tabs>
        <w:rPr>
          <w:rFonts w:asciiTheme="minorHAnsi" w:eastAsiaTheme="minorEastAsia" w:hAnsiTheme="minorHAnsi" w:cstheme="minorBidi"/>
          <w:bCs w:val="0"/>
          <w:noProof/>
          <w:sz w:val="22"/>
          <w:szCs w:val="22"/>
        </w:rPr>
      </w:pPr>
      <w:hyperlink w:anchor="_Toc404070373" w:history="1">
        <w:r w:rsidR="00FB5014" w:rsidRPr="00A20F8A">
          <w:rPr>
            <w:rStyle w:val="Hyperlink"/>
            <w:rFonts w:eastAsiaTheme="majorEastAsia"/>
            <w:noProof/>
          </w:rPr>
          <w:t>Table 1-1. Means, R</w:t>
        </w:r>
        <w:r w:rsidR="00FB5014" w:rsidRPr="00A20F8A">
          <w:rPr>
            <w:rStyle w:val="Hyperlink"/>
            <w:rFonts w:eastAsiaTheme="majorEastAsia"/>
            <w:noProof/>
            <w:vertAlign w:val="superscript"/>
          </w:rPr>
          <w:t>2</w:t>
        </w:r>
        <w:r w:rsidR="00FB5014" w:rsidRPr="00A20F8A">
          <w:rPr>
            <w:rStyle w:val="Hyperlink"/>
            <w:rFonts w:eastAsiaTheme="majorEastAsia"/>
            <w:noProof/>
          </w:rPr>
          <w:t>, and p values of compositional elements measured using near-infrared spectroscopy that exhibited significant association with rust severity (P &lt; 0.05). Means are given for categories of low, medium and high rust severity.</w:t>
        </w:r>
        <w:r w:rsidR="00FB5014">
          <w:rPr>
            <w:noProof/>
            <w:webHidden/>
          </w:rPr>
          <w:tab/>
        </w:r>
        <w:r w:rsidR="00FB5014">
          <w:rPr>
            <w:noProof/>
            <w:webHidden/>
          </w:rPr>
          <w:fldChar w:fldCharType="begin"/>
        </w:r>
        <w:r w:rsidR="00FB5014">
          <w:rPr>
            <w:noProof/>
            <w:webHidden/>
          </w:rPr>
          <w:instrText xml:space="preserve"> PAGEREF _Toc404070373 \h </w:instrText>
        </w:r>
        <w:r w:rsidR="00FB5014">
          <w:rPr>
            <w:noProof/>
            <w:webHidden/>
          </w:rPr>
        </w:r>
        <w:r w:rsidR="00FB5014">
          <w:rPr>
            <w:noProof/>
            <w:webHidden/>
          </w:rPr>
          <w:fldChar w:fldCharType="separate"/>
        </w:r>
        <w:r w:rsidR="00817BBF">
          <w:rPr>
            <w:noProof/>
            <w:webHidden/>
          </w:rPr>
          <w:t>33</w:t>
        </w:r>
        <w:r w:rsidR="00FB5014">
          <w:rPr>
            <w:noProof/>
            <w:webHidden/>
          </w:rPr>
          <w:fldChar w:fldCharType="end"/>
        </w:r>
      </w:hyperlink>
    </w:p>
    <w:p w14:paraId="4FB767DB" w14:textId="77777777" w:rsidR="00FB5014" w:rsidRDefault="00190148">
      <w:pPr>
        <w:pStyle w:val="TableofFigures"/>
        <w:tabs>
          <w:tab w:val="right" w:leader="dot" w:pos="9350"/>
        </w:tabs>
        <w:rPr>
          <w:rFonts w:asciiTheme="minorHAnsi" w:eastAsiaTheme="minorEastAsia" w:hAnsiTheme="minorHAnsi" w:cstheme="minorBidi"/>
          <w:bCs w:val="0"/>
          <w:noProof/>
          <w:sz w:val="22"/>
          <w:szCs w:val="22"/>
        </w:rPr>
      </w:pPr>
      <w:hyperlink w:anchor="_Toc404070374" w:history="1">
        <w:r w:rsidR="00FB5014" w:rsidRPr="00A20F8A">
          <w:rPr>
            <w:rStyle w:val="Hyperlink"/>
            <w:noProof/>
          </w:rPr>
          <w:t>Table 2-1: Within year Pearson correlation coefficients between measured phenotypic traits and biomass yield and predicted ethanol yield of F1 populations of lowland switchgrass derived from an eight parent diallel cross. Dark grey shading indicates strong correlations while light grey shading indicates moderate correlations.</w:t>
        </w:r>
        <w:r w:rsidR="00FB5014">
          <w:rPr>
            <w:noProof/>
            <w:webHidden/>
          </w:rPr>
          <w:tab/>
        </w:r>
        <w:r w:rsidR="00FB5014">
          <w:rPr>
            <w:noProof/>
            <w:webHidden/>
          </w:rPr>
          <w:fldChar w:fldCharType="begin"/>
        </w:r>
        <w:r w:rsidR="00FB5014">
          <w:rPr>
            <w:noProof/>
            <w:webHidden/>
          </w:rPr>
          <w:instrText xml:space="preserve"> PAGEREF _Toc404070374 \h </w:instrText>
        </w:r>
        <w:r w:rsidR="00FB5014">
          <w:rPr>
            <w:noProof/>
            <w:webHidden/>
          </w:rPr>
        </w:r>
        <w:r w:rsidR="00FB5014">
          <w:rPr>
            <w:noProof/>
            <w:webHidden/>
          </w:rPr>
          <w:fldChar w:fldCharType="separate"/>
        </w:r>
        <w:r w:rsidR="00817BBF">
          <w:rPr>
            <w:noProof/>
            <w:webHidden/>
          </w:rPr>
          <w:t>78</w:t>
        </w:r>
        <w:r w:rsidR="00FB5014">
          <w:rPr>
            <w:noProof/>
            <w:webHidden/>
          </w:rPr>
          <w:fldChar w:fldCharType="end"/>
        </w:r>
      </w:hyperlink>
    </w:p>
    <w:p w14:paraId="4A1825AF" w14:textId="77777777" w:rsidR="00FB5014" w:rsidRDefault="00190148">
      <w:pPr>
        <w:pStyle w:val="TableofFigures"/>
        <w:tabs>
          <w:tab w:val="right" w:leader="dot" w:pos="9350"/>
        </w:tabs>
        <w:rPr>
          <w:rFonts w:asciiTheme="minorHAnsi" w:eastAsiaTheme="minorEastAsia" w:hAnsiTheme="minorHAnsi" w:cstheme="minorBidi"/>
          <w:bCs w:val="0"/>
          <w:noProof/>
          <w:sz w:val="22"/>
          <w:szCs w:val="22"/>
        </w:rPr>
      </w:pPr>
      <w:hyperlink w:anchor="_Toc404070375" w:history="1">
        <w:r w:rsidR="00FB5014" w:rsidRPr="00A20F8A">
          <w:rPr>
            <w:rStyle w:val="Hyperlink"/>
            <w:noProof/>
          </w:rPr>
          <w:t>Table 2-2: Pearson correlation coefficients between traits measured at the juvenile stage (8 weeks post emergence) and during the fall of the establishment year (2012) with biomass and predicted ethanol yield in the second year (2013). Dark grey shading indicates strong correlations while light grey shading indicates moderate correlations.</w:t>
        </w:r>
        <w:r w:rsidR="00FB5014">
          <w:rPr>
            <w:noProof/>
            <w:webHidden/>
          </w:rPr>
          <w:tab/>
        </w:r>
        <w:r w:rsidR="00FB5014">
          <w:rPr>
            <w:noProof/>
            <w:webHidden/>
          </w:rPr>
          <w:fldChar w:fldCharType="begin"/>
        </w:r>
        <w:r w:rsidR="00FB5014">
          <w:rPr>
            <w:noProof/>
            <w:webHidden/>
          </w:rPr>
          <w:instrText xml:space="preserve"> PAGEREF _Toc404070375 \h </w:instrText>
        </w:r>
        <w:r w:rsidR="00FB5014">
          <w:rPr>
            <w:noProof/>
            <w:webHidden/>
          </w:rPr>
        </w:r>
        <w:r w:rsidR="00FB5014">
          <w:rPr>
            <w:noProof/>
            <w:webHidden/>
          </w:rPr>
          <w:fldChar w:fldCharType="separate"/>
        </w:r>
        <w:r w:rsidR="00817BBF">
          <w:rPr>
            <w:noProof/>
            <w:webHidden/>
          </w:rPr>
          <w:t>79</w:t>
        </w:r>
        <w:r w:rsidR="00FB5014">
          <w:rPr>
            <w:noProof/>
            <w:webHidden/>
          </w:rPr>
          <w:fldChar w:fldCharType="end"/>
        </w:r>
      </w:hyperlink>
    </w:p>
    <w:p w14:paraId="1B6A7E59" w14:textId="77777777" w:rsidR="00FB5014" w:rsidRDefault="00190148">
      <w:pPr>
        <w:pStyle w:val="TableofFigures"/>
        <w:tabs>
          <w:tab w:val="right" w:leader="dot" w:pos="9350"/>
        </w:tabs>
        <w:rPr>
          <w:rFonts w:asciiTheme="minorHAnsi" w:eastAsiaTheme="minorEastAsia" w:hAnsiTheme="minorHAnsi" w:cstheme="minorBidi"/>
          <w:bCs w:val="0"/>
          <w:noProof/>
          <w:sz w:val="22"/>
          <w:szCs w:val="22"/>
        </w:rPr>
      </w:pPr>
      <w:hyperlink w:anchor="_Toc404070376" w:history="1">
        <w:r w:rsidR="00FB5014" w:rsidRPr="00A20F8A">
          <w:rPr>
            <w:rStyle w:val="Hyperlink"/>
            <w:noProof/>
          </w:rPr>
          <w:t>Table 2-3: Variance components of F1 populations derived from a diallel cross of eight parents were calculated using ANOVA for the traits biomass yield and predicted ethanol yield (A), fall height, spring height, and tiller number (B), tiller diameter, leaf width, and canopy density (C), and rust severity (D). Variance estimates from the ANOVA model and the p</w:t>
        </w:r>
        <w:r w:rsidR="00FB5014" w:rsidRPr="00A20F8A">
          <w:rPr>
            <w:rStyle w:val="Hyperlink"/>
            <w:rFonts w:cs="Times New Roman"/>
            <w:noProof/>
          </w:rPr>
          <w:t xml:space="preserve">ercentage that effect contributes to the overall phenotypic variance is listed for each effect in the model. Effects with variance estimates of zero are excluded from the table. </w:t>
        </w:r>
        <w:r w:rsidR="00FB5014" w:rsidRPr="00A20F8A">
          <w:rPr>
            <w:rStyle w:val="Hyperlink"/>
            <w:noProof/>
          </w:rPr>
          <w:t>Asterisks indicate variance that is significantly different from zero based on Wald’s test (</w:t>
        </w:r>
        <w:r w:rsidR="00FB5014" w:rsidRPr="00A20F8A">
          <w:rPr>
            <w:rStyle w:val="Hyperlink"/>
            <w:rFonts w:cs="Times New Roman"/>
            <w:noProof/>
          </w:rPr>
          <w:t>* P &lt; 0.05, **P &lt; 0.01, ***P &lt; 0.001 respectively).</w:t>
        </w:r>
        <w:r w:rsidR="00FB5014">
          <w:rPr>
            <w:noProof/>
            <w:webHidden/>
          </w:rPr>
          <w:tab/>
        </w:r>
        <w:r w:rsidR="00FB5014">
          <w:rPr>
            <w:noProof/>
            <w:webHidden/>
          </w:rPr>
          <w:fldChar w:fldCharType="begin"/>
        </w:r>
        <w:r w:rsidR="00FB5014">
          <w:rPr>
            <w:noProof/>
            <w:webHidden/>
          </w:rPr>
          <w:instrText xml:space="preserve"> PAGEREF _Toc404070376 \h </w:instrText>
        </w:r>
        <w:r w:rsidR="00FB5014">
          <w:rPr>
            <w:noProof/>
            <w:webHidden/>
          </w:rPr>
        </w:r>
        <w:r w:rsidR="00FB5014">
          <w:rPr>
            <w:noProof/>
            <w:webHidden/>
          </w:rPr>
          <w:fldChar w:fldCharType="separate"/>
        </w:r>
        <w:r w:rsidR="00817BBF">
          <w:rPr>
            <w:noProof/>
            <w:webHidden/>
          </w:rPr>
          <w:t>80</w:t>
        </w:r>
        <w:r w:rsidR="00FB5014">
          <w:rPr>
            <w:noProof/>
            <w:webHidden/>
          </w:rPr>
          <w:fldChar w:fldCharType="end"/>
        </w:r>
      </w:hyperlink>
    </w:p>
    <w:p w14:paraId="5F7DD2A7" w14:textId="77777777" w:rsidR="00FB5014" w:rsidRDefault="00190148">
      <w:pPr>
        <w:pStyle w:val="TableofFigures"/>
        <w:tabs>
          <w:tab w:val="right" w:leader="dot" w:pos="9350"/>
        </w:tabs>
        <w:rPr>
          <w:rFonts w:asciiTheme="minorHAnsi" w:eastAsiaTheme="minorEastAsia" w:hAnsiTheme="minorHAnsi" w:cstheme="minorBidi"/>
          <w:bCs w:val="0"/>
          <w:noProof/>
          <w:sz w:val="22"/>
          <w:szCs w:val="22"/>
        </w:rPr>
      </w:pPr>
      <w:hyperlink w:anchor="_Toc404070377" w:history="1">
        <w:r w:rsidR="00FB5014" w:rsidRPr="00A20F8A">
          <w:rPr>
            <w:rStyle w:val="Hyperlink"/>
            <w:noProof/>
          </w:rPr>
          <w:t>Table 2-4: Estimated additive, dominance, and phenotypic variance components and calculated narrow sense heritability (</w:t>
        </w:r>
        <w:r w:rsidR="00FB5014" w:rsidRPr="00A20F8A">
          <w:rPr>
            <w:rStyle w:val="Hyperlink"/>
            <w:rFonts w:cs="Times New Roman"/>
            <w:noProof/>
          </w:rPr>
          <w:t>h</w:t>
        </w:r>
        <w:r w:rsidR="00FB5014" w:rsidRPr="00A20F8A">
          <w:rPr>
            <w:rStyle w:val="Hyperlink"/>
            <w:rFonts w:cs="Times New Roman"/>
            <w:noProof/>
            <w:vertAlign w:val="superscript"/>
          </w:rPr>
          <w:t>2</w:t>
        </w:r>
        <w:r w:rsidR="00FB5014" w:rsidRPr="00A20F8A">
          <w:rPr>
            <w:rStyle w:val="Hyperlink"/>
            <w:rFonts w:cs="Times New Roman"/>
            <w:noProof/>
            <w:vertAlign w:val="subscript"/>
          </w:rPr>
          <w:t>i</w:t>
        </w:r>
        <w:r w:rsidR="00FB5014" w:rsidRPr="00A20F8A">
          <w:rPr>
            <w:rStyle w:val="Hyperlink"/>
            <w:noProof/>
          </w:rPr>
          <w:t>) and broad sense heritability (</w:t>
        </w:r>
        <w:r w:rsidR="00FB5014" w:rsidRPr="00A20F8A">
          <w:rPr>
            <w:rStyle w:val="Hyperlink"/>
            <w:rFonts w:cs="Times New Roman"/>
            <w:noProof/>
          </w:rPr>
          <w:t>H</w:t>
        </w:r>
        <w:r w:rsidR="00FB5014" w:rsidRPr="00A20F8A">
          <w:rPr>
            <w:rStyle w:val="Hyperlink"/>
            <w:rFonts w:cs="Times New Roman"/>
            <w:noProof/>
            <w:vertAlign w:val="superscript"/>
          </w:rPr>
          <w:t>2</w:t>
        </w:r>
        <w:r w:rsidR="00FB5014" w:rsidRPr="00A20F8A">
          <w:rPr>
            <w:rStyle w:val="Hyperlink"/>
            <w:rFonts w:cs="Times New Roman"/>
            <w:noProof/>
            <w:vertAlign w:val="subscript"/>
          </w:rPr>
          <w:t>i</w:t>
        </w:r>
        <w:r w:rsidR="00FB5014" w:rsidRPr="00A20F8A">
          <w:rPr>
            <w:rStyle w:val="Hyperlink"/>
            <w:noProof/>
          </w:rPr>
          <w:t xml:space="preserve">) estimates of the F1 population derived from the diallel cross of eight parents were calculated using ANOVA </w:t>
        </w:r>
        <w:r w:rsidR="00FB5014" w:rsidRPr="00A20F8A">
          <w:rPr>
            <w:rStyle w:val="Hyperlink"/>
            <w:noProof/>
          </w:rPr>
          <w:lastRenderedPageBreak/>
          <w:t>estimates of GCA and SCA for the traits biomass yield, predicted ethanol yield, and fall height in 2012, 2013, and combined over both years and for the traits spring height, tiller number, and tiller diameter (A.) and leaf width, canopy density, and rust severity (B.) in 2013, 2014, and combined over both years.</w:t>
        </w:r>
        <w:r w:rsidR="00FB5014">
          <w:rPr>
            <w:noProof/>
            <w:webHidden/>
          </w:rPr>
          <w:tab/>
        </w:r>
        <w:r w:rsidR="00FB5014">
          <w:rPr>
            <w:noProof/>
            <w:webHidden/>
          </w:rPr>
          <w:fldChar w:fldCharType="begin"/>
        </w:r>
        <w:r w:rsidR="00FB5014">
          <w:rPr>
            <w:noProof/>
            <w:webHidden/>
          </w:rPr>
          <w:instrText xml:space="preserve"> PAGEREF _Toc404070377 \h </w:instrText>
        </w:r>
        <w:r w:rsidR="00FB5014">
          <w:rPr>
            <w:noProof/>
            <w:webHidden/>
          </w:rPr>
        </w:r>
        <w:r w:rsidR="00FB5014">
          <w:rPr>
            <w:noProof/>
            <w:webHidden/>
          </w:rPr>
          <w:fldChar w:fldCharType="separate"/>
        </w:r>
        <w:r w:rsidR="00817BBF">
          <w:rPr>
            <w:noProof/>
            <w:webHidden/>
          </w:rPr>
          <w:t>84</w:t>
        </w:r>
        <w:r w:rsidR="00FB5014">
          <w:rPr>
            <w:noProof/>
            <w:webHidden/>
          </w:rPr>
          <w:fldChar w:fldCharType="end"/>
        </w:r>
      </w:hyperlink>
    </w:p>
    <w:p w14:paraId="790744F4" w14:textId="77777777" w:rsidR="00FB5014" w:rsidRDefault="00190148">
      <w:pPr>
        <w:pStyle w:val="TableofFigures"/>
        <w:tabs>
          <w:tab w:val="right" w:leader="dot" w:pos="9350"/>
        </w:tabs>
        <w:rPr>
          <w:rFonts w:asciiTheme="minorHAnsi" w:eastAsiaTheme="minorEastAsia" w:hAnsiTheme="minorHAnsi" w:cstheme="minorBidi"/>
          <w:bCs w:val="0"/>
          <w:noProof/>
          <w:sz w:val="22"/>
          <w:szCs w:val="22"/>
        </w:rPr>
      </w:pPr>
      <w:hyperlink w:anchor="_Toc404070378" w:history="1">
        <w:r w:rsidR="00FB5014" w:rsidRPr="00A20F8A">
          <w:rPr>
            <w:rStyle w:val="Hyperlink"/>
            <w:noProof/>
          </w:rPr>
          <w:t>Table 3-1. Pearson correlation coefficients between space planted and sward planted nurseries for traits evaluated in 2012 and 2013 in F1 populations of lowland switchgrass derived from an eight parent diallel cross. Dark grey shading indicates strong correlations while light grey shading indicates moderate correlations.</w:t>
        </w:r>
        <w:r w:rsidR="00FB5014">
          <w:rPr>
            <w:noProof/>
            <w:webHidden/>
          </w:rPr>
          <w:tab/>
        </w:r>
        <w:r w:rsidR="00FB5014">
          <w:rPr>
            <w:noProof/>
            <w:webHidden/>
          </w:rPr>
          <w:fldChar w:fldCharType="begin"/>
        </w:r>
        <w:r w:rsidR="00FB5014">
          <w:rPr>
            <w:noProof/>
            <w:webHidden/>
          </w:rPr>
          <w:instrText xml:space="preserve"> PAGEREF _Toc404070378 \h </w:instrText>
        </w:r>
        <w:r w:rsidR="00FB5014">
          <w:rPr>
            <w:noProof/>
            <w:webHidden/>
          </w:rPr>
        </w:r>
        <w:r w:rsidR="00FB5014">
          <w:rPr>
            <w:noProof/>
            <w:webHidden/>
          </w:rPr>
          <w:fldChar w:fldCharType="separate"/>
        </w:r>
        <w:r w:rsidR="00817BBF">
          <w:rPr>
            <w:noProof/>
            <w:webHidden/>
          </w:rPr>
          <w:t>131</w:t>
        </w:r>
        <w:r w:rsidR="00FB5014">
          <w:rPr>
            <w:noProof/>
            <w:webHidden/>
          </w:rPr>
          <w:fldChar w:fldCharType="end"/>
        </w:r>
      </w:hyperlink>
    </w:p>
    <w:p w14:paraId="26ED4140" w14:textId="77777777" w:rsidR="00FB5014" w:rsidRDefault="00190148">
      <w:pPr>
        <w:pStyle w:val="TableofFigures"/>
        <w:tabs>
          <w:tab w:val="right" w:leader="dot" w:pos="9350"/>
        </w:tabs>
        <w:rPr>
          <w:rFonts w:asciiTheme="minorHAnsi" w:eastAsiaTheme="minorEastAsia" w:hAnsiTheme="minorHAnsi" w:cstheme="minorBidi"/>
          <w:bCs w:val="0"/>
          <w:noProof/>
          <w:sz w:val="22"/>
          <w:szCs w:val="22"/>
        </w:rPr>
      </w:pPr>
      <w:hyperlink w:anchor="_Toc404070379" w:history="1">
        <w:r w:rsidR="00FB5014" w:rsidRPr="00A20F8A">
          <w:rPr>
            <w:rStyle w:val="Hyperlink"/>
            <w:noProof/>
          </w:rPr>
          <w:t>Table 3-2. Pearson correlation coefficients of biomass yield and predicted ethanol yield with all measured traits within space planted and sward planted nurseries of F1 populations of lowland switchgrass derived from an eight parent diallel cross for traits evaluated in 2012 and 2013.</w:t>
        </w:r>
        <w:r w:rsidR="00FB5014">
          <w:rPr>
            <w:noProof/>
            <w:webHidden/>
          </w:rPr>
          <w:tab/>
        </w:r>
        <w:r w:rsidR="00FB5014">
          <w:rPr>
            <w:noProof/>
            <w:webHidden/>
          </w:rPr>
          <w:fldChar w:fldCharType="begin"/>
        </w:r>
        <w:r w:rsidR="00FB5014">
          <w:rPr>
            <w:noProof/>
            <w:webHidden/>
          </w:rPr>
          <w:instrText xml:space="preserve"> PAGEREF _Toc404070379 \h </w:instrText>
        </w:r>
        <w:r w:rsidR="00FB5014">
          <w:rPr>
            <w:noProof/>
            <w:webHidden/>
          </w:rPr>
        </w:r>
        <w:r w:rsidR="00FB5014">
          <w:rPr>
            <w:noProof/>
            <w:webHidden/>
          </w:rPr>
          <w:fldChar w:fldCharType="separate"/>
        </w:r>
        <w:r w:rsidR="00817BBF">
          <w:rPr>
            <w:noProof/>
            <w:webHidden/>
          </w:rPr>
          <w:t>132</w:t>
        </w:r>
        <w:r w:rsidR="00FB5014">
          <w:rPr>
            <w:noProof/>
            <w:webHidden/>
          </w:rPr>
          <w:fldChar w:fldCharType="end"/>
        </w:r>
      </w:hyperlink>
    </w:p>
    <w:p w14:paraId="76ECEA6C" w14:textId="77777777" w:rsidR="00FB5014" w:rsidRDefault="00190148">
      <w:pPr>
        <w:pStyle w:val="TableofFigures"/>
        <w:tabs>
          <w:tab w:val="right" w:leader="dot" w:pos="9350"/>
        </w:tabs>
        <w:rPr>
          <w:rFonts w:asciiTheme="minorHAnsi" w:eastAsiaTheme="minorEastAsia" w:hAnsiTheme="minorHAnsi" w:cstheme="minorBidi"/>
          <w:bCs w:val="0"/>
          <w:noProof/>
          <w:sz w:val="22"/>
          <w:szCs w:val="22"/>
        </w:rPr>
      </w:pPr>
      <w:hyperlink w:anchor="_Toc404070380" w:history="1">
        <w:r w:rsidR="00FB5014" w:rsidRPr="00A20F8A">
          <w:rPr>
            <w:rStyle w:val="Hyperlink"/>
            <w:noProof/>
          </w:rPr>
          <w:t>Table 3-3: Variance components of the F1 population derived from the diallel cross of eight parents calculated using ANOVA for biomass yield and predicted ethanol yield in space planted (HSP) and sward planted (HSW) nurseries. Variance estimates and the percentage each term contributes to the phenotypic variance are listed. Calculated values for additive, dominance, and phenotypic variance and narrow sense heritability (</w:t>
        </w:r>
        <w:r w:rsidR="00FB5014" w:rsidRPr="00A20F8A">
          <w:rPr>
            <w:rStyle w:val="Hyperlink"/>
            <w:rFonts w:cs="Times New Roman"/>
            <w:noProof/>
          </w:rPr>
          <w:t>h</w:t>
        </w:r>
        <w:r w:rsidR="00FB5014" w:rsidRPr="00A20F8A">
          <w:rPr>
            <w:rStyle w:val="Hyperlink"/>
            <w:rFonts w:cs="Times New Roman"/>
            <w:noProof/>
            <w:vertAlign w:val="superscript"/>
          </w:rPr>
          <w:t>2</w:t>
        </w:r>
        <w:r w:rsidR="00FB5014" w:rsidRPr="00A20F8A">
          <w:rPr>
            <w:rStyle w:val="Hyperlink"/>
            <w:rFonts w:cs="Times New Roman"/>
            <w:noProof/>
            <w:vertAlign w:val="subscript"/>
          </w:rPr>
          <w:t>i</w:t>
        </w:r>
        <w:r w:rsidR="00FB5014" w:rsidRPr="00A20F8A">
          <w:rPr>
            <w:rStyle w:val="Hyperlink"/>
            <w:noProof/>
          </w:rPr>
          <w:t>) and broad sense heritability (</w:t>
        </w:r>
        <w:r w:rsidR="00FB5014" w:rsidRPr="00A20F8A">
          <w:rPr>
            <w:rStyle w:val="Hyperlink"/>
            <w:rFonts w:cs="Times New Roman"/>
            <w:noProof/>
          </w:rPr>
          <w:t>H</w:t>
        </w:r>
        <w:r w:rsidR="00FB5014" w:rsidRPr="00A20F8A">
          <w:rPr>
            <w:rStyle w:val="Hyperlink"/>
            <w:rFonts w:cs="Times New Roman"/>
            <w:noProof/>
            <w:vertAlign w:val="superscript"/>
          </w:rPr>
          <w:t>2</w:t>
        </w:r>
        <w:r w:rsidR="00FB5014" w:rsidRPr="00A20F8A">
          <w:rPr>
            <w:rStyle w:val="Hyperlink"/>
            <w:rFonts w:cs="Times New Roman"/>
            <w:noProof/>
            <w:vertAlign w:val="subscript"/>
          </w:rPr>
          <w:t>i</w:t>
        </w:r>
        <w:r w:rsidR="00FB5014" w:rsidRPr="00A20F8A">
          <w:rPr>
            <w:rStyle w:val="Hyperlink"/>
            <w:noProof/>
          </w:rPr>
          <w:t>) are also listed. Asterisks indicate variance that is significantly different from zero based on Wald’s test (</w:t>
        </w:r>
        <w:r w:rsidR="00FB5014" w:rsidRPr="00A20F8A">
          <w:rPr>
            <w:rStyle w:val="Hyperlink"/>
            <w:rFonts w:cs="Times New Roman"/>
            <w:noProof/>
          </w:rPr>
          <w:t>* P &lt; 0.05, **P &lt; 0.01, ***P &lt; 0.001 respectively).</w:t>
        </w:r>
        <w:r w:rsidR="00FB5014">
          <w:rPr>
            <w:noProof/>
            <w:webHidden/>
          </w:rPr>
          <w:tab/>
        </w:r>
        <w:r w:rsidR="00FB5014">
          <w:rPr>
            <w:noProof/>
            <w:webHidden/>
          </w:rPr>
          <w:fldChar w:fldCharType="begin"/>
        </w:r>
        <w:r w:rsidR="00FB5014">
          <w:rPr>
            <w:noProof/>
            <w:webHidden/>
          </w:rPr>
          <w:instrText xml:space="preserve"> PAGEREF _Toc404070380 \h </w:instrText>
        </w:r>
        <w:r w:rsidR="00FB5014">
          <w:rPr>
            <w:noProof/>
            <w:webHidden/>
          </w:rPr>
        </w:r>
        <w:r w:rsidR="00FB5014">
          <w:rPr>
            <w:noProof/>
            <w:webHidden/>
          </w:rPr>
          <w:fldChar w:fldCharType="separate"/>
        </w:r>
        <w:r w:rsidR="00817BBF">
          <w:rPr>
            <w:noProof/>
            <w:webHidden/>
          </w:rPr>
          <w:t>133</w:t>
        </w:r>
        <w:r w:rsidR="00FB5014">
          <w:rPr>
            <w:noProof/>
            <w:webHidden/>
          </w:rPr>
          <w:fldChar w:fldCharType="end"/>
        </w:r>
      </w:hyperlink>
    </w:p>
    <w:p w14:paraId="79EA1795" w14:textId="77777777" w:rsidR="00FB5014" w:rsidRDefault="00190148">
      <w:pPr>
        <w:pStyle w:val="TableofFigures"/>
        <w:tabs>
          <w:tab w:val="right" w:leader="dot" w:pos="9350"/>
        </w:tabs>
        <w:rPr>
          <w:rFonts w:asciiTheme="minorHAnsi" w:eastAsiaTheme="minorEastAsia" w:hAnsiTheme="minorHAnsi" w:cstheme="minorBidi"/>
          <w:bCs w:val="0"/>
          <w:noProof/>
          <w:sz w:val="22"/>
          <w:szCs w:val="22"/>
        </w:rPr>
      </w:pPr>
      <w:hyperlink w:anchor="_Toc404070381" w:history="1">
        <w:r w:rsidR="00FB5014" w:rsidRPr="00A20F8A">
          <w:rPr>
            <w:rStyle w:val="Hyperlink"/>
            <w:noProof/>
          </w:rPr>
          <w:t>Table 3-4. Estimates of general combining ability (GCA) of eight lowland switchgrass parents based on evaluation of F1 populations derived from a full diallel cross evaluated across two years in both space planted (HSP) and sward planted (HSW) nurseries. Traits evaluated include biomass yield and predicted ethanol yield.</w:t>
        </w:r>
        <w:r w:rsidR="00FB5014">
          <w:rPr>
            <w:noProof/>
            <w:webHidden/>
          </w:rPr>
          <w:tab/>
        </w:r>
        <w:r w:rsidR="00FB5014">
          <w:rPr>
            <w:noProof/>
            <w:webHidden/>
          </w:rPr>
          <w:fldChar w:fldCharType="begin"/>
        </w:r>
        <w:r w:rsidR="00FB5014">
          <w:rPr>
            <w:noProof/>
            <w:webHidden/>
          </w:rPr>
          <w:instrText xml:space="preserve"> PAGEREF _Toc404070381 \h </w:instrText>
        </w:r>
        <w:r w:rsidR="00FB5014">
          <w:rPr>
            <w:noProof/>
            <w:webHidden/>
          </w:rPr>
        </w:r>
        <w:r w:rsidR="00FB5014">
          <w:rPr>
            <w:noProof/>
            <w:webHidden/>
          </w:rPr>
          <w:fldChar w:fldCharType="separate"/>
        </w:r>
        <w:r w:rsidR="00817BBF">
          <w:rPr>
            <w:noProof/>
            <w:webHidden/>
          </w:rPr>
          <w:t>134</w:t>
        </w:r>
        <w:r w:rsidR="00FB5014">
          <w:rPr>
            <w:noProof/>
            <w:webHidden/>
          </w:rPr>
          <w:fldChar w:fldCharType="end"/>
        </w:r>
      </w:hyperlink>
    </w:p>
    <w:p w14:paraId="77654805" w14:textId="23FFE8FB" w:rsidR="00C30304" w:rsidRPr="0071789A" w:rsidRDefault="00301182" w:rsidP="0071789A">
      <w:pPr>
        <w:pStyle w:val="Title"/>
      </w:pPr>
      <w:r>
        <w:lastRenderedPageBreak/>
        <w:fldChar w:fldCharType="end"/>
      </w:r>
      <w:r w:rsidR="00C30304">
        <w:t>LIST OF FIGURES</w:t>
      </w:r>
    </w:p>
    <w:p w14:paraId="74287566" w14:textId="77777777" w:rsidR="00FB5014" w:rsidRDefault="00301182">
      <w:pPr>
        <w:pStyle w:val="TableofFigures"/>
        <w:tabs>
          <w:tab w:val="right" w:leader="dot" w:pos="9350"/>
        </w:tabs>
        <w:rPr>
          <w:rFonts w:asciiTheme="minorHAnsi" w:eastAsiaTheme="minorEastAsia" w:hAnsiTheme="minorHAnsi" w:cstheme="minorBidi"/>
          <w:bCs w:val="0"/>
          <w:noProof/>
          <w:sz w:val="22"/>
          <w:szCs w:val="22"/>
        </w:rPr>
      </w:pPr>
      <w:r>
        <w:rPr>
          <w:b/>
          <w:bCs w:val="0"/>
          <w:sz w:val="32"/>
          <w:szCs w:val="32"/>
        </w:rPr>
        <w:fldChar w:fldCharType="begin"/>
      </w:r>
      <w:r w:rsidR="00C731BB">
        <w:rPr>
          <w:b/>
          <w:bCs w:val="0"/>
          <w:sz w:val="32"/>
          <w:szCs w:val="32"/>
        </w:rPr>
        <w:instrText xml:space="preserve"> TOC \h \z \t "Heading 4,Figure" \c </w:instrText>
      </w:r>
      <w:r>
        <w:rPr>
          <w:b/>
          <w:bCs w:val="0"/>
          <w:sz w:val="32"/>
          <w:szCs w:val="32"/>
        </w:rPr>
        <w:fldChar w:fldCharType="separate"/>
      </w:r>
      <w:hyperlink w:anchor="_Toc404070382" w:history="1">
        <w:r w:rsidR="00FB5014" w:rsidRPr="00674E86">
          <w:rPr>
            <w:rStyle w:val="Hyperlink"/>
            <w:noProof/>
          </w:rPr>
          <w:t>Figure 1-1. Switchgrass leaves, viewed under two light conditions, expressing low disease symptoms - no sporulation and little to no chlorosis or necrosis (A, B), medium disease symptoms - light to medium sporulation, medium chlorosis and necrosis, minor tip dieback on some leaves (C, D), and high disease symptoms - heavy sporulation, chlorosis, and necrosis, tip dieback present but not exceeding 25% of the leaf area (E, F).</w:t>
        </w:r>
        <w:r w:rsidR="00FB5014">
          <w:rPr>
            <w:noProof/>
            <w:webHidden/>
          </w:rPr>
          <w:tab/>
        </w:r>
        <w:r w:rsidR="00FB5014">
          <w:rPr>
            <w:noProof/>
            <w:webHidden/>
          </w:rPr>
          <w:fldChar w:fldCharType="begin"/>
        </w:r>
        <w:r w:rsidR="00FB5014">
          <w:rPr>
            <w:noProof/>
            <w:webHidden/>
          </w:rPr>
          <w:instrText xml:space="preserve"> PAGEREF _Toc404070382 \h </w:instrText>
        </w:r>
        <w:r w:rsidR="00FB5014">
          <w:rPr>
            <w:noProof/>
            <w:webHidden/>
          </w:rPr>
        </w:r>
        <w:r w:rsidR="00FB5014">
          <w:rPr>
            <w:noProof/>
            <w:webHidden/>
          </w:rPr>
          <w:fldChar w:fldCharType="separate"/>
        </w:r>
        <w:r w:rsidR="00817BBF">
          <w:rPr>
            <w:noProof/>
            <w:webHidden/>
          </w:rPr>
          <w:t>29</w:t>
        </w:r>
        <w:r w:rsidR="00FB5014">
          <w:rPr>
            <w:noProof/>
            <w:webHidden/>
          </w:rPr>
          <w:fldChar w:fldCharType="end"/>
        </w:r>
      </w:hyperlink>
    </w:p>
    <w:p w14:paraId="4F2CB713" w14:textId="77777777" w:rsidR="00FB5014" w:rsidRDefault="00190148">
      <w:pPr>
        <w:pStyle w:val="TableofFigures"/>
        <w:tabs>
          <w:tab w:val="right" w:leader="dot" w:pos="9350"/>
        </w:tabs>
        <w:rPr>
          <w:rFonts w:asciiTheme="minorHAnsi" w:eastAsiaTheme="minorEastAsia" w:hAnsiTheme="minorHAnsi" w:cstheme="minorBidi"/>
          <w:bCs w:val="0"/>
          <w:noProof/>
          <w:sz w:val="22"/>
          <w:szCs w:val="22"/>
        </w:rPr>
      </w:pPr>
      <w:hyperlink w:anchor="_Toc404070383" w:history="1">
        <w:r w:rsidR="00FB5014" w:rsidRPr="00674E86">
          <w:rPr>
            <w:rStyle w:val="Hyperlink"/>
            <w:noProof/>
          </w:rPr>
          <w:t xml:space="preserve">Figure 1-2. Magnification (4.5x) of pustules erupting through switchgrass cell membrane (A) and magnification (20x) of urediniospores (B) and teliospores (C) from cultures isolated from field grown switchgrass naturally infected with </w:t>
        </w:r>
        <w:r w:rsidR="00FB5014" w:rsidRPr="00674E86">
          <w:rPr>
            <w:rStyle w:val="Hyperlink"/>
            <w:i/>
            <w:noProof/>
          </w:rPr>
          <w:t>Puccinia emaculata</w:t>
        </w:r>
        <w:r w:rsidR="00FB5014" w:rsidRPr="00674E86">
          <w:rPr>
            <w:rStyle w:val="Hyperlink"/>
            <w:noProof/>
          </w:rPr>
          <w:t>.</w:t>
        </w:r>
        <w:r w:rsidR="00FB5014">
          <w:rPr>
            <w:noProof/>
            <w:webHidden/>
          </w:rPr>
          <w:tab/>
        </w:r>
        <w:r w:rsidR="00FB5014">
          <w:rPr>
            <w:noProof/>
            <w:webHidden/>
          </w:rPr>
          <w:fldChar w:fldCharType="begin"/>
        </w:r>
        <w:r w:rsidR="00FB5014">
          <w:rPr>
            <w:noProof/>
            <w:webHidden/>
          </w:rPr>
          <w:instrText xml:space="preserve"> PAGEREF _Toc404070383 \h </w:instrText>
        </w:r>
        <w:r w:rsidR="00FB5014">
          <w:rPr>
            <w:noProof/>
            <w:webHidden/>
          </w:rPr>
        </w:r>
        <w:r w:rsidR="00FB5014">
          <w:rPr>
            <w:noProof/>
            <w:webHidden/>
          </w:rPr>
          <w:fldChar w:fldCharType="separate"/>
        </w:r>
        <w:r w:rsidR="00817BBF">
          <w:rPr>
            <w:noProof/>
            <w:webHidden/>
          </w:rPr>
          <w:t>30</w:t>
        </w:r>
        <w:r w:rsidR="00FB5014">
          <w:rPr>
            <w:noProof/>
            <w:webHidden/>
          </w:rPr>
          <w:fldChar w:fldCharType="end"/>
        </w:r>
      </w:hyperlink>
    </w:p>
    <w:p w14:paraId="017838D6" w14:textId="77777777" w:rsidR="00FB5014" w:rsidRDefault="00190148">
      <w:pPr>
        <w:pStyle w:val="TableofFigures"/>
        <w:tabs>
          <w:tab w:val="right" w:leader="dot" w:pos="9350"/>
        </w:tabs>
        <w:rPr>
          <w:rFonts w:asciiTheme="minorHAnsi" w:eastAsiaTheme="minorEastAsia" w:hAnsiTheme="minorHAnsi" w:cstheme="minorBidi"/>
          <w:bCs w:val="0"/>
          <w:noProof/>
          <w:sz w:val="22"/>
          <w:szCs w:val="22"/>
        </w:rPr>
      </w:pPr>
      <w:hyperlink w:anchor="_Toc404070384" w:history="1">
        <w:r w:rsidR="00FB5014" w:rsidRPr="00674E86">
          <w:rPr>
            <w:rStyle w:val="Hyperlink"/>
            <w:noProof/>
          </w:rPr>
          <w:t>Figure 1-3. Ethanol yield (mg g</w:t>
        </w:r>
        <w:r w:rsidR="00FB5014" w:rsidRPr="00674E86">
          <w:rPr>
            <w:rStyle w:val="Hyperlink"/>
            <w:noProof/>
            <w:vertAlign w:val="superscript"/>
          </w:rPr>
          <w:t>-1</w:t>
        </w:r>
        <w:r w:rsidR="00FB5014" w:rsidRPr="00674E86">
          <w:rPr>
            <w:rStyle w:val="Hyperlink"/>
            <w:noProof/>
          </w:rPr>
          <w:t>) by disease level (low, medium, and high) for switchgrass leaves collected from Knoxville, TN in 2010 and subjected to simultaneous saccharification and fermentation (SSF). Ethanol yields were averaged across cultivar since cultivar and cultivar by disease interaction were not significant. Means followed the same letter do not differ significantly at α = 0.05.</w:t>
        </w:r>
        <w:r w:rsidR="00FB5014">
          <w:rPr>
            <w:noProof/>
            <w:webHidden/>
          </w:rPr>
          <w:tab/>
        </w:r>
        <w:r w:rsidR="00FB5014">
          <w:rPr>
            <w:noProof/>
            <w:webHidden/>
          </w:rPr>
          <w:fldChar w:fldCharType="begin"/>
        </w:r>
        <w:r w:rsidR="00FB5014">
          <w:rPr>
            <w:noProof/>
            <w:webHidden/>
          </w:rPr>
          <w:instrText xml:space="preserve"> PAGEREF _Toc404070384 \h </w:instrText>
        </w:r>
        <w:r w:rsidR="00FB5014">
          <w:rPr>
            <w:noProof/>
            <w:webHidden/>
          </w:rPr>
        </w:r>
        <w:r w:rsidR="00FB5014">
          <w:rPr>
            <w:noProof/>
            <w:webHidden/>
          </w:rPr>
          <w:fldChar w:fldCharType="separate"/>
        </w:r>
        <w:r w:rsidR="00817BBF">
          <w:rPr>
            <w:noProof/>
            <w:webHidden/>
          </w:rPr>
          <w:t>31</w:t>
        </w:r>
        <w:r w:rsidR="00FB5014">
          <w:rPr>
            <w:noProof/>
            <w:webHidden/>
          </w:rPr>
          <w:fldChar w:fldCharType="end"/>
        </w:r>
      </w:hyperlink>
    </w:p>
    <w:p w14:paraId="7C29108D" w14:textId="77777777" w:rsidR="00FB5014" w:rsidRDefault="00190148">
      <w:pPr>
        <w:pStyle w:val="TableofFigures"/>
        <w:tabs>
          <w:tab w:val="right" w:leader="dot" w:pos="9350"/>
        </w:tabs>
        <w:rPr>
          <w:rFonts w:asciiTheme="minorHAnsi" w:eastAsiaTheme="minorEastAsia" w:hAnsiTheme="minorHAnsi" w:cstheme="minorBidi"/>
          <w:bCs w:val="0"/>
          <w:noProof/>
          <w:sz w:val="22"/>
          <w:szCs w:val="22"/>
        </w:rPr>
      </w:pPr>
      <w:hyperlink w:anchor="_Toc404070385" w:history="1">
        <w:r w:rsidR="00FB5014" w:rsidRPr="00674E86">
          <w:rPr>
            <w:rStyle w:val="Hyperlink"/>
            <w:noProof/>
          </w:rPr>
          <w:t>Figure 1-4. Predicted ethanol yield (mg g</w:t>
        </w:r>
        <w:r w:rsidR="00FB5014" w:rsidRPr="00674E86">
          <w:rPr>
            <w:rStyle w:val="Hyperlink"/>
            <w:noProof/>
            <w:vertAlign w:val="superscript"/>
          </w:rPr>
          <w:t>-1</w:t>
        </w:r>
        <w:r w:rsidR="00FB5014" w:rsidRPr="00674E86">
          <w:rPr>
            <w:rStyle w:val="Hyperlink"/>
            <w:noProof/>
          </w:rPr>
          <w:t>) by disease level (low, medium, and high) for switchgrass leaves collected from Knoxville, TN and Crossville, TN in 2012 and analyzed using near-infrared spectroscopy (NIRS). Predicted ethanol yields were averaged across cultivar since cultivar and cultivar by disease interaction were not significant. Means followed the same letter do not differ significantly at α = 0.05.</w:t>
        </w:r>
        <w:r w:rsidR="00FB5014">
          <w:rPr>
            <w:noProof/>
            <w:webHidden/>
          </w:rPr>
          <w:tab/>
        </w:r>
        <w:r w:rsidR="00FB5014">
          <w:rPr>
            <w:noProof/>
            <w:webHidden/>
          </w:rPr>
          <w:fldChar w:fldCharType="begin"/>
        </w:r>
        <w:r w:rsidR="00FB5014">
          <w:rPr>
            <w:noProof/>
            <w:webHidden/>
          </w:rPr>
          <w:instrText xml:space="preserve"> PAGEREF _Toc404070385 \h </w:instrText>
        </w:r>
        <w:r w:rsidR="00FB5014">
          <w:rPr>
            <w:noProof/>
            <w:webHidden/>
          </w:rPr>
        </w:r>
        <w:r w:rsidR="00FB5014">
          <w:rPr>
            <w:noProof/>
            <w:webHidden/>
          </w:rPr>
          <w:fldChar w:fldCharType="separate"/>
        </w:r>
        <w:r w:rsidR="00817BBF">
          <w:rPr>
            <w:noProof/>
            <w:webHidden/>
          </w:rPr>
          <w:t>32</w:t>
        </w:r>
        <w:r w:rsidR="00FB5014">
          <w:rPr>
            <w:noProof/>
            <w:webHidden/>
          </w:rPr>
          <w:fldChar w:fldCharType="end"/>
        </w:r>
      </w:hyperlink>
    </w:p>
    <w:p w14:paraId="4E6CF4DF" w14:textId="77777777" w:rsidR="00FB5014" w:rsidRDefault="00190148">
      <w:pPr>
        <w:pStyle w:val="TableofFigures"/>
        <w:tabs>
          <w:tab w:val="right" w:leader="dot" w:pos="9350"/>
        </w:tabs>
        <w:rPr>
          <w:rFonts w:asciiTheme="minorHAnsi" w:eastAsiaTheme="minorEastAsia" w:hAnsiTheme="minorHAnsi" w:cstheme="minorBidi"/>
          <w:bCs w:val="0"/>
          <w:noProof/>
          <w:sz w:val="22"/>
          <w:szCs w:val="22"/>
        </w:rPr>
      </w:pPr>
      <w:hyperlink w:anchor="_Toc404070386" w:history="1">
        <w:r w:rsidR="00FB5014" w:rsidRPr="00674E86">
          <w:rPr>
            <w:rStyle w:val="Hyperlink"/>
            <w:noProof/>
          </w:rPr>
          <w:t xml:space="preserve">Figure 2-1: Means by location and year of F1 populations of lowland switchgrass derived from an eight parent diallel cross evaluated at two locations, the Holston unit of the East TN Research and Education Center in Knoxville, TN (HSP) and the Plateau Research and Education Center in Crossville, TN (CSP). Traits evaluated include biomass yield (A), </w:t>
        </w:r>
        <w:r w:rsidR="00FB5014" w:rsidRPr="00674E86">
          <w:rPr>
            <w:rStyle w:val="Hyperlink"/>
            <w:noProof/>
          </w:rPr>
          <w:lastRenderedPageBreak/>
          <w:t>predicted ethanol yield (B), and fall height (C) in 2012 and 2013 and spring height (D), tiller number (E), tiller diameter (F), leaf width (G), canopy density (H), plant color (I), and leaf angle (J) in 2013 and 2014. Rust severity was evaluated in Oct. 2012 (K) and Aug. 2013 (L). Means were separated using Tukey’s HSD. Means followed by the same letter do not differ significantly (</w:t>
        </w:r>
        <w:r w:rsidR="00FB5014" w:rsidRPr="00674E86">
          <w:rPr>
            <w:rStyle w:val="Hyperlink"/>
            <w:rFonts w:cs="Times New Roman"/>
            <w:noProof/>
          </w:rPr>
          <w:t>α</w:t>
        </w:r>
        <w:r w:rsidR="00FB5014" w:rsidRPr="00674E86">
          <w:rPr>
            <w:rStyle w:val="Hyperlink"/>
            <w:noProof/>
          </w:rPr>
          <w:t xml:space="preserve"> = 0.05).</w:t>
        </w:r>
        <w:r w:rsidR="00FB5014">
          <w:rPr>
            <w:noProof/>
            <w:webHidden/>
          </w:rPr>
          <w:tab/>
        </w:r>
        <w:r w:rsidR="00FB5014">
          <w:rPr>
            <w:noProof/>
            <w:webHidden/>
          </w:rPr>
          <w:fldChar w:fldCharType="begin"/>
        </w:r>
        <w:r w:rsidR="00FB5014">
          <w:rPr>
            <w:noProof/>
            <w:webHidden/>
          </w:rPr>
          <w:instrText xml:space="preserve"> PAGEREF _Toc404070386 \h </w:instrText>
        </w:r>
        <w:r w:rsidR="00FB5014">
          <w:rPr>
            <w:noProof/>
            <w:webHidden/>
          </w:rPr>
        </w:r>
        <w:r w:rsidR="00FB5014">
          <w:rPr>
            <w:noProof/>
            <w:webHidden/>
          </w:rPr>
          <w:fldChar w:fldCharType="separate"/>
        </w:r>
        <w:r w:rsidR="00817BBF">
          <w:rPr>
            <w:noProof/>
            <w:webHidden/>
          </w:rPr>
          <w:t>75</w:t>
        </w:r>
        <w:r w:rsidR="00FB5014">
          <w:rPr>
            <w:noProof/>
            <w:webHidden/>
          </w:rPr>
          <w:fldChar w:fldCharType="end"/>
        </w:r>
      </w:hyperlink>
    </w:p>
    <w:p w14:paraId="44FAF9EF" w14:textId="77777777" w:rsidR="00FB5014" w:rsidRDefault="00190148">
      <w:pPr>
        <w:pStyle w:val="TableofFigures"/>
        <w:tabs>
          <w:tab w:val="right" w:leader="dot" w:pos="9350"/>
        </w:tabs>
        <w:rPr>
          <w:rFonts w:asciiTheme="minorHAnsi" w:eastAsiaTheme="minorEastAsia" w:hAnsiTheme="minorHAnsi" w:cstheme="minorBidi"/>
          <w:bCs w:val="0"/>
          <w:noProof/>
          <w:sz w:val="22"/>
          <w:szCs w:val="22"/>
        </w:rPr>
      </w:pPr>
      <w:hyperlink w:anchor="_Toc404070387" w:history="1">
        <w:r w:rsidR="00FB5014" w:rsidRPr="00674E86">
          <w:rPr>
            <w:rStyle w:val="Hyperlink"/>
            <w:noProof/>
          </w:rPr>
          <w:t>Figure 2-2. Estimates of general combining ability (GCA) of eight lowland switchgrass parents based on evaluation of F1 populations derived from a full diallel cross. Traits evaluated include biomass yield (A), predicted ethanol yield (B), fall height (C), spring height (D), tiller number (E), tiller diameter (F), leaf width (G), canopy density (H), and rust severity in Oct. 2012 (I) and Aug. 2013 (J). Rust severity GCA values are shown for each year due to differences in seasonal timing of ratings. For all other traits, GCA values are given for the population mean combined across year and location. The population mean for each trait is indicated in the title for the y-axis. GCA values on the y-axis indicate deviation from that mean. Asterisks indicate GCA values that differ significantly from zero (* P &lt; 0.05, **P &lt; 0.01, ***P &lt; 0.001 respectively).</w:t>
        </w:r>
        <w:r w:rsidR="00FB5014">
          <w:rPr>
            <w:noProof/>
            <w:webHidden/>
          </w:rPr>
          <w:tab/>
        </w:r>
        <w:r w:rsidR="00FB5014">
          <w:rPr>
            <w:noProof/>
            <w:webHidden/>
          </w:rPr>
          <w:fldChar w:fldCharType="begin"/>
        </w:r>
        <w:r w:rsidR="00FB5014">
          <w:rPr>
            <w:noProof/>
            <w:webHidden/>
          </w:rPr>
          <w:instrText xml:space="preserve"> PAGEREF _Toc404070387 \h </w:instrText>
        </w:r>
        <w:r w:rsidR="00FB5014">
          <w:rPr>
            <w:noProof/>
            <w:webHidden/>
          </w:rPr>
        </w:r>
        <w:r w:rsidR="00FB5014">
          <w:rPr>
            <w:noProof/>
            <w:webHidden/>
          </w:rPr>
          <w:fldChar w:fldCharType="separate"/>
        </w:r>
        <w:r w:rsidR="00817BBF">
          <w:rPr>
            <w:noProof/>
            <w:webHidden/>
          </w:rPr>
          <w:t>86</w:t>
        </w:r>
        <w:r w:rsidR="00FB5014">
          <w:rPr>
            <w:noProof/>
            <w:webHidden/>
          </w:rPr>
          <w:fldChar w:fldCharType="end"/>
        </w:r>
      </w:hyperlink>
    </w:p>
    <w:p w14:paraId="6B532761" w14:textId="77777777" w:rsidR="00FB5014" w:rsidRDefault="00190148">
      <w:pPr>
        <w:pStyle w:val="TableofFigures"/>
        <w:tabs>
          <w:tab w:val="right" w:leader="dot" w:pos="9350"/>
        </w:tabs>
        <w:rPr>
          <w:rFonts w:asciiTheme="minorHAnsi" w:eastAsiaTheme="minorEastAsia" w:hAnsiTheme="minorHAnsi" w:cstheme="minorBidi"/>
          <w:bCs w:val="0"/>
          <w:noProof/>
          <w:sz w:val="22"/>
          <w:szCs w:val="22"/>
        </w:rPr>
      </w:pPr>
      <w:hyperlink w:anchor="_Toc404070388" w:history="1">
        <w:r w:rsidR="00FB5014" w:rsidRPr="00674E86">
          <w:rPr>
            <w:rStyle w:val="Hyperlink"/>
            <w:noProof/>
          </w:rPr>
          <w:t xml:space="preserve">Figure 2-3. Estimates of specific combining ability (SCA) of eight lowland switchgrass parents based on evaluation of F1 populations derived from a full diallel cross. Traits evaluated include biomass yield (A-B), predicted ethanol yield (C-D), fall height (E), spring height (F), tiller number (G), tiller diameter (H), leaf width (I), canopy density (J), and rust severity in Oct. 2012 (K) and Aug. 2013 (L). Biomass yield and predicted ethanol yield values are shown for 2012 and 2013 because of a significant SCA by year interaction effect in the model. Rust severity SCA values are shown for each year due to differences in seasonal timing of ratings. For the remaining traits, the mean SCA value across both years </w:t>
        </w:r>
        <w:r w:rsidR="00FB5014" w:rsidRPr="00674E86">
          <w:rPr>
            <w:rStyle w:val="Hyperlink"/>
            <w:noProof/>
          </w:rPr>
          <w:lastRenderedPageBreak/>
          <w:t>and locations is shown. The population mean is listed in the title for the x-axis. SCA values along the x-axis indicate deviation from that mean. Each cross is listed on the y axis of the graph. A cross is the first occurrence of a parental combination. The SCA value for that cross is represented by a grey diamond. The reciprocal of that cross is represented by a black circle. The line connecting these two values shows the mean maternal effect, i.e. the mean difference in trait value between the cross and its reciprocal. Significant maternal effects are indicated by an asterisk to the left of the cross on the y axis. Significant SCA values are indicated by an asterisk to right or left of the SCA data point (</w:t>
        </w:r>
        <w:r w:rsidR="00FB5014" w:rsidRPr="00674E86">
          <w:rPr>
            <w:rStyle w:val="Hyperlink"/>
            <w:rFonts w:cs="Times New Roman"/>
            <w:noProof/>
          </w:rPr>
          <w:t>* P &lt; 0.05, **P &lt; 0.01, ***P &lt; 0.001 respectively)</w:t>
        </w:r>
        <w:r w:rsidR="00FB5014" w:rsidRPr="00674E86">
          <w:rPr>
            <w:rStyle w:val="Hyperlink"/>
            <w:noProof/>
          </w:rPr>
          <w:t>.</w:t>
        </w:r>
        <w:r w:rsidR="00FB5014">
          <w:rPr>
            <w:noProof/>
            <w:webHidden/>
          </w:rPr>
          <w:tab/>
        </w:r>
        <w:r w:rsidR="00FB5014">
          <w:rPr>
            <w:noProof/>
            <w:webHidden/>
          </w:rPr>
          <w:fldChar w:fldCharType="begin"/>
        </w:r>
        <w:r w:rsidR="00FB5014">
          <w:rPr>
            <w:noProof/>
            <w:webHidden/>
          </w:rPr>
          <w:instrText xml:space="preserve"> PAGEREF _Toc404070388 \h </w:instrText>
        </w:r>
        <w:r w:rsidR="00FB5014">
          <w:rPr>
            <w:noProof/>
            <w:webHidden/>
          </w:rPr>
        </w:r>
        <w:r w:rsidR="00FB5014">
          <w:rPr>
            <w:noProof/>
            <w:webHidden/>
          </w:rPr>
          <w:fldChar w:fldCharType="separate"/>
        </w:r>
        <w:r w:rsidR="00817BBF">
          <w:rPr>
            <w:noProof/>
            <w:webHidden/>
          </w:rPr>
          <w:t>89</w:t>
        </w:r>
        <w:r w:rsidR="00FB5014">
          <w:rPr>
            <w:noProof/>
            <w:webHidden/>
          </w:rPr>
          <w:fldChar w:fldCharType="end"/>
        </w:r>
      </w:hyperlink>
    </w:p>
    <w:p w14:paraId="701AA11B" w14:textId="77777777" w:rsidR="00FB5014" w:rsidRDefault="00190148">
      <w:pPr>
        <w:pStyle w:val="TableofFigures"/>
        <w:tabs>
          <w:tab w:val="right" w:leader="dot" w:pos="9350"/>
        </w:tabs>
        <w:rPr>
          <w:rFonts w:asciiTheme="minorHAnsi" w:eastAsiaTheme="minorEastAsia" w:hAnsiTheme="minorHAnsi" w:cstheme="minorBidi"/>
          <w:bCs w:val="0"/>
          <w:noProof/>
          <w:sz w:val="22"/>
          <w:szCs w:val="22"/>
        </w:rPr>
      </w:pPr>
      <w:hyperlink w:anchor="_Toc404070389" w:history="1">
        <w:r w:rsidR="00FB5014" w:rsidRPr="00674E86">
          <w:rPr>
            <w:rStyle w:val="Hyperlink"/>
            <w:noProof/>
          </w:rPr>
          <w:t>Figure 2-4. Box plots by year of F1 populations exhibiting high parent heterosis for predicted ethanol yield (A-B) and fall height (C-D) in 2012 and 2013 and spring height (E-F), tiller number (G-H), tiller diameter (I-J), and leaf width (K-L) in 2013 and 2014. Whiskers indicate data within 1.5 times the inter-quartile range of the box edge. Mild outliers (data points within 1.5 and 3 times the inter-quartile range of the box edge) are indicated by a grey circle and severe outliers (data points greater than 3 times the inter-quartile range of the box edge) are indicated by a black diamond. Populations not exhibiting high parent heterosis in either evaluation year are excluded from each figure. Populations exhibiting high parent heterosis only in one year are indicated as “NS” in the opposing year.</w:t>
        </w:r>
        <w:r w:rsidR="00FB5014">
          <w:rPr>
            <w:noProof/>
            <w:webHidden/>
          </w:rPr>
          <w:tab/>
        </w:r>
        <w:r w:rsidR="00FB5014">
          <w:rPr>
            <w:noProof/>
            <w:webHidden/>
          </w:rPr>
          <w:fldChar w:fldCharType="begin"/>
        </w:r>
        <w:r w:rsidR="00FB5014">
          <w:rPr>
            <w:noProof/>
            <w:webHidden/>
          </w:rPr>
          <w:instrText xml:space="preserve"> PAGEREF _Toc404070389 \h </w:instrText>
        </w:r>
        <w:r w:rsidR="00FB5014">
          <w:rPr>
            <w:noProof/>
            <w:webHidden/>
          </w:rPr>
        </w:r>
        <w:r w:rsidR="00FB5014">
          <w:rPr>
            <w:noProof/>
            <w:webHidden/>
          </w:rPr>
          <w:fldChar w:fldCharType="separate"/>
        </w:r>
        <w:r w:rsidR="00817BBF">
          <w:rPr>
            <w:noProof/>
            <w:webHidden/>
          </w:rPr>
          <w:t>95</w:t>
        </w:r>
        <w:r w:rsidR="00FB5014">
          <w:rPr>
            <w:noProof/>
            <w:webHidden/>
          </w:rPr>
          <w:fldChar w:fldCharType="end"/>
        </w:r>
      </w:hyperlink>
    </w:p>
    <w:p w14:paraId="48A3862A" w14:textId="77777777" w:rsidR="00FB5014" w:rsidRDefault="00190148">
      <w:pPr>
        <w:pStyle w:val="TableofFigures"/>
        <w:tabs>
          <w:tab w:val="right" w:leader="dot" w:pos="9350"/>
        </w:tabs>
        <w:rPr>
          <w:rFonts w:asciiTheme="minorHAnsi" w:eastAsiaTheme="minorEastAsia" w:hAnsiTheme="minorHAnsi" w:cstheme="minorBidi"/>
          <w:bCs w:val="0"/>
          <w:noProof/>
          <w:sz w:val="22"/>
          <w:szCs w:val="22"/>
        </w:rPr>
      </w:pPr>
      <w:hyperlink w:anchor="_Toc404070390" w:history="1">
        <w:r w:rsidR="00FB5014" w:rsidRPr="00674E86">
          <w:rPr>
            <w:rStyle w:val="Hyperlink"/>
            <w:noProof/>
          </w:rPr>
          <w:t>Figure 2-5: Means of F1 populations by parental line for biomass yield (g) at 8 weeks (A) and at harvest in 2012 (B) and 2013 (C). Means of F1 populations by parental lines for predicted ethanol yield (mg g</w:t>
        </w:r>
        <w:r w:rsidR="00FB5014" w:rsidRPr="00674E86">
          <w:rPr>
            <w:rStyle w:val="Hyperlink"/>
            <w:noProof/>
            <w:vertAlign w:val="superscript"/>
          </w:rPr>
          <w:t>-1</w:t>
        </w:r>
        <w:r w:rsidR="00FB5014" w:rsidRPr="00674E86">
          <w:rPr>
            <w:rStyle w:val="Hyperlink"/>
            <w:noProof/>
          </w:rPr>
          <w:t>) in 2012 and 2013 (D) Populations are ordered from lowest to highest based on ranking of 2013 biomass or ethanol yields. Means were separated within years using Tukey’s HSD (</w:t>
        </w:r>
        <w:r w:rsidR="00FB5014" w:rsidRPr="00674E86">
          <w:rPr>
            <w:rStyle w:val="Hyperlink"/>
            <w:rFonts w:cs="Times New Roman"/>
            <w:noProof/>
          </w:rPr>
          <w:t xml:space="preserve">P &lt; </w:t>
        </w:r>
        <w:r w:rsidR="00FB5014" w:rsidRPr="00674E86">
          <w:rPr>
            <w:rStyle w:val="Hyperlink"/>
            <w:noProof/>
          </w:rPr>
          <w:t>0.05).</w:t>
        </w:r>
        <w:r w:rsidR="00FB5014">
          <w:rPr>
            <w:noProof/>
            <w:webHidden/>
          </w:rPr>
          <w:tab/>
        </w:r>
        <w:r w:rsidR="00FB5014">
          <w:rPr>
            <w:noProof/>
            <w:webHidden/>
          </w:rPr>
          <w:fldChar w:fldCharType="begin"/>
        </w:r>
        <w:r w:rsidR="00FB5014">
          <w:rPr>
            <w:noProof/>
            <w:webHidden/>
          </w:rPr>
          <w:instrText xml:space="preserve"> PAGEREF _Toc404070390 \h </w:instrText>
        </w:r>
        <w:r w:rsidR="00FB5014">
          <w:rPr>
            <w:noProof/>
            <w:webHidden/>
          </w:rPr>
        </w:r>
        <w:r w:rsidR="00FB5014">
          <w:rPr>
            <w:noProof/>
            <w:webHidden/>
          </w:rPr>
          <w:fldChar w:fldCharType="separate"/>
        </w:r>
        <w:r w:rsidR="00817BBF">
          <w:rPr>
            <w:noProof/>
            <w:webHidden/>
          </w:rPr>
          <w:t>102</w:t>
        </w:r>
        <w:r w:rsidR="00FB5014">
          <w:rPr>
            <w:noProof/>
            <w:webHidden/>
          </w:rPr>
          <w:fldChar w:fldCharType="end"/>
        </w:r>
      </w:hyperlink>
    </w:p>
    <w:p w14:paraId="445ECEC0" w14:textId="77777777" w:rsidR="00FB5014" w:rsidRDefault="00190148">
      <w:pPr>
        <w:pStyle w:val="TableofFigures"/>
        <w:tabs>
          <w:tab w:val="right" w:leader="dot" w:pos="9350"/>
        </w:tabs>
        <w:rPr>
          <w:rFonts w:asciiTheme="minorHAnsi" w:eastAsiaTheme="minorEastAsia" w:hAnsiTheme="minorHAnsi" w:cstheme="minorBidi"/>
          <w:bCs w:val="0"/>
          <w:noProof/>
          <w:sz w:val="22"/>
          <w:szCs w:val="22"/>
        </w:rPr>
      </w:pPr>
      <w:hyperlink w:anchor="_Toc404070391" w:history="1">
        <w:r w:rsidR="00FB5014" w:rsidRPr="00674E86">
          <w:rPr>
            <w:rStyle w:val="Hyperlink"/>
            <w:noProof/>
          </w:rPr>
          <w:t>Figure 2-6: The top 30% of progeny were selected within each year. Selections were then matched to the value from evaluation at maturity in 2013. The graphs below compare the means between each set of selections at maturity for biomass yield (g plant</w:t>
        </w:r>
        <w:r w:rsidR="00FB5014" w:rsidRPr="00674E86">
          <w:rPr>
            <w:rStyle w:val="Hyperlink"/>
            <w:noProof/>
            <w:vertAlign w:val="superscript"/>
          </w:rPr>
          <w:t>-1</w:t>
        </w:r>
        <w:r w:rsidR="00FB5014" w:rsidRPr="00674E86">
          <w:rPr>
            <w:rStyle w:val="Hyperlink"/>
            <w:noProof/>
          </w:rPr>
          <w:t>) (A.) and predicted ethanol yield (mg g</w:t>
        </w:r>
        <w:r w:rsidR="00FB5014" w:rsidRPr="00674E86">
          <w:rPr>
            <w:rStyle w:val="Hyperlink"/>
            <w:noProof/>
            <w:vertAlign w:val="superscript"/>
          </w:rPr>
          <w:t>-1</w:t>
        </w:r>
        <w:r w:rsidR="00FB5014" w:rsidRPr="00674E86">
          <w:rPr>
            <w:rStyle w:val="Hyperlink"/>
            <w:noProof/>
          </w:rPr>
          <w:t>) (B.). Both means and standard errors for each set of selections are indicated. Means were separated using Tukey’s HSD (</w:t>
        </w:r>
        <w:r w:rsidR="00FB5014" w:rsidRPr="00674E86">
          <w:rPr>
            <w:rStyle w:val="Hyperlink"/>
            <w:rFonts w:cs="Times New Roman"/>
            <w:noProof/>
          </w:rPr>
          <w:t xml:space="preserve">P &lt; </w:t>
        </w:r>
        <w:r w:rsidR="00FB5014" w:rsidRPr="00674E86">
          <w:rPr>
            <w:rStyle w:val="Hyperlink"/>
            <w:noProof/>
          </w:rPr>
          <w:t>0.05).</w:t>
        </w:r>
        <w:r w:rsidR="00FB5014">
          <w:rPr>
            <w:noProof/>
            <w:webHidden/>
          </w:rPr>
          <w:tab/>
        </w:r>
        <w:r w:rsidR="00FB5014">
          <w:rPr>
            <w:noProof/>
            <w:webHidden/>
          </w:rPr>
          <w:fldChar w:fldCharType="begin"/>
        </w:r>
        <w:r w:rsidR="00FB5014">
          <w:rPr>
            <w:noProof/>
            <w:webHidden/>
          </w:rPr>
          <w:instrText xml:space="preserve"> PAGEREF _Toc404070391 \h </w:instrText>
        </w:r>
        <w:r w:rsidR="00FB5014">
          <w:rPr>
            <w:noProof/>
            <w:webHidden/>
          </w:rPr>
        </w:r>
        <w:r w:rsidR="00FB5014">
          <w:rPr>
            <w:noProof/>
            <w:webHidden/>
          </w:rPr>
          <w:fldChar w:fldCharType="separate"/>
        </w:r>
        <w:r w:rsidR="00817BBF">
          <w:rPr>
            <w:noProof/>
            <w:webHidden/>
          </w:rPr>
          <w:t>103</w:t>
        </w:r>
        <w:r w:rsidR="00FB5014">
          <w:rPr>
            <w:noProof/>
            <w:webHidden/>
          </w:rPr>
          <w:fldChar w:fldCharType="end"/>
        </w:r>
      </w:hyperlink>
    </w:p>
    <w:p w14:paraId="042E7F42" w14:textId="77777777" w:rsidR="00FB5014" w:rsidRDefault="00190148">
      <w:pPr>
        <w:pStyle w:val="TableofFigures"/>
        <w:tabs>
          <w:tab w:val="right" w:leader="dot" w:pos="9350"/>
        </w:tabs>
        <w:rPr>
          <w:rFonts w:asciiTheme="minorHAnsi" w:eastAsiaTheme="minorEastAsia" w:hAnsiTheme="minorHAnsi" w:cstheme="minorBidi"/>
          <w:bCs w:val="0"/>
          <w:noProof/>
          <w:sz w:val="22"/>
          <w:szCs w:val="22"/>
        </w:rPr>
      </w:pPr>
      <w:hyperlink w:anchor="_Toc404070392" w:history="1">
        <w:r w:rsidR="00FB5014" w:rsidRPr="00674E86">
          <w:rPr>
            <w:rStyle w:val="Hyperlink"/>
            <w:noProof/>
          </w:rPr>
          <w:t>Figure 3-1: Means by year and location for traits evaluated in F1 populations of lowland switchgrass derived from an eight parent diallel cross evaluated in a space planted (HSP) and sward planted (HSW) nursery. Traits include biomass yield (A), predicted ethanol yield (B), tiller number (C), tiller diameter (D), and leaf width (E). Means were separated using Tukey’s HSD. Means followed by the same letter do not differ significantly (</w:t>
        </w:r>
        <w:r w:rsidR="00FB5014" w:rsidRPr="00674E86">
          <w:rPr>
            <w:rStyle w:val="Hyperlink"/>
            <w:rFonts w:cs="Times New Roman"/>
            <w:noProof/>
          </w:rPr>
          <w:t>p &lt;</w:t>
        </w:r>
        <w:r w:rsidR="00FB5014" w:rsidRPr="00674E86">
          <w:rPr>
            <w:rStyle w:val="Hyperlink"/>
            <w:noProof/>
          </w:rPr>
          <w:t xml:space="preserve"> 0.05).</w:t>
        </w:r>
        <w:r w:rsidR="00FB5014">
          <w:rPr>
            <w:noProof/>
            <w:webHidden/>
          </w:rPr>
          <w:tab/>
        </w:r>
        <w:r w:rsidR="00FB5014">
          <w:rPr>
            <w:noProof/>
            <w:webHidden/>
          </w:rPr>
          <w:fldChar w:fldCharType="begin"/>
        </w:r>
        <w:r w:rsidR="00FB5014">
          <w:rPr>
            <w:noProof/>
            <w:webHidden/>
          </w:rPr>
          <w:instrText xml:space="preserve"> PAGEREF _Toc404070392 \h </w:instrText>
        </w:r>
        <w:r w:rsidR="00FB5014">
          <w:rPr>
            <w:noProof/>
            <w:webHidden/>
          </w:rPr>
        </w:r>
        <w:r w:rsidR="00FB5014">
          <w:rPr>
            <w:noProof/>
            <w:webHidden/>
          </w:rPr>
          <w:fldChar w:fldCharType="separate"/>
        </w:r>
        <w:r w:rsidR="00817BBF">
          <w:rPr>
            <w:noProof/>
            <w:webHidden/>
          </w:rPr>
          <w:t>129</w:t>
        </w:r>
        <w:r w:rsidR="00FB5014">
          <w:rPr>
            <w:noProof/>
            <w:webHidden/>
          </w:rPr>
          <w:fldChar w:fldCharType="end"/>
        </w:r>
      </w:hyperlink>
    </w:p>
    <w:p w14:paraId="06D4C2D9" w14:textId="77777777" w:rsidR="00FB5014" w:rsidRDefault="00190148">
      <w:pPr>
        <w:pStyle w:val="TableofFigures"/>
        <w:tabs>
          <w:tab w:val="right" w:leader="dot" w:pos="9350"/>
        </w:tabs>
        <w:rPr>
          <w:rFonts w:asciiTheme="minorHAnsi" w:eastAsiaTheme="minorEastAsia" w:hAnsiTheme="minorHAnsi" w:cstheme="minorBidi"/>
          <w:bCs w:val="0"/>
          <w:noProof/>
          <w:sz w:val="22"/>
          <w:szCs w:val="22"/>
        </w:rPr>
      </w:pPr>
      <w:hyperlink w:anchor="_Toc404070393" w:history="1">
        <w:r w:rsidR="00FB5014" w:rsidRPr="00674E86">
          <w:rPr>
            <w:rStyle w:val="Hyperlink"/>
            <w:noProof/>
          </w:rPr>
          <w:t>Figure 3-2. Specific combining ability (SCA) values for biomass yield (A-D) and predicted ethanol yield (E-H) for space planted (HSP) and sward planted (HSW) F1 populations in 2012 and 2013. Each cross is listed on the y axis of the graph. A cross is the first occurrence of a parental combination. The SCA value for that cross is represented by a grey diamond. The reciprocal of that cross is represented by a black circle. The line connecting these two values shows the mean maternal effect, i.e. the mean difference in trait value between the cross and its reciprocal. Significant maternal effects are indicated by an asterisk to the left of the cross on the y axis. Significant SCA values are indicated by an asterisk to right or left of the SCA data point (* P &lt; 0.05, **P &lt; 0.01, ***P &lt; 0.001 respectively).</w:t>
        </w:r>
        <w:r w:rsidR="00FB5014">
          <w:rPr>
            <w:noProof/>
            <w:webHidden/>
          </w:rPr>
          <w:tab/>
        </w:r>
        <w:r w:rsidR="00FB5014">
          <w:rPr>
            <w:noProof/>
            <w:webHidden/>
          </w:rPr>
          <w:fldChar w:fldCharType="begin"/>
        </w:r>
        <w:r w:rsidR="00FB5014">
          <w:rPr>
            <w:noProof/>
            <w:webHidden/>
          </w:rPr>
          <w:instrText xml:space="preserve"> PAGEREF _Toc404070393 \h </w:instrText>
        </w:r>
        <w:r w:rsidR="00FB5014">
          <w:rPr>
            <w:noProof/>
            <w:webHidden/>
          </w:rPr>
        </w:r>
        <w:r w:rsidR="00FB5014">
          <w:rPr>
            <w:noProof/>
            <w:webHidden/>
          </w:rPr>
          <w:fldChar w:fldCharType="separate"/>
        </w:r>
        <w:r w:rsidR="00817BBF">
          <w:rPr>
            <w:noProof/>
            <w:webHidden/>
          </w:rPr>
          <w:t>135</w:t>
        </w:r>
        <w:r w:rsidR="00FB5014">
          <w:rPr>
            <w:noProof/>
            <w:webHidden/>
          </w:rPr>
          <w:fldChar w:fldCharType="end"/>
        </w:r>
      </w:hyperlink>
    </w:p>
    <w:p w14:paraId="2B43B754" w14:textId="77777777" w:rsidR="00FB5014" w:rsidRDefault="00190148">
      <w:pPr>
        <w:pStyle w:val="TableofFigures"/>
        <w:tabs>
          <w:tab w:val="right" w:leader="dot" w:pos="9350"/>
        </w:tabs>
        <w:rPr>
          <w:rFonts w:asciiTheme="minorHAnsi" w:eastAsiaTheme="minorEastAsia" w:hAnsiTheme="minorHAnsi" w:cstheme="minorBidi"/>
          <w:bCs w:val="0"/>
          <w:noProof/>
          <w:sz w:val="22"/>
          <w:szCs w:val="22"/>
        </w:rPr>
      </w:pPr>
      <w:hyperlink w:anchor="_Toc404070394" w:history="1">
        <w:r w:rsidR="00FB5014" w:rsidRPr="00674E86">
          <w:rPr>
            <w:rStyle w:val="Hyperlink"/>
            <w:noProof/>
          </w:rPr>
          <w:t>Figure 3-3. Box plots by year of F1 populations exhibiting high parent heterosis for biomass yield (A-D) and predicted ethanol yield (E-H) for space planted (HSP) and sward planted (HSW) nurseries in 2012 and 2013. Whiskers indicate data within 1.5 times the inter-quartile range of the box edge. Mild outliers (data points within 1.5 and 3 times the inter-</w:t>
        </w:r>
        <w:r w:rsidR="00FB5014" w:rsidRPr="00674E86">
          <w:rPr>
            <w:rStyle w:val="Hyperlink"/>
            <w:noProof/>
          </w:rPr>
          <w:lastRenderedPageBreak/>
          <w:t>quartile range of the box edge) are indicated by a grey circle and severe outliers (data points greater than 3 times the inter-quartile range of the box edge) are indicated by a black diamond. Populations not exhibiting high parent heterosis in either evaluation year are excluded from each figure. Populations exhibiting high parent heterosis only in one year are indicated as “NS” in the opposing year. Ethanol yield for the space planted nursery is excluded since no significant high parent heterosis was observed in either year.</w:t>
        </w:r>
        <w:r w:rsidR="00FB5014">
          <w:rPr>
            <w:noProof/>
            <w:webHidden/>
          </w:rPr>
          <w:tab/>
        </w:r>
        <w:r w:rsidR="00FB5014">
          <w:rPr>
            <w:noProof/>
            <w:webHidden/>
          </w:rPr>
          <w:fldChar w:fldCharType="begin"/>
        </w:r>
        <w:r w:rsidR="00FB5014">
          <w:rPr>
            <w:noProof/>
            <w:webHidden/>
          </w:rPr>
          <w:instrText xml:space="preserve"> PAGEREF _Toc404070394 \h </w:instrText>
        </w:r>
        <w:r w:rsidR="00FB5014">
          <w:rPr>
            <w:noProof/>
            <w:webHidden/>
          </w:rPr>
        </w:r>
        <w:r w:rsidR="00FB5014">
          <w:rPr>
            <w:noProof/>
            <w:webHidden/>
          </w:rPr>
          <w:fldChar w:fldCharType="separate"/>
        </w:r>
        <w:r w:rsidR="00817BBF">
          <w:rPr>
            <w:noProof/>
            <w:webHidden/>
          </w:rPr>
          <w:t>140</w:t>
        </w:r>
        <w:r w:rsidR="00FB5014">
          <w:rPr>
            <w:noProof/>
            <w:webHidden/>
          </w:rPr>
          <w:fldChar w:fldCharType="end"/>
        </w:r>
      </w:hyperlink>
    </w:p>
    <w:p w14:paraId="5FDCE9B4" w14:textId="77777777" w:rsidR="00FB5014" w:rsidRDefault="00190148">
      <w:pPr>
        <w:pStyle w:val="TableofFigures"/>
        <w:tabs>
          <w:tab w:val="right" w:leader="dot" w:pos="9350"/>
        </w:tabs>
        <w:rPr>
          <w:rFonts w:asciiTheme="minorHAnsi" w:eastAsiaTheme="minorEastAsia" w:hAnsiTheme="minorHAnsi" w:cstheme="minorBidi"/>
          <w:bCs w:val="0"/>
          <w:noProof/>
          <w:sz w:val="22"/>
          <w:szCs w:val="22"/>
        </w:rPr>
      </w:pPr>
      <w:hyperlink w:anchor="_Toc404070395" w:history="1">
        <w:r w:rsidR="00FB5014" w:rsidRPr="00674E86">
          <w:rPr>
            <w:rStyle w:val="Hyperlink"/>
            <w:noProof/>
          </w:rPr>
          <w:t>Figure 3-4: The top 30% of progeny were selected within each nursery (space planted (HSP) and sward planted (HSW)) and within each year (2012, 2013). Selections were then matched to the value from evaluation at maturity under sward planted conditions in 2013. The graphs below compare the mean of each set of selections at maturity for biomass yield (g plant</w:t>
        </w:r>
        <w:r w:rsidR="00FB5014" w:rsidRPr="00674E86">
          <w:rPr>
            <w:rStyle w:val="Hyperlink"/>
            <w:noProof/>
            <w:vertAlign w:val="superscript"/>
          </w:rPr>
          <w:t>-1</w:t>
        </w:r>
        <w:r w:rsidR="00FB5014" w:rsidRPr="00674E86">
          <w:rPr>
            <w:rStyle w:val="Hyperlink"/>
            <w:noProof/>
          </w:rPr>
          <w:t>) (dark grey bars) and predicted ethanol yield (mg g</w:t>
        </w:r>
        <w:r w:rsidR="00FB5014" w:rsidRPr="00674E86">
          <w:rPr>
            <w:rStyle w:val="Hyperlink"/>
            <w:noProof/>
            <w:vertAlign w:val="superscript"/>
          </w:rPr>
          <w:t>-1</w:t>
        </w:r>
        <w:r w:rsidR="00FB5014" w:rsidRPr="00674E86">
          <w:rPr>
            <w:rStyle w:val="Hyperlink"/>
            <w:noProof/>
          </w:rPr>
          <w:t>) (light grey bars). Both means and standard errors for each set of selections are indicated. Means were separated using Tukey’s HSD. Within a trait, means followed by the same letter do not differ at an alpha level of 0.05.</w:t>
        </w:r>
        <w:r w:rsidR="00FB5014">
          <w:rPr>
            <w:noProof/>
            <w:webHidden/>
          </w:rPr>
          <w:tab/>
        </w:r>
        <w:r w:rsidR="00FB5014">
          <w:rPr>
            <w:noProof/>
            <w:webHidden/>
          </w:rPr>
          <w:fldChar w:fldCharType="begin"/>
        </w:r>
        <w:r w:rsidR="00FB5014">
          <w:rPr>
            <w:noProof/>
            <w:webHidden/>
          </w:rPr>
          <w:instrText xml:space="preserve"> PAGEREF _Toc404070395 \h </w:instrText>
        </w:r>
        <w:r w:rsidR="00FB5014">
          <w:rPr>
            <w:noProof/>
            <w:webHidden/>
          </w:rPr>
        </w:r>
        <w:r w:rsidR="00FB5014">
          <w:rPr>
            <w:noProof/>
            <w:webHidden/>
          </w:rPr>
          <w:fldChar w:fldCharType="separate"/>
        </w:r>
        <w:r w:rsidR="00817BBF">
          <w:rPr>
            <w:noProof/>
            <w:webHidden/>
          </w:rPr>
          <w:t>144</w:t>
        </w:r>
        <w:r w:rsidR="00FB5014">
          <w:rPr>
            <w:noProof/>
            <w:webHidden/>
          </w:rPr>
          <w:fldChar w:fldCharType="end"/>
        </w:r>
      </w:hyperlink>
    </w:p>
    <w:p w14:paraId="5E1421C1" w14:textId="77777777" w:rsidR="004A620A" w:rsidRDefault="00301182" w:rsidP="0099190A">
      <w:pPr>
        <w:pStyle w:val="Heading1"/>
        <w:rPr>
          <w:sz w:val="32"/>
          <w:szCs w:val="32"/>
        </w:rPr>
        <w:sectPr w:rsidR="004A620A" w:rsidSect="00794998">
          <w:footerReference w:type="default" r:id="rId10"/>
          <w:pgSz w:w="12240" w:h="15840"/>
          <w:pgMar w:top="1440" w:right="1440" w:bottom="1440" w:left="1440" w:header="720" w:footer="720" w:gutter="0"/>
          <w:pgNumType w:fmt="lowerRoman" w:start="2"/>
          <w:cols w:space="720"/>
          <w:docGrid w:linePitch="360"/>
        </w:sectPr>
      </w:pPr>
      <w:r>
        <w:rPr>
          <w:sz w:val="32"/>
          <w:szCs w:val="32"/>
        </w:rPr>
        <w:fldChar w:fldCharType="end"/>
      </w:r>
    </w:p>
    <w:p w14:paraId="455FE32C" w14:textId="77777777" w:rsidR="004C7D65" w:rsidRPr="0099190A" w:rsidRDefault="00D77796" w:rsidP="0099190A">
      <w:pPr>
        <w:pStyle w:val="Heading1"/>
        <w:rPr>
          <w:sz w:val="32"/>
          <w:szCs w:val="32"/>
        </w:rPr>
      </w:pPr>
      <w:bookmarkStart w:id="1" w:name="_Toc404069807"/>
      <w:r>
        <w:lastRenderedPageBreak/>
        <w:t>INTRODUCTION</w:t>
      </w:r>
      <w:bookmarkEnd w:id="1"/>
    </w:p>
    <w:p w14:paraId="0A9AE4B5" w14:textId="37313931" w:rsidR="00F95441" w:rsidRPr="00F95441" w:rsidRDefault="00182A8D" w:rsidP="009B24A0">
      <w:pPr>
        <w:pStyle w:val="Heading2"/>
      </w:pPr>
      <w:bookmarkStart w:id="2" w:name="_Toc404069808"/>
      <w:r>
        <w:t>Switchgrass Production, Genetics, and S</w:t>
      </w:r>
      <w:r w:rsidR="00F95441">
        <w:t>tructure</w:t>
      </w:r>
      <w:bookmarkEnd w:id="2"/>
    </w:p>
    <w:p w14:paraId="73449F6F" w14:textId="3C6B47C6" w:rsidR="004C7D65" w:rsidRDefault="004C7D65" w:rsidP="004C7D65">
      <w:pPr>
        <w:ind w:firstLine="720"/>
      </w:pPr>
      <w:r w:rsidRPr="00BC2AA1">
        <w:t xml:space="preserve">Switchgrass has been developed as both a forage and lignocellulosic herbaceous energy crop. Switchgrass was chosen as a forage crop because of its high yield, perennial nature, adaptability to varied environmental conditions, and rapid growth during hot weather when cool season forage crops are less active </w:t>
      </w:r>
      <w:r w:rsidR="00301182" w:rsidRPr="00BC2AA1">
        <w:fldChar w:fldCharType="begin"/>
      </w:r>
      <w:r w:rsidR="00382C84">
        <w:instrText xml:space="preserve"> ADDIN EN.CITE &lt;EndNote&gt;&lt;Cite&gt;&lt;Author&gt;Newell&lt;/Author&gt;&lt;Year&gt;1961&lt;/Year&gt;&lt;RecNum&gt;16&lt;/RecNum&gt;&lt;DisplayText&gt;(Newell and Eberhart, 1961)&lt;/DisplayText&gt;&lt;record&gt;&lt;rec-number&gt;16&lt;/rec-number&gt;&lt;foreign-keys&gt;&lt;key app="EN" db-id="sax2wrdsssrrrnetz9lvvd2xw25z5retvfpp"&gt;16&lt;/key&gt;&lt;/foreign-keys&gt;&lt;ref-type name="Journal Article"&gt;17&lt;/ref-type&gt;&lt;contributors&gt;&lt;authors&gt;&lt;author&gt;Newell, L.C.&lt;/author&gt;&lt;author&gt;Eberhart, S.A.&lt;/author&gt;&lt;/authors&gt;&lt;/contributors&gt;&lt;titles&gt;&lt;title&gt;&lt;style face="normal" font="default" size="100%"&gt;Clone and progeny evaluation in the improvement of switchgrass, &lt;/style&gt;&lt;style face="italic" font="default" size="100%"&gt;Panicum virgatum &lt;/style&gt;&lt;style face="normal" font="default" size="100%"&gt;L.&lt;/style&gt;&lt;/title&gt;&lt;secondary-title&gt;Crop Science&lt;/secondary-title&gt;&lt;/titles&gt;&lt;periodical&gt;&lt;full-title&gt;Crop Science&lt;/full-title&gt;&lt;/periodical&gt;&lt;pages&gt;117-121&lt;/pages&gt;&lt;volume&gt;1&lt;/volume&gt;&lt;section&gt;117&lt;/section&gt;&lt;dates&gt;&lt;year&gt;1961&lt;/year&gt;&lt;/dates&gt;&lt;urls&gt;&lt;/urls&gt;&lt;/record&gt;&lt;/Cite&gt;&lt;/EndNote&gt;</w:instrText>
      </w:r>
      <w:r w:rsidR="00301182" w:rsidRPr="00BC2AA1">
        <w:fldChar w:fldCharType="separate"/>
      </w:r>
      <w:r w:rsidR="00382C84">
        <w:rPr>
          <w:noProof/>
        </w:rPr>
        <w:t>(</w:t>
      </w:r>
      <w:hyperlink w:anchor="_ENREF_74" w:tooltip="Newell, 1961 #1" w:history="1">
        <w:r w:rsidR="00FB5014">
          <w:rPr>
            <w:noProof/>
          </w:rPr>
          <w:t>Newell and Eberhart, 1961</w:t>
        </w:r>
      </w:hyperlink>
      <w:r w:rsidR="00382C84">
        <w:rPr>
          <w:noProof/>
        </w:rPr>
        <w:t>)</w:t>
      </w:r>
      <w:r w:rsidR="00301182" w:rsidRPr="00BC2AA1">
        <w:fldChar w:fldCharType="end"/>
      </w:r>
      <w:r w:rsidR="00954DB7">
        <w:t xml:space="preserve">. </w:t>
      </w:r>
      <w:r w:rsidRPr="00BC2AA1">
        <w:t>Switchgrass can withstand cooler temperatures compared to other warm season grasses and it is easily propagated by seed</w:t>
      </w:r>
      <w:r w:rsidR="00954DB7">
        <w:t xml:space="preserve">. </w:t>
      </w:r>
      <w:r w:rsidRPr="00BC2AA1">
        <w:t>Many of the traits that make switchgrass desirable as a forage crop have also generated interest in its potential as a biofuel crop</w:t>
      </w:r>
      <w:r w:rsidR="00954DB7">
        <w:t xml:space="preserve">. </w:t>
      </w:r>
      <w:r w:rsidRPr="00BC2AA1">
        <w:t xml:space="preserve">In 1991, under the Bioenergy Feedstock Development Program (BFDF), switchgrass was chosen as a model lignocellulosic herbaceous </w:t>
      </w:r>
      <w:r w:rsidR="000153BE">
        <w:t xml:space="preserve">energy </w:t>
      </w:r>
      <w:r w:rsidRPr="00BC2AA1">
        <w:t xml:space="preserve">crop </w:t>
      </w:r>
      <w:r w:rsidR="00301182" w:rsidRPr="00BC2AA1">
        <w:fldChar w:fldCharType="begin"/>
      </w:r>
      <w:r w:rsidR="00382C84">
        <w:instrText xml:space="preserve"> ADDIN EN.CITE &lt;EndNote&gt;&lt;Cite&gt;&lt;Author&gt;McLaughlin&lt;/Author&gt;&lt;Year&gt;2005&lt;/Year&gt;&lt;RecNum&gt;245&lt;/RecNum&gt;&lt;DisplayText&gt;(McLaughlin and Kszos, 2005)&lt;/DisplayText&gt;&lt;record&gt;&lt;rec-number&gt;245&lt;/rec-number&gt;&lt;foreign-keys&gt;&lt;key app="EN" db-id="9zfxt259rawwvce0pfa5efeuatdw0pz5va5z" timestamp="1323887730"&gt;245&lt;/key&gt;&lt;/foreign-keys&gt;&lt;ref-type name="Journal Article"&gt;17&lt;/ref-type&gt;&lt;contributors&gt;&lt;authors&gt;&lt;author&gt;McLaughlin, S.B.&lt;/author&gt;&lt;author&gt;Kszos, L.A.&lt;/author&gt;&lt;/authors&gt;&lt;/contributors&gt;&lt;titles&gt;&lt;title&gt;&lt;style face="normal" font="default" size="100%"&gt;Development of switchgrass (&lt;/style&gt;&lt;style face="italic" font="default" size="100%"&gt;Panicum virgatum&lt;/style&gt;&lt;style face="normal" font="default" size="100%"&gt;) as a bioenergy feedstock in the United States&lt;/style&gt;&lt;/title&gt;&lt;secondary-title&gt;Biomass and Bioenergy&lt;/secondary-title&gt;&lt;/titles&gt;&lt;periodical&gt;&lt;full-title&gt;Biomass and Bioenergy&lt;/full-title&gt;&lt;/periodical&gt;&lt;pages&gt;515-535&lt;/pages&gt;&lt;volume&gt;28&lt;/volume&gt;&lt;dates&gt;&lt;year&gt;2005&lt;/year&gt;&lt;/dates&gt;&lt;urls&gt;&lt;/urls&gt;&lt;/record&gt;&lt;/Cite&gt;&lt;/EndNote&gt;</w:instrText>
      </w:r>
      <w:r w:rsidR="00301182" w:rsidRPr="00BC2AA1">
        <w:fldChar w:fldCharType="separate"/>
      </w:r>
      <w:r w:rsidRPr="00BC2AA1">
        <w:rPr>
          <w:noProof/>
        </w:rPr>
        <w:t>(</w:t>
      </w:r>
      <w:hyperlink w:anchor="_ENREF_69" w:tooltip="McLaughlin, 2005 #245" w:history="1">
        <w:r w:rsidR="00FB5014" w:rsidRPr="00BC2AA1">
          <w:rPr>
            <w:noProof/>
          </w:rPr>
          <w:t>McLaughlin and Kszos, 2005</w:t>
        </w:r>
      </w:hyperlink>
      <w:r w:rsidRPr="00BC2AA1">
        <w:rPr>
          <w:noProof/>
        </w:rPr>
        <w:t>)</w:t>
      </w:r>
      <w:r w:rsidR="00301182" w:rsidRPr="00BC2AA1">
        <w:fldChar w:fldCharType="end"/>
      </w:r>
      <w:r w:rsidRPr="00BC2AA1">
        <w:t xml:space="preserve">. Switchgrass breeding has </w:t>
      </w:r>
      <w:r w:rsidR="000153BE">
        <w:t xml:space="preserve">generally </w:t>
      </w:r>
      <w:r w:rsidRPr="00BC2AA1">
        <w:t>focused on improving biomass or forage yield and quality</w:t>
      </w:r>
      <w:r w:rsidR="00954DB7">
        <w:t xml:space="preserve">. </w:t>
      </w:r>
      <w:r>
        <w:t xml:space="preserve"> </w:t>
      </w:r>
    </w:p>
    <w:p w14:paraId="2AA5618F" w14:textId="52E81D2E" w:rsidR="004C7D65" w:rsidRDefault="004C7D65" w:rsidP="004C7D65">
      <w:pPr>
        <w:ind w:firstLine="720"/>
      </w:pPr>
      <w:r w:rsidRPr="00BC2AA1">
        <w:t xml:space="preserve">Switchgrass is primarily allogamous with self-fertilization rates of approximately 1-2% </w:t>
      </w:r>
      <w:r w:rsidR="00301182" w:rsidRPr="00BC2AA1">
        <w:fldChar w:fldCharType="begin">
          <w:fldData xml:space="preserve">PEVuZE5vdGU+PENpdGU+PEF1dGhvcj5UYWxpYWZlcnJvPC9BdXRob3I+PFllYXI+MTk5NjwvWWVh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</w:fldData>
        </w:fldChar>
      </w:r>
      <w:r w:rsidR="00B7572A">
        <w:instrText xml:space="preserve"> ADDIN EN.CITE </w:instrText>
      </w:r>
      <w:r w:rsidR="00B7572A">
        <w:fldChar w:fldCharType="begin">
          <w:fldData xml:space="preserve">PEVuZE5vdGU+PENpdGU+PEF1dGhvcj5UYWxpYWZlcnJvPC9BdXRob3I+PFllYXI+MTk5NjwvWWVh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</w:fldData>
        </w:fldChar>
      </w:r>
      <w:r w:rsidR="00B7572A">
        <w:instrText xml:space="preserve"> ADDIN EN.CITE.DATA </w:instrText>
      </w:r>
      <w:r w:rsidR="00B7572A">
        <w:fldChar w:fldCharType="end"/>
      </w:r>
      <w:r w:rsidR="00301182" w:rsidRPr="00BC2AA1">
        <w:fldChar w:fldCharType="separate"/>
      </w:r>
      <w:r w:rsidR="00B7572A">
        <w:rPr>
          <w:noProof/>
        </w:rPr>
        <w:t>(</w:t>
      </w:r>
      <w:hyperlink w:anchor="_ENREF_70" w:tooltip="McMillan, 1959 #20" w:history="1">
        <w:r w:rsidR="00FB5014">
          <w:rPr>
            <w:noProof/>
          </w:rPr>
          <w:t>McMillan and Weiler, 1959</w:t>
        </w:r>
      </w:hyperlink>
      <w:r w:rsidR="00B7572A">
        <w:rPr>
          <w:noProof/>
        </w:rPr>
        <w:t xml:space="preserve">; </w:t>
      </w:r>
      <w:hyperlink w:anchor="_ENREF_75" w:tooltip="Nielson, 1944 #249" w:history="1">
        <w:r w:rsidR="00FB5014">
          <w:rPr>
            <w:noProof/>
          </w:rPr>
          <w:t>Nielson, 1944</w:t>
        </w:r>
      </w:hyperlink>
      <w:r w:rsidR="00B7572A">
        <w:rPr>
          <w:noProof/>
        </w:rPr>
        <w:t xml:space="preserve">; </w:t>
      </w:r>
      <w:hyperlink w:anchor="_ENREF_93" w:tooltip="Taliaferro, 1996 #247" w:history="1">
        <w:r w:rsidR="00FB5014">
          <w:rPr>
            <w:noProof/>
          </w:rPr>
          <w:t>Taliaferro et al., 1996</w:t>
        </w:r>
      </w:hyperlink>
      <w:r w:rsidR="00B7572A">
        <w:rPr>
          <w:noProof/>
        </w:rPr>
        <w:t xml:space="preserve">; </w:t>
      </w:r>
      <w:hyperlink w:anchor="_ENREF_94" w:tooltip="Taliaferro, 1996 #246" w:history="1">
        <w:r w:rsidR="00FB5014">
          <w:rPr>
            <w:noProof/>
          </w:rPr>
          <w:t>Taliaferro and Hopkins, 1996</w:t>
        </w:r>
      </w:hyperlink>
      <w:r w:rsidR="00B7572A">
        <w:rPr>
          <w:noProof/>
        </w:rPr>
        <w:t>)</w:t>
      </w:r>
      <w:r w:rsidR="00301182" w:rsidRPr="00BC2AA1">
        <w:fldChar w:fldCharType="end"/>
      </w:r>
      <w:r w:rsidRPr="00BC2AA1">
        <w:t>. Since switchgrass is largely self-incompatible, breeding efforts have focused on developing improved populations and synthetic cultivars</w:t>
      </w:r>
      <w:r w:rsidR="00954DB7">
        <w:t xml:space="preserve">. </w:t>
      </w:r>
      <w:r w:rsidRPr="00BC2AA1">
        <w:t>Plants are polyploid with the majority o</w:t>
      </w:r>
      <w:r w:rsidR="00501697">
        <w:t>f cultivars being either tetrap</w:t>
      </w:r>
      <w:r w:rsidRPr="00BC2AA1">
        <w:t xml:space="preserve">loid or octaploid </w:t>
      </w:r>
      <w:r w:rsidR="00301182" w:rsidRPr="00BC2AA1">
        <w:fldChar w:fldCharType="begin"/>
      </w:r>
      <w:r w:rsidR="00B7572A">
        <w:instrText xml:space="preserve"> ADDIN EN.CITE &lt;EndNote&gt;&lt;Cite&gt;&lt;Author&gt;Hopkins&lt;/Author&gt;&lt;Year&gt;1996&lt;/Year&gt;&lt;RecNum&gt;15&lt;/RecNum&gt;&lt;DisplayText&gt;(Hopkins et al., 1996; Nielson, 1944)&lt;/DisplayText&gt;&lt;record&gt;&lt;rec-number&gt;15&lt;/rec-number&gt;&lt;foreign-keys&gt;&lt;key app="EN" db-id="sax2wrdsssrrrnetz9lvvd2xw25z5retvfpp"&gt;15&lt;/key&gt;&lt;/foreign-keys&gt;&lt;ref-type name="Journal Article"&gt;17&lt;/ref-type&gt;&lt;contributors&gt;&lt;authors&gt;&lt;author&gt;Hopkins, A.A.&lt;/author&gt;&lt;author&gt;Taliaferro, C.M.&lt;/author&gt;&lt;author&gt;Murphy, C.D.&lt;/author&gt;&lt;author&gt;Christian, D. &lt;/author&gt;&lt;/authors&gt;&lt;/contributors&gt;&lt;titles&gt;&lt;title&gt;Chromsome number and nuclear DNA content of several switchgrass populations&lt;/title&gt;&lt;secondary-title&gt;Crop Science&lt;/secondary-title&gt;&lt;/titles&gt;&lt;periodical&gt;&lt;full-title&gt;Crop Science&lt;/full-title&gt;&lt;/periodical&gt;&lt;pages&gt;1192-1195&lt;/pages&gt;&lt;volume&gt;36&lt;/volume&gt;&lt;number&gt;5&lt;/number&gt;&lt;section&gt;1192&lt;/section&gt;&lt;dates&gt;&lt;year&gt;1996&lt;/year&gt;&lt;/dates&gt;&lt;urls&gt;&lt;/urls&gt;&lt;/record&gt;&lt;/Cite&gt;&lt;Cite&gt;&lt;Author&gt;Nielson&lt;/Author&gt;&lt;Year&gt;1944&lt;/Year&gt;&lt;RecNum&gt;249&lt;/RecNum&gt;&lt;record&gt;&lt;rec-number&gt;249&lt;/rec-number&gt;&lt;foreign-keys&gt;&lt;key app="EN" db-id="9zfxt259rawwvce0pfa5efeuatdw0pz5va5z" timestamp="1323887730"&gt;249&lt;/key&gt;&lt;/foreign-keys&gt;&lt;ref-type name="Journal Article"&gt;17&lt;/ref-type&gt;&lt;contributors&gt;&lt;authors&gt;&lt;author&gt;Nielson, E.L.&lt;/author&gt;&lt;/authors&gt;&lt;/contributors&gt;&lt;titles&gt;&lt;title&gt;&lt;style face="normal" font="default" size="100%"&gt;Analysis of variation in &lt;/style&gt;&lt;style face="italic" font="default" size="100%"&gt;Panicum virgatum&lt;/style&gt;&lt;/title&gt;&lt;secondary-title&gt;J. Agric. Res.&lt;/secondary-title&gt;&lt;/titles&gt;&lt;periodical&gt;&lt;full-title&gt;J. Agric. Res.&lt;/full-title&gt;&lt;/periodical&gt;&lt;pages&gt;327-353&lt;/pages&gt;&lt;volume&gt;69&lt;/volume&gt;&lt;dates&gt;&lt;year&gt;1944&lt;/year&gt;&lt;/dates&gt;&lt;urls&gt;&lt;/urls&gt;&lt;/record&gt;&lt;/Cite&gt;&lt;/EndNote&gt;</w:instrText>
      </w:r>
      <w:r w:rsidR="00301182" w:rsidRPr="00BC2AA1">
        <w:fldChar w:fldCharType="separate"/>
      </w:r>
      <w:r w:rsidR="00B7572A">
        <w:rPr>
          <w:noProof/>
        </w:rPr>
        <w:t>(</w:t>
      </w:r>
      <w:hyperlink w:anchor="_ENREF_47" w:tooltip="Hopkins, 1996 #15" w:history="1">
        <w:r w:rsidR="00FB5014">
          <w:rPr>
            <w:noProof/>
          </w:rPr>
          <w:t>Hopkins et al., 1996</w:t>
        </w:r>
      </w:hyperlink>
      <w:r w:rsidR="00B7572A">
        <w:rPr>
          <w:noProof/>
        </w:rPr>
        <w:t xml:space="preserve">; </w:t>
      </w:r>
      <w:hyperlink w:anchor="_ENREF_75" w:tooltip="Nielson, 1944 #249" w:history="1">
        <w:r w:rsidR="00FB5014">
          <w:rPr>
            <w:noProof/>
          </w:rPr>
          <w:t>Nielson, 1944</w:t>
        </w:r>
      </w:hyperlink>
      <w:r w:rsidR="00B7572A">
        <w:rPr>
          <w:noProof/>
        </w:rPr>
        <w:t>)</w:t>
      </w:r>
      <w:r w:rsidR="00301182" w:rsidRPr="00BC2AA1">
        <w:fldChar w:fldCharType="end"/>
      </w:r>
      <w:r w:rsidR="00954DB7">
        <w:t xml:space="preserve">. </w:t>
      </w:r>
      <w:r w:rsidRPr="00BC2AA1">
        <w:t xml:space="preserve">Ploidy levels are largely incompatible with crossing rates of less than 0.5% </w:t>
      </w:r>
      <w:r w:rsidR="00301182" w:rsidRPr="00BC2AA1">
        <w:fldChar w:fldCharType="begin"/>
      </w:r>
      <w:r w:rsidR="00B7572A">
        <w:instrText xml:space="preserve"> ADDIN EN.CITE &lt;EndNote&gt;&lt;Cite&gt;&lt;Author&gt;Taliaferro&lt;/Author&gt;&lt;Year&gt;1996&lt;/Year&gt;&lt;RecNum&gt;247&lt;/RecNum&gt;&lt;DisplayText&gt;(Taliaferro et al., 1996; Taliaferro and Hopkins, 1996)&lt;/DisplayText&gt;&lt;record&gt;&lt;rec-number&gt;247&lt;/rec-number&gt;&lt;foreign-keys&gt;&lt;key app="EN" db-id="9zfxt259rawwvce0pfa5efeuatdw0pz5va5z" timestamp="1323887730"&gt;247&lt;/key&gt;&lt;/foreign-keys&gt;&lt;ref-type name="Conference Proceedings"&gt;10&lt;/ref-type&gt;&lt;contributors&gt;&lt;authors&gt;&lt;author&gt;Taliaferro, C.M.&lt;/author&gt;&lt;author&gt;Hokins, A.A.&lt;/author&gt;&lt;author&gt;Anderson, M.P.&lt;/author&gt;&lt;author&gt;Anderson, J.A.&lt;/author&gt;&lt;/authors&gt;&lt;/contributors&gt;&lt;titles&gt;&lt;title&gt;Breeding and genetic studies in bermudagras and switchgrass&lt;/title&gt;&lt;secondary-title&gt;Proceedings of the 52nd Southern Pasture &amp;amp; Forage Crop Improvement Conference&lt;/secondary-title&gt;&lt;/titles&gt;&lt;pages&gt;41-52&lt;/pages&gt;&lt;dates&gt;&lt;year&gt;1996&lt;/year&gt;&lt;pub-dates&gt;&lt;date&gt;March 30 - April 2&lt;/date&gt;&lt;/pub-dates&gt;&lt;/dates&gt;&lt;pub-location&gt;Oklahoma City&lt;/pub-location&gt;&lt;urls&gt;&lt;/urls&gt;&lt;/record&gt;&lt;/Cite&gt;&lt;Cite&gt;&lt;Author&gt;Taliaferro&lt;/Author&gt;&lt;Year&gt;1996&lt;/Year&gt;&lt;RecNum&gt;246&lt;/RecNum&gt;&lt;record&gt;&lt;rec-number&gt;246&lt;/rec-number&gt;&lt;foreign-keys&gt;&lt;key app="EN" db-id="9zfxt259rawwvce0pfa5efeuatdw0pz5va5z" timestamp="1323887730"&gt;246&lt;/key&gt;&lt;/foreign-keys&gt;&lt;ref-type name="Conference Proceedings"&gt;10&lt;/ref-type&gt;&lt;contributors&gt;&lt;authors&gt;&lt;author&gt;Taliaferro, C.M.&lt;/author&gt;&lt;author&gt;Hopkins, A.A.&lt;/author&gt;&lt;/authors&gt;&lt;/contributors&gt;&lt;titles&gt;&lt;title&gt;Breeding characteristics and improvement potentials of switchgrass&lt;/title&gt;&lt;secondary-title&gt;Proceedings of the Third Liquid Fuel Conference:  Liquid Fuels and Industrial Products from Renewable Resources&lt;/secondary-title&gt;&lt;/titles&gt;&lt;pages&gt;2-9&lt;/pages&gt;&lt;dates&gt;&lt;year&gt;1996&lt;/year&gt;&lt;pub-dates&gt;&lt;date&gt;15-17 Sept.&lt;/date&gt;&lt;/pub-dates&gt;&lt;/dates&gt;&lt;pub-location&gt;Nashville&lt;/pub-location&gt;&lt;urls&gt;&lt;/urls&gt;&lt;/record&gt;&lt;/Cite&gt;&lt;/EndNote&gt;</w:instrText>
      </w:r>
      <w:r w:rsidR="00301182" w:rsidRPr="00BC2AA1">
        <w:fldChar w:fldCharType="separate"/>
      </w:r>
      <w:r w:rsidR="00B7572A">
        <w:rPr>
          <w:noProof/>
        </w:rPr>
        <w:t>(</w:t>
      </w:r>
      <w:hyperlink w:anchor="_ENREF_93" w:tooltip="Taliaferro, 1996 #247" w:history="1">
        <w:r w:rsidR="00FB5014">
          <w:rPr>
            <w:noProof/>
          </w:rPr>
          <w:t>Taliaferro et al., 1996</w:t>
        </w:r>
      </w:hyperlink>
      <w:r w:rsidR="00B7572A">
        <w:rPr>
          <w:noProof/>
        </w:rPr>
        <w:t xml:space="preserve">; </w:t>
      </w:r>
      <w:hyperlink w:anchor="_ENREF_94" w:tooltip="Taliaferro, 1996 #246" w:history="1">
        <w:r w:rsidR="00FB5014">
          <w:rPr>
            <w:noProof/>
          </w:rPr>
          <w:t>Taliaferro and Hopkins, 1996</w:t>
        </w:r>
      </w:hyperlink>
      <w:r w:rsidR="00B7572A">
        <w:rPr>
          <w:noProof/>
        </w:rPr>
        <w:t>)</w:t>
      </w:r>
      <w:r w:rsidR="00301182" w:rsidRPr="00BC2AA1">
        <w:fldChar w:fldCharType="end"/>
      </w:r>
      <w:r w:rsidR="00954DB7">
        <w:t xml:space="preserve">. </w:t>
      </w:r>
      <w:r w:rsidRPr="00BC2AA1">
        <w:t xml:space="preserve">Two distinct switchgrass ecotypes exist, lowland and upland </w:t>
      </w:r>
      <w:r w:rsidR="00301182" w:rsidRPr="00BC2AA1">
        <w:fldChar w:fldCharType="begin"/>
      </w:r>
      <w:r w:rsidR="00B7572A">
        <w:instrText xml:space="preserve"> ADDIN EN.CITE &lt;EndNote&gt;&lt;Cite&gt;&lt;Author&gt;Porter&lt;/Author&gt;&lt;Year&gt;1966&lt;/Year&gt;&lt;RecNum&gt;251&lt;/RecNum&gt;&lt;DisplayText&gt;(Brunken and Estes, 1975; Porter, 1966)&lt;/DisplayText&gt;&lt;record&gt;&lt;rec-number&gt;251&lt;/rec-number&gt;&lt;foreign-keys&gt;&lt;key app="EN" db-id="9zfxt259rawwvce0pfa5efeuatdw0pz5va5z" timestamp="1323887730"&gt;251&lt;/key&gt;&lt;/foreign-keys&gt;&lt;ref-type name="Journal Article"&gt;17&lt;/ref-type&gt;&lt;contributors&gt;&lt;authors&gt;&lt;author&gt;Porter, C.L. Jr&lt;/author&gt;&lt;/authors&gt;&lt;/contributors&gt;&lt;titles&gt;&lt;title&gt;&lt;style face="normal" font="default" size="100%"&gt;An analysis of variation between upland and lowland switchgrass, &lt;/style&gt;&lt;style face="italic" font="default" size="100%"&gt;Panicum virgatum&lt;/style&gt;&lt;style face="normal" font="default" size="100%"&gt; L., in central Oklahoma&lt;/style&gt;&lt;/title&gt;&lt;secondary-title&gt;Ecology&lt;/secondary-title&gt;&lt;/titles&gt;&lt;periodical&gt;&lt;full-title&gt;Ecology&lt;/full-title&gt;&lt;/periodical&gt;&lt;pages&gt;980-992&lt;/pages&gt;&lt;volume&gt;48&lt;/volume&gt;&lt;dates&gt;&lt;year&gt;1966&lt;/year&gt;&lt;/dates&gt;&lt;urls&gt;&lt;/urls&gt;&lt;/record&gt;&lt;/Cite&gt;&lt;Cite&gt;&lt;Author&gt;Brunken&lt;/Author&gt;&lt;Year&gt;1975&lt;/Year&gt;&lt;RecNum&gt;22&lt;/RecNum&gt;&lt;record&gt;&lt;rec-number&gt;22&lt;/rec-number&gt;&lt;foreign-keys&gt;&lt;key app="EN" db-id="sax2wrdsssrrrnetz9lvvd2xw25z5retvfpp"&gt;22&lt;/key&gt;&lt;/foreign-keys&gt;&lt;ref-type name="Journal Article"&gt;17&lt;/ref-type&gt;&lt;contributors&gt;&lt;authors&gt;&lt;author&gt;Brunken, J.N.&lt;/author&gt;&lt;author&gt;Estes, J.R.&lt;/author&gt;&lt;/authors&gt;&lt;/contributors&gt;&lt;titles&gt;&lt;title&gt;&lt;style face="normal" font="default" size="100%"&gt;Cytological and morphological variation in &lt;/style&gt;&lt;style face="italic" font="default" size="100%"&gt;Panicum virgatum&lt;/style&gt;&lt;style face="normal" font="default" size="100%"&gt; L.&lt;/style&gt;&lt;/title&gt;&lt;secondary-title&gt;Southwest Nat.&lt;/secondary-title&gt;&lt;/titles&gt;&lt;periodical&gt;&lt;full-title&gt;Southwest Nat.&lt;/full-title&gt;&lt;/periodical&gt;&lt;pages&gt;379-385&lt;/pages&gt;&lt;volume&gt;19&lt;/volume&gt;&lt;dates&gt;&lt;year&gt;1975&lt;/year&gt;&lt;/dates&gt;&lt;urls&gt;&lt;/urls&gt;&lt;/record&gt;&lt;/Cite&gt;&lt;/EndNote&gt;</w:instrText>
      </w:r>
      <w:r w:rsidR="00301182" w:rsidRPr="00BC2AA1">
        <w:fldChar w:fldCharType="separate"/>
      </w:r>
      <w:r w:rsidR="00B7572A">
        <w:rPr>
          <w:noProof/>
        </w:rPr>
        <w:t>(</w:t>
      </w:r>
      <w:hyperlink w:anchor="_ENREF_16" w:tooltip="Brunken, 1975 #22" w:history="1">
        <w:r w:rsidR="00FB5014">
          <w:rPr>
            <w:noProof/>
          </w:rPr>
          <w:t>Brunken and Estes, 1975</w:t>
        </w:r>
      </w:hyperlink>
      <w:r w:rsidR="00B7572A">
        <w:rPr>
          <w:noProof/>
        </w:rPr>
        <w:t xml:space="preserve">; </w:t>
      </w:r>
      <w:hyperlink w:anchor="_ENREF_79" w:tooltip="Porter, 1966 #251" w:history="1">
        <w:r w:rsidR="00FB5014">
          <w:rPr>
            <w:noProof/>
          </w:rPr>
          <w:t>Porter, 1966</w:t>
        </w:r>
      </w:hyperlink>
      <w:r w:rsidR="00B7572A">
        <w:rPr>
          <w:noProof/>
        </w:rPr>
        <w:t>)</w:t>
      </w:r>
      <w:r w:rsidR="00301182" w:rsidRPr="00BC2AA1">
        <w:fldChar w:fldCharType="end"/>
      </w:r>
      <w:r w:rsidR="00954DB7">
        <w:t xml:space="preserve">. </w:t>
      </w:r>
      <w:r w:rsidRPr="00BC2AA1">
        <w:t xml:space="preserve">Lowland plants </w:t>
      </w:r>
      <w:r w:rsidR="00F40B4A">
        <w:t xml:space="preserve">are </w:t>
      </w:r>
      <w:r w:rsidRPr="00BC2AA1">
        <w:t xml:space="preserve">tetraploids that are tall, thick-stemmed, vigorous, and adapted to wetter conditions </w:t>
      </w:r>
      <w:r w:rsidR="00301182" w:rsidRPr="00BC2AA1">
        <w:fldChar w:fldCharType="begin"/>
      </w:r>
      <w:r w:rsidRPr="00BC2AA1">
        <w:instrText xml:space="preserve"> ADDIN EN.CITE &lt;EndNote&gt;&lt;Cite&gt;&lt;Author&gt;Barnett&lt;/Author&gt;&lt;Year&gt;1967&lt;/Year&gt;&lt;RecNum&gt;24&lt;/RecNum&gt;&lt;DisplayText&gt;(Barnett and Carver, 1967)&lt;/DisplayText&gt;&lt;record&gt;&lt;rec-number&gt;24&lt;/rec-number&gt;&lt;foreign-keys&gt;&lt;key app="EN" db-id="sax2wrdsssrrrnetz9lvvd2xw25z5retvfpp"&gt;24&lt;/key&gt;&lt;/foreign-keys&gt;&lt;ref-type name="Journal Article"&gt;17&lt;/ref-type&gt;&lt;contributors&gt;&lt;authors&gt;&lt;author&gt;Barnett, F.L.&lt;/author&gt;&lt;author&gt;Carver, R.F.&lt;/author&gt;&lt;/authors&gt;&lt;/contributors&gt;&lt;titles&gt;&lt;title&gt;&lt;style face="normal" font="default" size="100%"&gt;Meiosis and pollen stainability in switchgrass, &lt;/style&gt;&lt;style face="italic" font="default" size="100%"&gt;Panicum virgatum&lt;/style&gt;&lt;style face="normal" font="default" size="100%"&gt; L. &lt;/style&gt;&lt;/title&gt;&lt;secondary-title&gt;Crop Science&lt;/secondary-title&gt;&lt;/titles&gt;&lt;periodical&gt;&lt;full-title&gt;Crop Science&lt;/full-title&gt;&lt;/periodical&gt;&lt;pages&gt;301-304&lt;/pages&gt;&lt;volume&gt;7&lt;/volume&gt;&lt;dates&gt;&lt;year&gt;1967&lt;/year&gt;&lt;/dates&gt;&lt;urls&gt;&lt;/urls&gt;&lt;/record&gt;&lt;/Cite&gt;&lt;/EndNote&gt;</w:instrText>
      </w:r>
      <w:r w:rsidR="00301182" w:rsidRPr="00BC2AA1">
        <w:fldChar w:fldCharType="separate"/>
      </w:r>
      <w:r w:rsidRPr="00BC2AA1">
        <w:rPr>
          <w:noProof/>
        </w:rPr>
        <w:t>(</w:t>
      </w:r>
      <w:hyperlink w:anchor="_ENREF_9" w:tooltip="Barnett, 1967 #24" w:history="1">
        <w:r w:rsidR="00FB5014" w:rsidRPr="00BC2AA1">
          <w:rPr>
            <w:noProof/>
          </w:rPr>
          <w:t>Barnett and Carver, 1967</w:t>
        </w:r>
      </w:hyperlink>
      <w:r w:rsidRPr="00BC2AA1">
        <w:rPr>
          <w:noProof/>
        </w:rPr>
        <w:t>)</w:t>
      </w:r>
      <w:r w:rsidR="00301182" w:rsidRPr="00BC2AA1">
        <w:fldChar w:fldCharType="end"/>
      </w:r>
      <w:r w:rsidRPr="00BC2AA1">
        <w:t xml:space="preserve">. Upland types </w:t>
      </w:r>
      <w:r w:rsidRPr="00BC2AA1">
        <w:lastRenderedPageBreak/>
        <w:t>are shorter, thinner-stemmed, adapted to drier conditions, and are either tetraploid or octaploid, with the majority being octaploid</w:t>
      </w:r>
      <w:r w:rsidR="00954DB7">
        <w:t xml:space="preserve">. </w:t>
      </w:r>
    </w:p>
    <w:p w14:paraId="259C64B9" w14:textId="3BBE101F" w:rsidR="004C7D65" w:rsidRDefault="004C7D65" w:rsidP="00C731BB">
      <w:pPr>
        <w:ind w:firstLine="720"/>
      </w:pPr>
      <w:r w:rsidRPr="00BC2AA1">
        <w:t xml:space="preserve">Switchgrass is highly competitive with a production life of 10-20 years </w:t>
      </w:r>
      <w:r w:rsidR="00301182" w:rsidRPr="00BC2AA1">
        <w:fldChar w:fldCharType="begin"/>
      </w:r>
      <w:r w:rsidR="00382C84">
        <w:instrText xml:space="preserve"> ADDIN EN.CITE &lt;EndNote&gt;&lt;Cite&gt;&lt;Author&gt;Garland&lt;/Author&gt;&lt;Year&gt;2008&lt;/Year&gt;&lt;RecNum&gt;242&lt;/RecNum&gt;&lt;DisplayText&gt;(Garland, 2008)&lt;/DisplayText&gt;&lt;record&gt;&lt;rec-number&gt;242&lt;/rec-number&gt;&lt;foreign-keys&gt;&lt;key app="EN" db-id="9zfxt259rawwvce0pfa5efeuatdw0pz5va5z" timestamp="1320085380"&gt;242&lt;/key&gt;&lt;/foreign-keys&gt;&lt;ref-type name="Pamphlet"&gt;24&lt;/ref-type&gt;&lt;contributors&gt;&lt;authors&gt;&lt;author&gt;Garland, C.D.&lt;/author&gt;&lt;/authors&gt;&lt;/contributors&gt;&lt;titles&gt;&lt;title&gt;Growing and harvesting switchgrass for ethanol production in Tennessee&lt;/title&gt;&lt;secondary-title&gt;UT Biofuels Initiative - SP701-A-5M-5/08&lt;/secondary-title&gt;&lt;/titles&gt;&lt;volume&gt;SP701-A-5M-5/08&lt;/volume&gt;&lt;dates&gt;&lt;year&gt;2008&lt;/year&gt;&lt;/dates&gt;&lt;pub-location&gt;Knoxville, TN&lt;/pub-location&gt;&lt;publisher&gt;UT Extension&lt;/publisher&gt;&lt;urls&gt;&lt;/urls&gt;&lt;/record&gt;&lt;/Cite&gt;&lt;/EndNote&gt;</w:instrText>
      </w:r>
      <w:r w:rsidR="00301182" w:rsidRPr="00BC2AA1">
        <w:fldChar w:fldCharType="separate"/>
      </w:r>
      <w:r w:rsidRPr="00BC2AA1">
        <w:rPr>
          <w:noProof/>
        </w:rPr>
        <w:t>(</w:t>
      </w:r>
      <w:hyperlink w:anchor="_ENREF_36" w:tooltip="Garland, 2008 #242" w:history="1">
        <w:r w:rsidR="00FB5014" w:rsidRPr="00BC2AA1">
          <w:rPr>
            <w:noProof/>
          </w:rPr>
          <w:t>Garland, 2008</w:t>
        </w:r>
      </w:hyperlink>
      <w:r w:rsidRPr="00BC2AA1">
        <w:rPr>
          <w:noProof/>
        </w:rPr>
        <w:t>)</w:t>
      </w:r>
      <w:r w:rsidR="00301182" w:rsidRPr="00BC2AA1">
        <w:fldChar w:fldCharType="end"/>
      </w:r>
      <w:r w:rsidRPr="00BC2AA1">
        <w:t>. Average expected yield in Tennessee is 13.45-17.93 Mg ha</w:t>
      </w:r>
      <w:r w:rsidRPr="00BC2AA1">
        <w:rPr>
          <w:vertAlign w:val="superscript"/>
        </w:rPr>
        <w:t>-1</w:t>
      </w:r>
      <w:r w:rsidRPr="00BC2AA1">
        <w:t xml:space="preserve"> (6-8 tons acre </w:t>
      </w:r>
      <w:r w:rsidRPr="00BC2AA1">
        <w:rPr>
          <w:vertAlign w:val="superscript"/>
        </w:rPr>
        <w:t>-1</w:t>
      </w:r>
      <w:r w:rsidRPr="00BC2AA1">
        <w:t>), with yields of approximately 30%, 70%, and 100% of maximum production in the first three years after establishment respectively</w:t>
      </w:r>
      <w:r w:rsidR="00954DB7">
        <w:t xml:space="preserve">. </w:t>
      </w:r>
      <w:r w:rsidRPr="00BC2AA1">
        <w:t>Average biomass yields usin</w:t>
      </w:r>
      <w:r>
        <w:t xml:space="preserve">g currently available cultivars </w:t>
      </w:r>
      <w:r w:rsidRPr="00BC2AA1">
        <w:t xml:space="preserve">are expected to produce </w:t>
      </w:r>
      <w:r>
        <w:t>between 3000 and 5000</w:t>
      </w:r>
      <w:r w:rsidRPr="00BC2AA1">
        <w:t xml:space="preserve"> L ethanol ha</w:t>
      </w:r>
      <w:r w:rsidRPr="00BC2AA1">
        <w:rPr>
          <w:vertAlign w:val="superscript"/>
        </w:rPr>
        <w:t>-1</w:t>
      </w:r>
      <w:r w:rsidR="000153BE">
        <w:rPr>
          <w:vertAlign w:val="superscript"/>
        </w:rPr>
        <w:t xml:space="preserve"> </w:t>
      </w:r>
      <w:r w:rsidR="00301182" w:rsidRPr="0073080A">
        <w:fldChar w:fldCharType="begin"/>
      </w:r>
      <w:r w:rsidR="00382C84">
        <w:instrText xml:space="preserve"> ADDIN EN.CITE &lt;EndNote&gt;&lt;Cite&gt;&lt;Author&gt;Keshwani&lt;/Author&gt;&lt;Year&gt;2009&lt;/Year&gt;&lt;RecNum&gt;274&lt;/RecNum&gt;&lt;DisplayText&gt;(Keshwani and Cheng, 2009)&lt;/DisplayText&gt;&lt;record&gt;&lt;rec-number&gt;274&lt;/rec-number&gt;&lt;foreign-keys&gt;&lt;key app="EN" db-id="9zfxt259rawwvce0pfa5efeuatdw0pz5va5z" timestamp="1329843887"&gt;274&lt;/key&gt;&lt;/foreign-keys&gt;&lt;ref-type name="Journal Article"&gt;17&lt;/ref-type&gt;&lt;contributors&gt;&lt;authors&gt;&lt;author&gt;Keshwani, D.R.&lt;/author&gt;&lt;author&gt;Cheng, J.J.&lt;/author&gt;&lt;/authors&gt;&lt;/contributors&gt;&lt;titles&gt;&lt;title&gt;Switchgrass for bioethanol and other value-added applications: a review&lt;/title&gt;&lt;secondary-title&gt;Bioresource Technology &lt;/secondary-title&gt;&lt;/titles&gt;&lt;periodical&gt;&lt;full-title&gt;Bioresource Technology&lt;/full-title&gt;&lt;/periodical&gt;&lt;pages&gt;1515-1523&lt;/pages&gt;&lt;volume&gt;100&lt;/volume&gt;&lt;section&gt;1515&lt;/section&gt;&lt;dates&gt;&lt;year&gt;2009&lt;/year&gt;&lt;/dates&gt;&lt;urls&gt;&lt;/urls&gt;&lt;/record&gt;&lt;/Cite&gt;&lt;/EndNote&gt;</w:instrText>
      </w:r>
      <w:r w:rsidR="00301182" w:rsidRPr="0073080A">
        <w:fldChar w:fldCharType="separate"/>
      </w:r>
      <w:r w:rsidRPr="0073080A">
        <w:rPr>
          <w:noProof/>
        </w:rPr>
        <w:t>(</w:t>
      </w:r>
      <w:hyperlink w:anchor="_ENREF_55" w:tooltip="Keshwani, 2009 #274" w:history="1">
        <w:r w:rsidR="00FB5014" w:rsidRPr="0073080A">
          <w:rPr>
            <w:noProof/>
          </w:rPr>
          <w:t>Keshwani and Cheng, 2009</w:t>
        </w:r>
      </w:hyperlink>
      <w:r w:rsidRPr="0073080A">
        <w:rPr>
          <w:noProof/>
        </w:rPr>
        <w:t>)</w:t>
      </w:r>
      <w:r w:rsidR="00301182" w:rsidRPr="0073080A">
        <w:fldChar w:fldCharType="end"/>
      </w:r>
      <w:r>
        <w:t>.</w:t>
      </w:r>
      <w:r w:rsidRPr="0073080A">
        <w:t xml:space="preserve"> </w:t>
      </w:r>
      <w:r>
        <w:t>Currently, most biofuel ethanol is starch or sugar-</w:t>
      </w:r>
      <w:r w:rsidR="000153BE">
        <w:t>derived;</w:t>
      </w:r>
      <w:r w:rsidRPr="008A6A13">
        <w:t xml:space="preserve"> however, this type of production may negatively impact food supplies</w:t>
      </w:r>
      <w:r>
        <w:t xml:space="preserve">. </w:t>
      </w:r>
      <w:r w:rsidRPr="008A6A13">
        <w:t>Crops, such as switchgrass, offer an alternative ethanol production source through fermentation of cellulosic material</w:t>
      </w:r>
      <w:r>
        <w:t xml:space="preserve"> </w:t>
      </w:r>
      <w:r w:rsidR="00301182">
        <w:fldChar w:fldCharType="begin"/>
      </w:r>
      <w:r w:rsidR="00382C84">
        <w:instrText xml:space="preserve"> ADDIN EN.CITE &lt;EndNote&gt;&lt;Cite&gt;&lt;Author&gt;McLaughlin&lt;/Author&gt;&lt;Year&gt;2005&lt;/Year&gt;&lt;RecNum&gt;245&lt;/RecNum&gt;&lt;DisplayText&gt;(McLaughlin and Kszos, 2005)&lt;/DisplayText&gt;&lt;record&gt;&lt;rec-number&gt;245&lt;/rec-number&gt;&lt;foreign-keys&gt;&lt;key app="EN" db-id="9zfxt259rawwvce0pfa5efeuatdw0pz5va5z" timestamp="1323887730"&gt;245&lt;/key&gt;&lt;/foreign-keys&gt;&lt;ref-type name="Journal Article"&gt;17&lt;/ref-type&gt;&lt;contributors&gt;&lt;authors&gt;&lt;author&gt;McLaughlin, S.B.&lt;/author&gt;&lt;author&gt;Kszos, L.A.&lt;/author&gt;&lt;/authors&gt;&lt;/contributors&gt;&lt;titles&gt;&lt;title&gt;&lt;style face="normal" font="default" size="100%"&gt;Development of switchgrass (&lt;/style&gt;&lt;style face="italic" font="default" size="100%"&gt;Panicum virgatum&lt;/style&gt;&lt;style face="normal" font="default" size="100%"&gt;) as a bioenergy feedstock in the United States&lt;/style&gt;&lt;/title&gt;&lt;secondary-title&gt;Biomass and Bioenergy&lt;/secondary-title&gt;&lt;/titles&gt;&lt;periodical&gt;&lt;full-title&gt;Biomass and Bioenergy&lt;/full-title&gt;&lt;/periodical&gt;&lt;pages&gt;515-535&lt;/pages&gt;&lt;volume&gt;28&lt;/volume&gt;&lt;dates&gt;&lt;year&gt;2005&lt;/year&gt;&lt;/dates&gt;&lt;urls&gt;&lt;/urls&gt;&lt;/record&gt;&lt;/Cite&gt;&lt;/EndNote&gt;</w:instrText>
      </w:r>
      <w:r w:rsidR="00301182">
        <w:fldChar w:fldCharType="separate"/>
      </w:r>
      <w:r>
        <w:rPr>
          <w:noProof/>
        </w:rPr>
        <w:t>(</w:t>
      </w:r>
      <w:hyperlink w:anchor="_ENREF_69" w:tooltip="McLaughlin, 2005 #245" w:history="1">
        <w:r w:rsidR="00FB5014">
          <w:rPr>
            <w:noProof/>
          </w:rPr>
          <w:t>McLaughlin and Kszos, 2005</w:t>
        </w:r>
      </w:hyperlink>
      <w:r>
        <w:rPr>
          <w:noProof/>
        </w:rPr>
        <w:t>)</w:t>
      </w:r>
      <w:r w:rsidR="00301182">
        <w:fldChar w:fldCharType="end"/>
      </w:r>
      <w:r w:rsidRPr="008A6A13">
        <w:t>. Cellulosic ethanol is derived from the plant cell wall, which functions as a barrier to pathogens and insects and provides structural integrity to the plant</w:t>
      </w:r>
      <w:r>
        <w:t xml:space="preserve"> </w:t>
      </w:r>
      <w:r w:rsidR="00301182">
        <w:fldChar w:fldCharType="begin"/>
      </w:r>
      <w:r w:rsidR="007F56C3">
        <w:instrText xml:space="preserve"> ADDIN EN.CITE &lt;EndNote&gt;&lt;Cite&gt;&lt;Author&gt;Carpita&lt;/Author&gt;&lt;Year&gt;2002&lt;/Year&gt;&lt;RecNum&gt;271&lt;/RecNum&gt;&lt;DisplayText&gt;(Carpita and McCann, 2002)&lt;/DisplayText&gt;&lt;record&gt;&lt;rec-number&gt;271&lt;/rec-number&gt;&lt;foreign-keys&gt;&lt;key app="EN" db-id="9zfxt259rawwvce0pfa5efeuatdw0pz5va5z" timestamp="1329839258"&gt;271&lt;/key&gt;&lt;/foreign-keys&gt;&lt;ref-type name="Book"&gt;6&lt;/ref-type&gt;&lt;contributors&gt;&lt;authors&gt;&lt;author&gt;Carpita, N.&lt;/author&gt;&lt;author&gt;McCann, M.&lt;/author&gt;&lt;/authors&gt;&lt;secondary-authors&gt;&lt;author&gt;Buchanan, B.&lt;/author&gt;&lt;author&gt;Gruissem, W.&lt;/author&gt;&lt;author&gt;Jones, R.L.&lt;/author&gt;&lt;/secondary-authors&gt;&lt;/contributors&gt;&lt;titles&gt;&lt;title&gt;Biochemistry and Molecular Biology of Plants. &lt;/title&gt;&lt;/titles&gt;&lt;dates&gt;&lt;year&gt;2002&lt;/year&gt;&lt;/dates&gt;&lt;pub-location&gt;New Jersey&lt;/pub-location&gt;&lt;publisher&gt;John Wiley &amp;amp; Sons&lt;/publisher&gt;&lt;urls&gt;&lt;/urls&gt;&lt;/record&gt;&lt;/Cite&gt;&lt;/EndNote&gt;</w:instrText>
      </w:r>
      <w:r w:rsidR="00301182">
        <w:fldChar w:fldCharType="separate"/>
      </w:r>
      <w:r>
        <w:rPr>
          <w:noProof/>
        </w:rPr>
        <w:t>(</w:t>
      </w:r>
      <w:hyperlink w:anchor="_ENREF_19" w:tooltip="Carpita, 2002 #271" w:history="1">
        <w:r w:rsidR="00FB5014">
          <w:rPr>
            <w:noProof/>
          </w:rPr>
          <w:t>Carpita and McCann, 2002</w:t>
        </w:r>
      </w:hyperlink>
      <w:r>
        <w:rPr>
          <w:noProof/>
        </w:rPr>
        <w:t>)</w:t>
      </w:r>
      <w:r w:rsidR="00301182">
        <w:fldChar w:fldCharType="end"/>
      </w:r>
      <w:r w:rsidRPr="008A6A13">
        <w:t xml:space="preserve">. Cell walls consist of a primary cell wall and a secondary cell wall. The basic primary cell wall structure is composed of a cellulose scaffold </w:t>
      </w:r>
      <w:r>
        <w:t xml:space="preserve">that is cross-linked by glycans </w:t>
      </w:r>
      <w:r w:rsidRPr="008A6A13">
        <w:t>embedded in</w:t>
      </w:r>
      <w:r w:rsidR="000153BE">
        <w:t xml:space="preserve"> a pectin matrix (Type I walls)</w:t>
      </w:r>
      <w:r w:rsidRPr="008A6A13">
        <w:t xml:space="preserve"> or glucoronoarabinoxylan without pectin or other structural proteins (Type II walls). Polysaccharides, including cellulose, hemicellulose, and pectin, are also contained in the cell wall and are formed f</w:t>
      </w:r>
      <w:r>
        <w:t xml:space="preserve">rom varying sugar combinations ultimately </w:t>
      </w:r>
      <w:r w:rsidR="00C731BB">
        <w:t>derived from glucose</w:t>
      </w:r>
      <w:r w:rsidRPr="008A6A13">
        <w:t>. The secondary plant wall is composed of cellulose and hemicellulose embedded in lignin, which provides the necessary rigidity for structural integrity. The strong links between lignin and cellulose or hemicellulose require extreme heat or chemical treatment to break down and provide access to the fermentable polysaccharides. Fermentation of these sugars results in the production of ethanol.</w:t>
      </w:r>
    </w:p>
    <w:p w14:paraId="7BD0C267" w14:textId="77777777" w:rsidR="004C7D65" w:rsidRDefault="004C7D65" w:rsidP="009B24A0">
      <w:pPr>
        <w:pStyle w:val="Heading2"/>
      </w:pPr>
      <w:bookmarkStart w:id="3" w:name="_Toc317593655"/>
      <w:bookmarkStart w:id="4" w:name="_Toc404069809"/>
      <w:r>
        <w:lastRenderedPageBreak/>
        <w:t>Switchgrass Disease</w:t>
      </w:r>
      <w:bookmarkEnd w:id="3"/>
      <w:bookmarkEnd w:id="4"/>
    </w:p>
    <w:p w14:paraId="12BEE846" w14:textId="1AE8A618" w:rsidR="004C7D65" w:rsidRDefault="004C7D65" w:rsidP="00F95441">
      <w:pPr>
        <w:ind w:firstLine="720"/>
        <w:rPr>
          <w:rFonts w:cs="Times New Roman"/>
        </w:rPr>
      </w:pPr>
      <w:r w:rsidRPr="00BC2AA1">
        <w:rPr>
          <w:rFonts w:cs="Times New Roman"/>
        </w:rPr>
        <w:t>The impact of reduced lignin or increased ethanol production potential on general plant endurance when faced with biotic stresses is largely unknown. Likewise, the impact of these stresses on ethanol pr</w:t>
      </w:r>
      <w:r>
        <w:rPr>
          <w:rFonts w:cs="Times New Roman"/>
        </w:rPr>
        <w:t xml:space="preserve">oduction potential is unknown. </w:t>
      </w:r>
      <w:r w:rsidRPr="00BC2AA1">
        <w:rPr>
          <w:rFonts w:cs="Times New Roman"/>
        </w:rPr>
        <w:t xml:space="preserve">Switchgrass was chosen as an ideal herbaceous energy crop, in part, for its production ability under management systems with limited inputs </w:t>
      </w:r>
      <w:r w:rsidR="00301182" w:rsidRPr="00BC2AA1">
        <w:rPr>
          <w:rFonts w:cs="Times New Roman"/>
        </w:rPr>
        <w:fldChar w:fldCharType="begin"/>
      </w:r>
      <w:r w:rsidR="00382C84">
        <w:rPr>
          <w:rFonts w:cs="Times New Roman"/>
        </w:rPr>
        <w:instrText xml:space="preserve"> ADDIN EN.CITE &lt;EndNote&gt;&lt;Cite&gt;&lt;Author&gt;McLaughlin&lt;/Author&gt;&lt;Year&gt;2005&lt;/Year&gt;&lt;RecNum&gt;245&lt;/RecNum&gt;&lt;DisplayText&gt;(McLaughlin and Kszos, 2005)&lt;/DisplayText&gt;&lt;record&gt;&lt;rec-number&gt;245&lt;/rec-number&gt;&lt;foreign-keys&gt;&lt;key app="EN" db-id="9zfxt259rawwvce0pfa5efeuatdw0pz5va5z" timestamp="1323887730"&gt;245&lt;/key&gt;&lt;/foreign-keys&gt;&lt;ref-type name="Journal Article"&gt;17&lt;/ref-type&gt;&lt;contributors&gt;&lt;authors&gt;&lt;author&gt;McLaughlin, S.B.&lt;/author&gt;&lt;author&gt;Kszos, L.A.&lt;/author&gt;&lt;/authors&gt;&lt;/contributors&gt;&lt;titles&gt;&lt;title&gt;&lt;style face="normal" font="default" size="100%"&gt;Development of switchgrass (&lt;/style&gt;&lt;style face="italic" font="default" size="100%"&gt;Panicum virgatum&lt;/style&gt;&lt;style face="normal" font="default" size="100%"&gt;) as a bioenergy feedstock in the United States&lt;/style&gt;&lt;/title&gt;&lt;secondary-title&gt;Biomass and Bioenergy&lt;/secondary-title&gt;&lt;/titles&gt;&lt;periodical&gt;&lt;full-title&gt;Biomass and Bioenergy&lt;/full-title&gt;&lt;/periodical&gt;&lt;pages&gt;515-535&lt;/pages&gt;&lt;volume&gt;28&lt;/volume&gt;&lt;dates&gt;&lt;year&gt;2005&lt;/year&gt;&lt;/dates&gt;&lt;urls&gt;&lt;/urls&gt;&lt;/record&gt;&lt;/Cite&gt;&lt;/EndNote&gt;</w:instrText>
      </w:r>
      <w:r w:rsidR="00301182" w:rsidRPr="00BC2AA1">
        <w:rPr>
          <w:rFonts w:cs="Times New Roman"/>
        </w:rPr>
        <w:fldChar w:fldCharType="separate"/>
      </w:r>
      <w:r w:rsidRPr="00BC2AA1">
        <w:rPr>
          <w:rFonts w:cs="Times New Roman"/>
          <w:noProof/>
        </w:rPr>
        <w:t>(</w:t>
      </w:r>
      <w:hyperlink w:anchor="_ENREF_69" w:tooltip="McLaughlin, 2005 #245" w:history="1">
        <w:r w:rsidR="00FB5014" w:rsidRPr="00BC2AA1">
          <w:rPr>
            <w:rFonts w:cs="Times New Roman"/>
            <w:noProof/>
          </w:rPr>
          <w:t>McLaughlin and Kszos, 2005</w:t>
        </w:r>
      </w:hyperlink>
      <w:r w:rsidRPr="00BC2AA1">
        <w:rPr>
          <w:rFonts w:cs="Times New Roman"/>
          <w:noProof/>
        </w:rPr>
        <w:t>)</w:t>
      </w:r>
      <w:r w:rsidR="00301182" w:rsidRPr="00BC2AA1">
        <w:rPr>
          <w:rFonts w:cs="Times New Roman"/>
        </w:rPr>
        <w:fldChar w:fldCharType="end"/>
      </w:r>
      <w:r w:rsidR="00954DB7">
        <w:rPr>
          <w:rFonts w:cs="Times New Roman"/>
        </w:rPr>
        <w:t xml:space="preserve">. </w:t>
      </w:r>
      <w:r w:rsidRPr="00BC2AA1">
        <w:rPr>
          <w:rFonts w:cs="Times New Roman"/>
        </w:rPr>
        <w:t>Few reports of switchgrass disease exist prior to the adve</w:t>
      </w:r>
      <w:r w:rsidR="00182A8D">
        <w:rPr>
          <w:rFonts w:cs="Times New Roman"/>
        </w:rPr>
        <w:t>nt of its use as a biofuel crop;</w:t>
      </w:r>
      <w:r w:rsidRPr="00BC2AA1">
        <w:rPr>
          <w:rFonts w:cs="Times New Roman"/>
        </w:rPr>
        <w:t xml:space="preserve"> however, concern over potentially significant disease problems resulting from increased acreage and production in monoculture have led to further examination of switchgrass pathogen susceptibility. </w:t>
      </w:r>
    </w:p>
    <w:p w14:paraId="40E18CD6" w14:textId="01E2D775" w:rsidR="004C7D65" w:rsidRPr="00BC2AA1" w:rsidRDefault="004C7D65" w:rsidP="00F95441">
      <w:pPr>
        <w:ind w:firstLine="720"/>
        <w:rPr>
          <w:rFonts w:cs="Times New Roman"/>
        </w:rPr>
      </w:pPr>
      <w:r w:rsidRPr="00BC2AA1">
        <w:rPr>
          <w:rFonts w:cs="Times New Roman"/>
        </w:rPr>
        <w:t>A number of diseases to which switchgrass is susceptible have been identified</w:t>
      </w:r>
      <w:r w:rsidR="00954DB7">
        <w:rPr>
          <w:rFonts w:cs="Times New Roman"/>
        </w:rPr>
        <w:t xml:space="preserve">. </w:t>
      </w:r>
      <w:r w:rsidRPr="00BC2AA1">
        <w:rPr>
          <w:rFonts w:cs="Times New Roman"/>
        </w:rPr>
        <w:t>The most frequently cited of these are anthracnose</w:t>
      </w:r>
      <w:r>
        <w:rPr>
          <w:rFonts w:cs="Times New Roman"/>
        </w:rPr>
        <w:t xml:space="preserve"> (</w:t>
      </w:r>
      <w:r w:rsidRPr="00BC2AA1">
        <w:rPr>
          <w:rFonts w:cs="Times New Roman"/>
          <w:i/>
        </w:rPr>
        <w:t>Colletotrichum navitas</w:t>
      </w:r>
      <w:r w:rsidRPr="00BC2AA1">
        <w:rPr>
          <w:rFonts w:cs="Times New Roman"/>
        </w:rPr>
        <w:t xml:space="preserve"> </w:t>
      </w:r>
      <w:r w:rsidR="00301182" w:rsidRPr="00BC2AA1">
        <w:rPr>
          <w:rFonts w:cs="Times New Roman"/>
        </w:rPr>
        <w:fldChar w:fldCharType="begin"/>
      </w:r>
      <w:r w:rsidR="00382C84">
        <w:rPr>
          <w:rFonts w:cs="Times New Roman"/>
        </w:rPr>
        <w:instrText xml:space="preserve"> ADDIN EN.CITE &lt;EndNote&gt;&lt;Cite&gt;&lt;Author&gt;Crouch&lt;/Author&gt;&lt;Year&gt;2009&lt;/Year&gt;&lt;RecNum&gt;206&lt;/RecNum&gt;&lt;DisplayText&gt;(Crouch et al., 2009)&lt;/DisplayText&gt;&lt;record&gt;&lt;rec-number&gt;206&lt;/rec-number&gt;&lt;foreign-keys&gt;&lt;key app="EN" db-id="9zfxt259rawwvce0pfa5efeuatdw0pz5va5z" timestamp="1318345619"&gt;206&lt;/key&gt;&lt;/foreign-keys&gt;&lt;ref-type name="Journal Article"&gt;17&lt;/ref-type&gt;&lt;contributors&gt;&lt;authors&gt;&lt;author&gt;Crouch, J.A.&lt;/author&gt;&lt;author&gt;Beirn, L.A.&lt;/author&gt;&lt;author&gt;Cortese, L.M.&lt;/author&gt;&lt;author&gt;Bonos, S.A.&lt;/author&gt;&lt;author&gt;Clarke, B. B.&lt;/author&gt;&lt;/authors&gt;&lt;/contributors&gt;&lt;titles&gt;&lt;title&gt;&lt;style face="normal" font="default" size="100%"&gt;Anthracnose disease of switchgrass caused by the novel fungal species &lt;/style&gt;&lt;style face="italic" font="default" size="100%"&gt;Colletotrichum navitas&lt;/style&gt;&lt;/title&gt;&lt;secondary-title&gt;Mycol. Res.&lt;/secondary-title&gt;&lt;/titles&gt;&lt;periodical&gt;&lt;full-title&gt;Mycol. Res.&lt;/full-title&gt;&lt;/periodical&gt;&lt;dates&gt;&lt;year&gt;2009&lt;/year&gt;&lt;/dates&gt;&lt;urls&gt;&lt;/urls&gt;&lt;electronic-resource-num&gt;10.1016/jmycres.2009.09.010&lt;/electronic-resource-num&gt;&lt;/record&gt;&lt;/Cite&gt;&lt;/EndNote&gt;</w:instrText>
      </w:r>
      <w:r w:rsidR="00301182" w:rsidRPr="00BC2AA1">
        <w:rPr>
          <w:rFonts w:cs="Times New Roman"/>
        </w:rPr>
        <w:fldChar w:fldCharType="separate"/>
      </w:r>
      <w:r w:rsidRPr="00BC2AA1">
        <w:rPr>
          <w:rFonts w:cs="Times New Roman"/>
          <w:noProof/>
        </w:rPr>
        <w:t>(</w:t>
      </w:r>
      <w:hyperlink w:anchor="_ENREF_27" w:tooltip="Crouch, 2009 #206" w:history="1">
        <w:r w:rsidR="00FB5014" w:rsidRPr="00BC2AA1">
          <w:rPr>
            <w:rFonts w:cs="Times New Roman"/>
            <w:noProof/>
          </w:rPr>
          <w:t>Crouch et al., 2009</w:t>
        </w:r>
      </w:hyperlink>
      <w:r w:rsidRPr="00BC2AA1">
        <w:rPr>
          <w:rFonts w:cs="Times New Roman"/>
          <w:noProof/>
        </w:rPr>
        <w:t>)</w:t>
      </w:r>
      <w:r w:rsidR="00301182" w:rsidRPr="00BC2AA1">
        <w:rPr>
          <w:rFonts w:cs="Times New Roman"/>
        </w:rPr>
        <w:fldChar w:fldCharType="end"/>
      </w:r>
      <w:r>
        <w:rPr>
          <w:rFonts w:cs="Times New Roman"/>
        </w:rPr>
        <w:t xml:space="preserve">, previously </w:t>
      </w:r>
      <w:r w:rsidRPr="00BC2AA1">
        <w:rPr>
          <w:rFonts w:cs="Times New Roman"/>
          <w:i/>
        </w:rPr>
        <w:t xml:space="preserve">Colletotrichum graminocola </w:t>
      </w:r>
      <w:r w:rsidRPr="00BC2AA1">
        <w:rPr>
          <w:rFonts w:cs="Times New Roman"/>
        </w:rPr>
        <w:t xml:space="preserve">(Ces) G.W. Wills </w:t>
      </w:r>
      <w:r w:rsidR="00301182" w:rsidRPr="00BC2AA1">
        <w:rPr>
          <w:rFonts w:cs="Times New Roman"/>
        </w:rPr>
        <w:fldChar w:fldCharType="begin">
          <w:fldData xml:space="preserve">PEVuZE5vdGU+PENpdGU+PEF1dGhvcj5HcmF2ZXJ0PC9BdXRob3I+PFllYXI+MjAwMjwvWWVhcj48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</w:fldData>
        </w:fldChar>
      </w:r>
      <w:r w:rsidR="00B7572A">
        <w:rPr>
          <w:rFonts w:cs="Times New Roman"/>
        </w:rPr>
        <w:instrText xml:space="preserve"> ADDIN EN.CITE </w:instrText>
      </w:r>
      <w:r w:rsidR="00B7572A">
        <w:rPr>
          <w:rFonts w:cs="Times New Roman"/>
        </w:rPr>
        <w:fldChar w:fldCharType="begin">
          <w:fldData xml:space="preserve">PEVuZE5vdGU+PENpdGU+PEF1dGhvcj5HcmF2ZXJ0PC9BdXRob3I+PFllYXI+MjAwMjwvWWVhcj48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</w:fldData>
        </w:fldChar>
      </w:r>
      <w:r w:rsidR="00B7572A">
        <w:rPr>
          <w:rFonts w:cs="Times New Roman"/>
        </w:rPr>
        <w:instrText xml:space="preserve"> ADDIN EN.CITE.DATA </w:instrText>
      </w:r>
      <w:r w:rsidR="00B7572A">
        <w:rPr>
          <w:rFonts w:cs="Times New Roman"/>
        </w:rPr>
      </w:r>
      <w:r w:rsidR="00B7572A">
        <w:rPr>
          <w:rFonts w:cs="Times New Roman"/>
        </w:rPr>
        <w:fldChar w:fldCharType="end"/>
      </w:r>
      <w:r w:rsidR="00301182" w:rsidRPr="00BC2AA1">
        <w:rPr>
          <w:rFonts w:cs="Times New Roman"/>
        </w:rPr>
      </w:r>
      <w:r w:rsidR="00301182" w:rsidRPr="00BC2AA1">
        <w:rPr>
          <w:rFonts w:cs="Times New Roman"/>
        </w:rPr>
        <w:fldChar w:fldCharType="separate"/>
      </w:r>
      <w:r w:rsidR="00B7572A">
        <w:rPr>
          <w:rFonts w:cs="Times New Roman"/>
          <w:noProof/>
        </w:rPr>
        <w:t>(</w:t>
      </w:r>
      <w:hyperlink w:anchor="_ENREF_38" w:tooltip="Gravert, 2002 #207" w:history="1">
        <w:r w:rsidR="00FB5014">
          <w:rPr>
            <w:rFonts w:cs="Times New Roman"/>
            <w:noProof/>
          </w:rPr>
          <w:t>Gravert and Munkvold, 2002</w:t>
        </w:r>
      </w:hyperlink>
      <w:r w:rsidR="00B7572A">
        <w:rPr>
          <w:rFonts w:cs="Times New Roman"/>
          <w:noProof/>
        </w:rPr>
        <w:t xml:space="preserve">; </w:t>
      </w:r>
      <w:hyperlink w:anchor="_ENREF_62" w:tooltip="Li, 2009 #210" w:history="1">
        <w:r w:rsidR="00FB5014">
          <w:rPr>
            <w:rFonts w:cs="Times New Roman"/>
            <w:noProof/>
          </w:rPr>
          <w:t>Li et al., 2009</w:t>
        </w:r>
      </w:hyperlink>
      <w:r w:rsidR="00B7572A">
        <w:rPr>
          <w:rFonts w:cs="Times New Roman"/>
          <w:noProof/>
        </w:rPr>
        <w:t xml:space="preserve">; </w:t>
      </w:r>
      <w:hyperlink w:anchor="_ENREF_85" w:tooltip="Sanderson, 2008 #209" w:history="1">
        <w:r w:rsidR="00FB5014">
          <w:rPr>
            <w:rFonts w:cs="Times New Roman"/>
            <w:noProof/>
          </w:rPr>
          <w:t>Sanderson, 2008</w:t>
        </w:r>
      </w:hyperlink>
      <w:r w:rsidR="00B7572A">
        <w:rPr>
          <w:rFonts w:cs="Times New Roman"/>
          <w:noProof/>
        </w:rPr>
        <w:t xml:space="preserve">; </w:t>
      </w:r>
      <w:hyperlink w:anchor="_ENREF_90" w:tooltip="Sprague, 1950 #208" w:history="1">
        <w:r w:rsidR="00FB5014">
          <w:rPr>
            <w:rFonts w:cs="Times New Roman"/>
            <w:noProof/>
          </w:rPr>
          <w:t>Sprague, 1950</w:t>
        </w:r>
      </w:hyperlink>
      <w:r w:rsidR="00B7572A">
        <w:rPr>
          <w:rFonts w:cs="Times New Roman"/>
          <w:noProof/>
        </w:rPr>
        <w:t>)</w:t>
      </w:r>
      <w:r w:rsidR="00301182" w:rsidRPr="00BC2AA1">
        <w:rPr>
          <w:rFonts w:cs="Times New Roman"/>
        </w:rPr>
        <w:fldChar w:fldCharType="end"/>
      </w:r>
      <w:r>
        <w:rPr>
          <w:rFonts w:cs="Times New Roman"/>
        </w:rPr>
        <w:t>)</w:t>
      </w:r>
      <w:r w:rsidRPr="00BC2AA1">
        <w:rPr>
          <w:rFonts w:cs="Times New Roman"/>
        </w:rPr>
        <w:t xml:space="preserve">, </w:t>
      </w:r>
      <w:r w:rsidRPr="00BC2AA1">
        <w:rPr>
          <w:rFonts w:cs="Times New Roman"/>
          <w:i/>
        </w:rPr>
        <w:t xml:space="preserve">Bipolaris </w:t>
      </w:r>
      <w:r w:rsidRPr="00BC2AA1">
        <w:rPr>
          <w:rFonts w:cs="Times New Roman"/>
        </w:rPr>
        <w:t>species</w:t>
      </w:r>
      <w:r>
        <w:rPr>
          <w:rFonts w:cs="Times New Roman"/>
        </w:rPr>
        <w:t xml:space="preserve"> (</w:t>
      </w:r>
      <w:r w:rsidRPr="00BC2AA1">
        <w:rPr>
          <w:rFonts w:cs="Times New Roman"/>
          <w:i/>
        </w:rPr>
        <w:t>Bipolaris sorokiniana</w:t>
      </w:r>
      <w:r w:rsidRPr="00BC2AA1">
        <w:rPr>
          <w:rFonts w:cs="Times New Roman"/>
        </w:rPr>
        <w:t xml:space="preserve"> (Sacc.) Shoemaker</w:t>
      </w:r>
      <w:r>
        <w:rPr>
          <w:rFonts w:cs="Times New Roman"/>
        </w:rPr>
        <w:t xml:space="preserve">, previously </w:t>
      </w:r>
      <w:r w:rsidRPr="00BC2AA1">
        <w:rPr>
          <w:rFonts w:cs="Times New Roman"/>
          <w:i/>
        </w:rPr>
        <w:t>Helminthosporium sativum</w:t>
      </w:r>
      <w:r w:rsidRPr="00BC2AA1">
        <w:rPr>
          <w:rFonts w:cs="Times New Roman"/>
        </w:rPr>
        <w:t xml:space="preserve">, </w:t>
      </w:r>
      <w:r w:rsidR="00301182" w:rsidRPr="00BC2AA1">
        <w:rPr>
          <w:rFonts w:cs="Times New Roman"/>
        </w:rPr>
        <w:fldChar w:fldCharType="begin">
          <w:fldData xml:space="preserve">PEVuZE5vdGU+PENpdGU+PEF1dGhvcj5HcmF2ZXJ0PC9BdXRob3I+PFllYXI+MjAwMjwvWWVhcj48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</w:fldData>
        </w:fldChar>
      </w:r>
      <w:r w:rsidR="00E20B7A">
        <w:rPr>
          <w:rFonts w:cs="Times New Roman"/>
        </w:rPr>
        <w:instrText xml:space="preserve"> ADDIN EN.CITE </w:instrText>
      </w:r>
      <w:r w:rsidR="00E20B7A">
        <w:rPr>
          <w:rFonts w:cs="Times New Roman"/>
        </w:rPr>
        <w:fldChar w:fldCharType="begin">
          <w:fldData xml:space="preserve">PEVuZE5vdGU+PENpdGU+PEF1dGhvcj5HcmF2ZXJ0PC9BdXRob3I+PFllYXI+MjAwMjwvWWVhcj48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</w:fldData>
        </w:fldChar>
      </w:r>
      <w:r w:rsidR="00E20B7A">
        <w:rPr>
          <w:rFonts w:cs="Times New Roman"/>
        </w:rPr>
        <w:instrText xml:space="preserve"> ADDIN EN.CITE.DATA </w:instrText>
      </w:r>
      <w:r w:rsidR="00E20B7A">
        <w:rPr>
          <w:rFonts w:cs="Times New Roman"/>
        </w:rPr>
      </w:r>
      <w:r w:rsidR="00E20B7A">
        <w:rPr>
          <w:rFonts w:cs="Times New Roman"/>
        </w:rPr>
        <w:fldChar w:fldCharType="end"/>
      </w:r>
      <w:r w:rsidR="00301182" w:rsidRPr="00BC2AA1">
        <w:rPr>
          <w:rFonts w:cs="Times New Roman"/>
        </w:rPr>
      </w:r>
      <w:r w:rsidR="00301182" w:rsidRPr="00BC2AA1">
        <w:rPr>
          <w:rFonts w:cs="Times New Roman"/>
        </w:rPr>
        <w:fldChar w:fldCharType="separate"/>
      </w:r>
      <w:r w:rsidR="00B7572A">
        <w:rPr>
          <w:rFonts w:cs="Times New Roman"/>
          <w:noProof/>
        </w:rPr>
        <w:t>(</w:t>
      </w:r>
      <w:hyperlink w:anchor="_ENREF_34" w:tooltip="Farr, 1995 #211" w:history="1">
        <w:r w:rsidR="00FB5014">
          <w:rPr>
            <w:rFonts w:cs="Times New Roman"/>
            <w:noProof/>
          </w:rPr>
          <w:t>Farr et al., 1995</w:t>
        </w:r>
      </w:hyperlink>
      <w:r w:rsidR="00B7572A">
        <w:rPr>
          <w:rFonts w:cs="Times New Roman"/>
          <w:noProof/>
        </w:rPr>
        <w:t xml:space="preserve">; </w:t>
      </w:r>
      <w:hyperlink w:anchor="_ENREF_38" w:tooltip="Gravert, 2002 #207" w:history="1">
        <w:r w:rsidR="00FB5014">
          <w:rPr>
            <w:rFonts w:cs="Times New Roman"/>
            <w:noProof/>
          </w:rPr>
          <w:t>Gravert and Munkvold, 2002</w:t>
        </w:r>
      </w:hyperlink>
      <w:r w:rsidR="00B7572A">
        <w:rPr>
          <w:rFonts w:cs="Times New Roman"/>
          <w:noProof/>
        </w:rPr>
        <w:t xml:space="preserve">; </w:t>
      </w:r>
      <w:hyperlink w:anchor="_ENREF_58" w:tooltip="Krupinsky, 2004 #213" w:history="1">
        <w:r w:rsidR="00FB5014">
          <w:rPr>
            <w:rFonts w:cs="Times New Roman"/>
            <w:noProof/>
          </w:rPr>
          <w:t>Krupinsky et al., 2004</w:t>
        </w:r>
      </w:hyperlink>
      <w:r w:rsidR="00B7572A">
        <w:rPr>
          <w:rFonts w:cs="Times New Roman"/>
          <w:noProof/>
        </w:rPr>
        <w:t xml:space="preserve">; </w:t>
      </w:r>
      <w:hyperlink w:anchor="_ENREF_109" w:tooltip="Zeiders, 1984 #212" w:history="1">
        <w:r w:rsidR="00FB5014">
          <w:rPr>
            <w:rFonts w:cs="Times New Roman"/>
            <w:noProof/>
          </w:rPr>
          <w:t>Zeiders, 1984</w:t>
        </w:r>
      </w:hyperlink>
      <w:r w:rsidR="00B7572A">
        <w:rPr>
          <w:rFonts w:cs="Times New Roman"/>
          <w:noProof/>
        </w:rPr>
        <w:t>)</w:t>
      </w:r>
      <w:r w:rsidR="00301182" w:rsidRPr="00BC2AA1">
        <w:rPr>
          <w:rFonts w:cs="Times New Roman"/>
        </w:rPr>
        <w:fldChar w:fldCharType="end"/>
      </w:r>
      <w:r w:rsidRPr="00BC2AA1">
        <w:rPr>
          <w:rFonts w:cs="Times New Roman"/>
        </w:rPr>
        <w:t xml:space="preserve"> </w:t>
      </w:r>
      <w:r w:rsidRPr="00BC2AA1">
        <w:rPr>
          <w:rFonts w:cs="Times New Roman"/>
          <w:i/>
        </w:rPr>
        <w:t>B. oryzae</w:t>
      </w:r>
      <w:r w:rsidRPr="00BC2AA1">
        <w:rPr>
          <w:rFonts w:cs="Times New Roman"/>
        </w:rPr>
        <w:t xml:space="preserve"> </w:t>
      </w:r>
      <w:r w:rsidR="00301182" w:rsidRPr="00BC2AA1">
        <w:rPr>
          <w:rFonts w:cs="Times New Roman"/>
        </w:rPr>
        <w:fldChar w:fldCharType="begin"/>
      </w:r>
      <w:r w:rsidR="00E20B7A">
        <w:rPr>
          <w:rFonts w:cs="Times New Roman"/>
        </w:rPr>
        <w:instrText xml:space="preserve"> ADDIN EN.CITE &lt;EndNote&gt;&lt;Cite&gt;&lt;Author&gt;Krupinsky&lt;/Author&gt;&lt;Year&gt;2004&lt;/Year&gt;&lt;RecNum&gt;213&lt;/RecNum&gt;&lt;DisplayText&gt;(Krupinsky et al., 2004)&lt;/DisplayText&gt;&lt;record&gt;&lt;rec-number&gt;213&lt;/rec-number&gt;&lt;foreign-keys&gt;&lt;key app="EN" db-id="9zfxt259rawwvce0pfa5efeuatdw0pz5va5z" timestamp="1318346594"&gt;213&lt;/key&gt;&lt;/foreign-keys&gt;&lt;ref-type name="Journal Article"&gt;17&lt;/ref-type&gt;&lt;contributors&gt;&lt;authors&gt;&lt;author&gt;Krupinsky, J.M.&lt;/author&gt;&lt;author&gt;Berdahl, J.D.&lt;/author&gt;&lt;author&gt;Schoch, C.L.&lt;/author&gt;&lt;author&gt;Rossman, A.Y.&lt;/author&gt;&lt;/authors&gt;&lt;/contributors&gt;&lt;titles&gt;&lt;title&gt;&lt;style face="normal" font="default" size="100%"&gt;Leaf spot on switchgrass (&lt;/style&gt;&lt;style face="italic" font="default" size="100%"&gt;Panicum virgatum&lt;/style&gt;&lt;style face="normal" font="default" size="100%"&gt;), symptoms of a new disease caused by &lt;/style&gt;&lt;style face="italic" font="default" size="100%"&gt;Bipolaris oryzae&lt;/style&gt;&lt;/title&gt;&lt;secondary-title&gt;Can. J. Plant Pathol.&lt;/secondary-title&gt;&lt;/titles&gt;&lt;periodical&gt;&lt;full-title&gt;Can. J. Plant Pathol.&lt;/full-title&gt;&lt;/periodical&gt;&lt;pages&gt;371-378&lt;/pages&gt;&lt;volume&gt;26&lt;/volume&gt;&lt;dates&gt;&lt;year&gt;2004&lt;/year&gt;&lt;/dates&gt;&lt;urls&gt;&lt;/urls&gt;&lt;/record&gt;&lt;/Cite&gt;&lt;/EndNote&gt;</w:instrText>
      </w:r>
      <w:r w:rsidR="00301182" w:rsidRPr="00BC2AA1">
        <w:rPr>
          <w:rFonts w:cs="Times New Roman"/>
        </w:rPr>
        <w:fldChar w:fldCharType="separate"/>
      </w:r>
      <w:r w:rsidRPr="00BC2AA1">
        <w:rPr>
          <w:rFonts w:cs="Times New Roman"/>
          <w:noProof/>
        </w:rPr>
        <w:t>(</w:t>
      </w:r>
      <w:hyperlink w:anchor="_ENREF_58" w:tooltip="Krupinsky, 2004 #213" w:history="1">
        <w:r w:rsidR="00FB5014" w:rsidRPr="00BC2AA1">
          <w:rPr>
            <w:rFonts w:cs="Times New Roman"/>
            <w:noProof/>
          </w:rPr>
          <w:t>Krupinsky et al., 2004</w:t>
        </w:r>
      </w:hyperlink>
      <w:r w:rsidRPr="00BC2AA1">
        <w:rPr>
          <w:rFonts w:cs="Times New Roman"/>
          <w:noProof/>
        </w:rPr>
        <w:t>)</w:t>
      </w:r>
      <w:r w:rsidR="00301182" w:rsidRPr="00BC2AA1">
        <w:rPr>
          <w:rFonts w:cs="Times New Roman"/>
        </w:rPr>
        <w:fldChar w:fldCharType="end"/>
      </w:r>
      <w:r w:rsidRPr="00BC2AA1">
        <w:rPr>
          <w:rFonts w:cs="Times New Roman"/>
        </w:rPr>
        <w:t xml:space="preserve">, </w:t>
      </w:r>
      <w:r w:rsidRPr="00BC2AA1">
        <w:rPr>
          <w:rFonts w:cs="Times New Roman"/>
          <w:i/>
        </w:rPr>
        <w:t>B. zeae</w:t>
      </w:r>
      <w:r>
        <w:rPr>
          <w:rFonts w:cs="Times New Roman"/>
          <w:i/>
        </w:rPr>
        <w:t xml:space="preserve"> </w:t>
      </w:r>
      <w:r w:rsidR="00301182" w:rsidRPr="00BC2AA1">
        <w:rPr>
          <w:rFonts w:cs="Times New Roman"/>
        </w:rPr>
        <w:fldChar w:fldCharType="begin"/>
      </w:r>
      <w:r w:rsidR="00E20B7A">
        <w:rPr>
          <w:rFonts w:cs="Times New Roman"/>
        </w:rPr>
        <w:instrText xml:space="preserve"> ADDIN EN.CITE &lt;EndNote&gt;&lt;Cite&gt;&lt;Author&gt;Krupinsky&lt;/Author&gt;&lt;Year&gt;2004&lt;/Year&gt;&lt;RecNum&gt;213&lt;/RecNum&gt;&lt;DisplayText&gt;(Krupinsky et al., 2004)&lt;/DisplayText&gt;&lt;record&gt;&lt;rec-number&gt;213&lt;/rec-number&gt;&lt;foreign-keys&gt;&lt;key app="EN" db-id="9zfxt259rawwvce0pfa5efeuatdw0pz5va5z" timestamp="1318346594"&gt;213&lt;/key&gt;&lt;/foreign-keys&gt;&lt;ref-type name="Journal Article"&gt;17&lt;/ref-type&gt;&lt;contributors&gt;&lt;authors&gt;&lt;author&gt;Krupinsky, J.M.&lt;/author&gt;&lt;author&gt;Berdahl, J.D.&lt;/author&gt;&lt;author&gt;Schoch, C.L.&lt;/author&gt;&lt;author&gt;Rossman, A.Y.&lt;/author&gt;&lt;/authors&gt;&lt;/contributors&gt;&lt;titles&gt;&lt;title&gt;&lt;style face="normal" font="default" size="100%"&gt;Leaf spot on switchgrass (&lt;/style&gt;&lt;style face="italic" font="default" size="100%"&gt;Panicum virgatum&lt;/style&gt;&lt;style face="normal" font="default" size="100%"&gt;), symptoms of a new disease caused by &lt;/style&gt;&lt;style face="italic" font="default" size="100%"&gt;Bipolaris oryzae&lt;/style&gt;&lt;/title&gt;&lt;secondary-title&gt;Can. J. Plant Pathol.&lt;/secondary-title&gt;&lt;/titles&gt;&lt;periodical&gt;&lt;full-title&gt;Can. J. Plant Pathol.&lt;/full-title&gt;&lt;/periodical&gt;&lt;pages&gt;371-378&lt;/pages&gt;&lt;volume&gt;26&lt;/volume&gt;&lt;dates&gt;&lt;year&gt;2004&lt;/year&gt;&lt;/dates&gt;&lt;urls&gt;&lt;/urls&gt;&lt;/record&gt;&lt;/Cite&gt;&lt;/EndNote&gt;</w:instrText>
      </w:r>
      <w:r w:rsidR="00301182" w:rsidRPr="00BC2AA1">
        <w:rPr>
          <w:rFonts w:cs="Times New Roman"/>
        </w:rPr>
        <w:fldChar w:fldCharType="separate"/>
      </w:r>
      <w:r w:rsidRPr="00BC2AA1">
        <w:rPr>
          <w:rFonts w:cs="Times New Roman"/>
          <w:noProof/>
        </w:rPr>
        <w:t>(</w:t>
      </w:r>
      <w:hyperlink w:anchor="_ENREF_58" w:tooltip="Krupinsky, 2004 #213" w:history="1">
        <w:r w:rsidR="00FB5014" w:rsidRPr="00BC2AA1">
          <w:rPr>
            <w:rFonts w:cs="Times New Roman"/>
            <w:noProof/>
          </w:rPr>
          <w:t>Krupinsky et al., 2004</w:t>
        </w:r>
      </w:hyperlink>
      <w:r w:rsidRPr="00BC2AA1">
        <w:rPr>
          <w:rFonts w:cs="Times New Roman"/>
          <w:noProof/>
        </w:rPr>
        <w:t>)</w:t>
      </w:r>
      <w:r w:rsidR="00301182" w:rsidRPr="00BC2AA1">
        <w:rPr>
          <w:rFonts w:cs="Times New Roman"/>
        </w:rPr>
        <w:fldChar w:fldCharType="end"/>
      </w:r>
      <w:r w:rsidR="000153BE">
        <w:rPr>
          <w:rFonts w:cs="Times New Roman"/>
        </w:rPr>
        <w:t>)</w:t>
      </w:r>
      <w:r w:rsidRPr="00BC2AA1">
        <w:rPr>
          <w:rFonts w:cs="Times New Roman"/>
        </w:rPr>
        <w:t>, smut</w:t>
      </w:r>
      <w:r>
        <w:rPr>
          <w:rFonts w:cs="Times New Roman"/>
        </w:rPr>
        <w:t xml:space="preserve"> (</w:t>
      </w:r>
      <w:r w:rsidRPr="00BC2AA1">
        <w:rPr>
          <w:rFonts w:cs="Times New Roman"/>
          <w:i/>
        </w:rPr>
        <w:t xml:space="preserve">Tilletia maclaganii </w:t>
      </w:r>
      <w:r w:rsidRPr="00BC2AA1">
        <w:rPr>
          <w:rFonts w:cs="Times New Roman"/>
        </w:rPr>
        <w:t xml:space="preserve">(Berk.) G.P. Clinton </w:t>
      </w:r>
      <w:r w:rsidR="00301182" w:rsidRPr="00BC2AA1">
        <w:rPr>
          <w:rFonts w:cs="Times New Roman"/>
        </w:rPr>
        <w:fldChar w:fldCharType="begin">
          <w:fldData xml:space="preserve">PEVuZE5vdGU+PENpdGU+PEF1dGhvcj5HcmF2ZXJ0PC9BdXRob3I+PFllYXI+MjAwMjwvWWVhcj48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</w:fldData>
        </w:fldChar>
      </w:r>
      <w:r w:rsidR="00B7572A">
        <w:rPr>
          <w:rFonts w:cs="Times New Roman"/>
        </w:rPr>
        <w:instrText xml:space="preserve"> ADDIN EN.CITE </w:instrText>
      </w:r>
      <w:r w:rsidR="00B7572A">
        <w:rPr>
          <w:rFonts w:cs="Times New Roman"/>
        </w:rPr>
        <w:fldChar w:fldCharType="begin">
          <w:fldData xml:space="preserve">PEVuZE5vdGU+PENpdGU+PEF1dGhvcj5HcmF2ZXJ0PC9BdXRob3I+PFllYXI+MjAwMjwvWWVhcj48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</w:fldData>
        </w:fldChar>
      </w:r>
      <w:r w:rsidR="00B7572A">
        <w:rPr>
          <w:rFonts w:cs="Times New Roman"/>
        </w:rPr>
        <w:instrText xml:space="preserve"> ADDIN EN.CITE.DATA </w:instrText>
      </w:r>
      <w:r w:rsidR="00B7572A">
        <w:rPr>
          <w:rFonts w:cs="Times New Roman"/>
        </w:rPr>
      </w:r>
      <w:r w:rsidR="00B7572A">
        <w:rPr>
          <w:rFonts w:cs="Times New Roman"/>
        </w:rPr>
        <w:fldChar w:fldCharType="end"/>
      </w:r>
      <w:r w:rsidR="00301182" w:rsidRPr="00BC2AA1">
        <w:rPr>
          <w:rFonts w:cs="Times New Roman"/>
        </w:rPr>
      </w:r>
      <w:r w:rsidR="00301182" w:rsidRPr="00BC2AA1">
        <w:rPr>
          <w:rFonts w:cs="Times New Roman"/>
        </w:rPr>
        <w:fldChar w:fldCharType="separate"/>
      </w:r>
      <w:r w:rsidR="00B7572A">
        <w:rPr>
          <w:rFonts w:cs="Times New Roman"/>
          <w:noProof/>
        </w:rPr>
        <w:t>(</w:t>
      </w:r>
      <w:hyperlink w:anchor="_ENREF_38" w:tooltip="Gravert, 2002 #207" w:history="1">
        <w:r w:rsidR="00FB5014">
          <w:rPr>
            <w:rFonts w:cs="Times New Roman"/>
            <w:noProof/>
          </w:rPr>
          <w:t>Gravert and Munkvold, 2002</w:t>
        </w:r>
      </w:hyperlink>
      <w:r w:rsidR="00B7572A">
        <w:rPr>
          <w:rFonts w:cs="Times New Roman"/>
          <w:noProof/>
        </w:rPr>
        <w:t xml:space="preserve">; </w:t>
      </w:r>
      <w:hyperlink w:anchor="_ENREF_39" w:tooltip="Gravert, 2000 #216" w:history="1">
        <w:r w:rsidR="00FB5014">
          <w:rPr>
            <w:rFonts w:cs="Times New Roman"/>
            <w:noProof/>
          </w:rPr>
          <w:t>Gravert et al., 2000</w:t>
        </w:r>
      </w:hyperlink>
      <w:r w:rsidR="00B7572A">
        <w:rPr>
          <w:rFonts w:cs="Times New Roman"/>
          <w:noProof/>
        </w:rPr>
        <w:t xml:space="preserve">; </w:t>
      </w:r>
      <w:hyperlink w:anchor="_ENREF_91" w:tooltip="Stueville, 2001 #215" w:history="1">
        <w:r w:rsidR="00FB5014">
          <w:rPr>
            <w:rFonts w:cs="Times New Roman"/>
            <w:noProof/>
          </w:rPr>
          <w:t>Stueville et al., 2001</w:t>
        </w:r>
      </w:hyperlink>
      <w:r w:rsidR="00B7572A">
        <w:rPr>
          <w:rFonts w:cs="Times New Roman"/>
          <w:noProof/>
        </w:rPr>
        <w:t>)</w:t>
      </w:r>
      <w:r w:rsidR="00301182" w:rsidRPr="00BC2AA1">
        <w:rPr>
          <w:rFonts w:cs="Times New Roman"/>
        </w:rPr>
        <w:fldChar w:fldCharType="end"/>
      </w:r>
      <w:r w:rsidRPr="00BC2AA1">
        <w:rPr>
          <w:rFonts w:cs="Times New Roman"/>
        </w:rPr>
        <w:t xml:space="preserve"> Thomsen, 2008)</w:t>
      </w:r>
      <w:r>
        <w:rPr>
          <w:rFonts w:cs="Times New Roman"/>
        </w:rPr>
        <w:t xml:space="preserve">), and </w:t>
      </w:r>
      <w:r w:rsidR="009C1A48">
        <w:rPr>
          <w:rFonts w:cs="Times New Roman"/>
        </w:rPr>
        <w:t xml:space="preserve">rust </w:t>
      </w:r>
      <w:r>
        <w:rPr>
          <w:rFonts w:cs="Times New Roman"/>
        </w:rPr>
        <w:t>(</w:t>
      </w:r>
      <w:r w:rsidRPr="00BC2AA1">
        <w:rPr>
          <w:rFonts w:cs="Times New Roman"/>
          <w:i/>
        </w:rPr>
        <w:t>Puccinia emaculata</w:t>
      </w:r>
      <w:r w:rsidRPr="00BC2AA1">
        <w:rPr>
          <w:rFonts w:cs="Times New Roman"/>
        </w:rPr>
        <w:t xml:space="preserve"> Schwein (Zale, 2008, Cornelius et al, 1941, Gravert, 2002, Tiffany, 1990, Hopkins, 1995), </w:t>
      </w:r>
      <w:r w:rsidRPr="00BC2AA1">
        <w:rPr>
          <w:rFonts w:cs="Times New Roman"/>
          <w:i/>
        </w:rPr>
        <w:t xml:space="preserve">P. virgata </w:t>
      </w:r>
      <w:r w:rsidRPr="00BC2AA1">
        <w:rPr>
          <w:rFonts w:cs="Times New Roman"/>
        </w:rPr>
        <w:t xml:space="preserve">Ellis &amp; Everh., </w:t>
      </w:r>
      <w:r w:rsidRPr="00BC2AA1">
        <w:rPr>
          <w:rFonts w:cs="Times New Roman"/>
          <w:i/>
        </w:rPr>
        <w:t xml:space="preserve">P. graminis </w:t>
      </w:r>
      <w:r w:rsidRPr="00BC2AA1">
        <w:rPr>
          <w:rFonts w:cs="Times New Roman"/>
        </w:rPr>
        <w:t xml:space="preserve">Pers:Pers (Gilman and Archer 1929, Cummins 1971, Tiffany and Knaphus 1985, Farr et al. 1995) and </w:t>
      </w:r>
      <w:r w:rsidRPr="00BC2AA1">
        <w:rPr>
          <w:rFonts w:cs="Times New Roman"/>
          <w:i/>
        </w:rPr>
        <w:t>Uromyces graminicola</w:t>
      </w:r>
      <w:r w:rsidRPr="00BC2AA1">
        <w:rPr>
          <w:rFonts w:cs="Times New Roman"/>
        </w:rPr>
        <w:t xml:space="preserve"> </w:t>
      </w:r>
      <w:r w:rsidR="00301182" w:rsidRPr="00BC2AA1">
        <w:rPr>
          <w:rFonts w:cs="Times New Roman"/>
        </w:rPr>
        <w:fldChar w:fldCharType="begin"/>
      </w:r>
      <w:r w:rsidR="00382C84">
        <w:rPr>
          <w:rFonts w:cs="Times New Roman"/>
        </w:rPr>
        <w:instrText xml:space="preserve"> ADDIN EN.CITE &lt;EndNote&gt;&lt;Cite&gt;&lt;Author&gt;Cornelius&lt;/Author&gt;&lt;Year&gt;1941&lt;/Year&gt;&lt;RecNum&gt;217&lt;/RecNum&gt;&lt;DisplayText&gt;(Cornelius and Johnston, 1941)&lt;/DisplayText&gt;&lt;record&gt;&lt;rec-number&gt;217&lt;/rec-number&gt;&lt;foreign-keys&gt;&lt;key app="EN" db-id="9zfxt259rawwvce0pfa5efeuatdw0pz5va5z" timestamp="1318348538"&gt;217&lt;/key&gt;&lt;/foreign-keys&gt;&lt;ref-type name="Journal Article"&gt;17&lt;/ref-type&gt;&lt;contributors&gt;&lt;authors&gt;&lt;author&gt;Cornelius, D.R.&lt;/author&gt;&lt;author&gt;Johnston, C.O.&lt;/author&gt;&lt;/authors&gt;&lt;/contributors&gt;&lt;titles&gt;&lt;title&gt;&lt;style face="normal" font="default" size="100%"&gt;Differences in plant type and reaction to rust among several collections of &lt;/style&gt;&lt;style face="italic" font="default" size="100%"&gt;Panicum virgatum&lt;/style&gt;&lt;/title&gt;&lt;secondary-title&gt;Agron. J. &lt;/secondary-title&gt;&lt;/titles&gt;&lt;periodical&gt;&lt;full-title&gt;Agron. J.&lt;/full-title&gt;&lt;/periodical&gt;&lt;pages&gt;115-124&lt;/pages&gt;&lt;volume&gt;33&lt;/volume&gt;&lt;dates&gt;&lt;year&gt;1941&lt;/year&gt;&lt;/dates&gt;&lt;urls&gt;&lt;/urls&gt;&lt;/record&gt;&lt;/Cite&gt;&lt;/EndNote&gt;</w:instrText>
      </w:r>
      <w:r w:rsidR="00301182" w:rsidRPr="00BC2AA1">
        <w:rPr>
          <w:rFonts w:cs="Times New Roman"/>
        </w:rPr>
        <w:fldChar w:fldCharType="separate"/>
      </w:r>
      <w:r w:rsidRPr="00BC2AA1">
        <w:rPr>
          <w:rFonts w:cs="Times New Roman"/>
          <w:noProof/>
        </w:rPr>
        <w:t>(</w:t>
      </w:r>
      <w:hyperlink w:anchor="_ENREF_26" w:tooltip="Cornelius, 1941 #217" w:history="1">
        <w:r w:rsidR="00FB5014" w:rsidRPr="00BC2AA1">
          <w:rPr>
            <w:rFonts w:cs="Times New Roman"/>
            <w:noProof/>
          </w:rPr>
          <w:t>Cornelius and Johnston, 1941</w:t>
        </w:r>
      </w:hyperlink>
      <w:r w:rsidRPr="00BC2AA1">
        <w:rPr>
          <w:rFonts w:cs="Times New Roman"/>
          <w:noProof/>
        </w:rPr>
        <w:t>)</w:t>
      </w:r>
      <w:r w:rsidR="00301182" w:rsidRPr="00BC2AA1">
        <w:rPr>
          <w:rFonts w:cs="Times New Roman"/>
        </w:rPr>
        <w:fldChar w:fldCharType="end"/>
      </w:r>
      <w:r>
        <w:rPr>
          <w:rFonts w:cs="Times New Roman"/>
        </w:rPr>
        <w:t>).</w:t>
      </w:r>
    </w:p>
    <w:p w14:paraId="27E4CB8E" w14:textId="0EFB33EC" w:rsidR="004C7D65" w:rsidRDefault="004C7D65" w:rsidP="00F95441">
      <w:pPr>
        <w:ind w:firstLine="720"/>
        <w:rPr>
          <w:rFonts w:cs="Times New Roman"/>
        </w:rPr>
      </w:pPr>
      <w:r>
        <w:rPr>
          <w:rFonts w:cs="Times New Roman"/>
        </w:rPr>
        <w:t xml:space="preserve">Of these pathogens, </w:t>
      </w:r>
      <w:r w:rsidR="009C1A48">
        <w:rPr>
          <w:rFonts w:cs="Times New Roman"/>
        </w:rPr>
        <w:t xml:space="preserve">rust </w:t>
      </w:r>
      <w:r>
        <w:rPr>
          <w:rFonts w:cs="Times New Roman"/>
        </w:rPr>
        <w:t>is one of the most frequently reported in terms of high prevalence. In Arkansas reports were made of</w:t>
      </w:r>
      <w:r w:rsidRPr="00BC2AA1">
        <w:rPr>
          <w:rFonts w:cs="Times New Roman"/>
        </w:rPr>
        <w:t xml:space="preserve"> lesions covering 25-100% of leaves on </w:t>
      </w:r>
      <w:r w:rsidR="000153BE">
        <w:rPr>
          <w:rFonts w:cs="Times New Roman"/>
        </w:rPr>
        <w:t>‘</w:t>
      </w:r>
      <w:r w:rsidRPr="00BC2AA1">
        <w:rPr>
          <w:rFonts w:cs="Times New Roman"/>
        </w:rPr>
        <w:t>Alamo</w:t>
      </w:r>
      <w:r w:rsidR="000153BE">
        <w:rPr>
          <w:rFonts w:cs="Times New Roman"/>
        </w:rPr>
        <w:t>’</w:t>
      </w:r>
      <w:r w:rsidRPr="00BC2AA1">
        <w:rPr>
          <w:rFonts w:cs="Times New Roman"/>
        </w:rPr>
        <w:t xml:space="preserve"> and the breeding line OSU-NSL 2001-1 (Hirsch, 2008). </w:t>
      </w:r>
      <w:r w:rsidR="000153BE">
        <w:rPr>
          <w:rFonts w:cs="Times New Roman"/>
        </w:rPr>
        <w:t>F</w:t>
      </w:r>
      <w:r w:rsidRPr="00BC2AA1">
        <w:rPr>
          <w:rFonts w:cs="Times New Roman"/>
        </w:rPr>
        <w:t xml:space="preserve">our improved populations evaluated at </w:t>
      </w:r>
      <w:r w:rsidRPr="00BC2AA1">
        <w:rPr>
          <w:rFonts w:cs="Times New Roman"/>
        </w:rPr>
        <w:lastRenderedPageBreak/>
        <w:t>two locations in South Dakota also showed high and variable</w:t>
      </w:r>
      <w:r w:rsidR="000153BE">
        <w:rPr>
          <w:rFonts w:cs="Times New Roman"/>
        </w:rPr>
        <w:t xml:space="preserve"> rust</w:t>
      </w:r>
      <w:r w:rsidRPr="00BC2AA1">
        <w:rPr>
          <w:rFonts w:cs="Times New Roman"/>
        </w:rPr>
        <w:t xml:space="preserve"> susceptibility ranging from 3.2 to 8 on a scale of 0 (highly resistant) to 9 (highly susceptible)</w:t>
      </w:r>
      <w:r w:rsidR="00182A8D">
        <w:rPr>
          <w:rFonts w:cs="Times New Roman"/>
        </w:rPr>
        <w:t xml:space="preserve"> </w:t>
      </w:r>
      <w:r w:rsidRPr="00BC2AA1">
        <w:rPr>
          <w:rFonts w:cs="Times New Roman"/>
        </w:rPr>
        <w:t xml:space="preserve">(Gustafson, 2003). In a study by Hopkins et al. (1995) </w:t>
      </w:r>
      <w:r w:rsidR="009C1A48">
        <w:rPr>
          <w:rFonts w:cs="Times New Roman"/>
        </w:rPr>
        <w:t xml:space="preserve">rust </w:t>
      </w:r>
      <w:r>
        <w:rPr>
          <w:rFonts w:cs="Times New Roman"/>
        </w:rPr>
        <w:t>(</w:t>
      </w:r>
      <w:r>
        <w:rPr>
          <w:rFonts w:cs="Times New Roman"/>
          <w:i/>
        </w:rPr>
        <w:t>P. graminas</w:t>
      </w:r>
      <w:r>
        <w:rPr>
          <w:rFonts w:cs="Times New Roman"/>
        </w:rPr>
        <w:t>)</w:t>
      </w:r>
      <w:r w:rsidRPr="00BC2AA1">
        <w:rPr>
          <w:rFonts w:cs="Times New Roman"/>
        </w:rPr>
        <w:t xml:space="preserve"> was the predominant disease on twenty-three switchgrass accessions evaluated across 3 locations (NE, IA, and IN) in 1991 and 1992. </w:t>
      </w:r>
      <w:r w:rsidR="00182A8D">
        <w:rPr>
          <w:rFonts w:cs="Times New Roman"/>
        </w:rPr>
        <w:t xml:space="preserve">At the location </w:t>
      </w:r>
      <w:r w:rsidR="00A61759">
        <w:rPr>
          <w:rFonts w:cs="Times New Roman"/>
        </w:rPr>
        <w:t xml:space="preserve">exhibiting the greatest amount of rust </w:t>
      </w:r>
      <w:r w:rsidR="000153BE">
        <w:rPr>
          <w:rFonts w:cs="Times New Roman"/>
        </w:rPr>
        <w:t>symptoms</w:t>
      </w:r>
      <w:r w:rsidR="00182A8D">
        <w:rPr>
          <w:rFonts w:cs="Times New Roman"/>
        </w:rPr>
        <w:t>, a</w:t>
      </w:r>
      <w:r w:rsidRPr="00BC2AA1">
        <w:rPr>
          <w:rFonts w:cs="Times New Roman"/>
        </w:rPr>
        <w:t xml:space="preserve">verage disease </w:t>
      </w:r>
      <w:r w:rsidR="00182A8D">
        <w:rPr>
          <w:rFonts w:cs="Times New Roman"/>
        </w:rPr>
        <w:t>incidence</w:t>
      </w:r>
      <w:r w:rsidRPr="00BC2AA1">
        <w:rPr>
          <w:rFonts w:cs="Times New Roman"/>
        </w:rPr>
        <w:t xml:space="preserve"> </w:t>
      </w:r>
      <w:r w:rsidR="00182A8D">
        <w:rPr>
          <w:rFonts w:cs="Times New Roman"/>
        </w:rPr>
        <w:t>was 32%</w:t>
      </w:r>
      <w:r w:rsidRPr="00BC2AA1">
        <w:rPr>
          <w:rFonts w:cs="Times New Roman"/>
        </w:rPr>
        <w:t xml:space="preserve">. </w:t>
      </w:r>
    </w:p>
    <w:p w14:paraId="0F61C9F3" w14:textId="0BDEFD3C" w:rsidR="004C7D65" w:rsidRDefault="004C7D65" w:rsidP="00F95441">
      <w:pPr>
        <w:ind w:firstLine="720"/>
        <w:rPr>
          <w:rFonts w:cs="Times New Roman"/>
        </w:rPr>
      </w:pPr>
      <w:r>
        <w:rPr>
          <w:rFonts w:cs="Times New Roman"/>
        </w:rPr>
        <w:t xml:space="preserve">While a pathogenic relationship between </w:t>
      </w:r>
      <w:r w:rsidR="009C1A48">
        <w:rPr>
          <w:rFonts w:cs="Times New Roman"/>
        </w:rPr>
        <w:t xml:space="preserve">rust </w:t>
      </w:r>
      <w:r>
        <w:rPr>
          <w:rFonts w:cs="Times New Roman"/>
        </w:rPr>
        <w:t xml:space="preserve">and switchgrass clearly exists, the impact of this pathogen on yield is still somewhat unclear. Weak, but significant, correlations between disease and biomass yield have been reported by Hopkins et al. </w:t>
      </w:r>
      <w:r w:rsidR="00301182">
        <w:rPr>
          <w:rFonts w:cs="Times New Roman"/>
        </w:rPr>
        <w:fldChar w:fldCharType="begin"/>
      </w:r>
      <w:r w:rsidR="00382C84">
        <w:rPr>
          <w:rFonts w:cs="Times New Roman"/>
        </w:rPr>
        <w:instrText xml:space="preserve"> ADDIN EN.CITE &lt;EndNote&gt;&lt;Cite ExcludeAuth="1"&gt;&lt;Author&gt;Hopkins&lt;/Author&gt;&lt;Year&gt;1995&lt;/Year&gt;&lt;RecNum&gt;264&lt;/RecNum&gt;&lt;DisplayText&gt;(1995)&lt;/DisplayText&gt;&lt;record&gt;&lt;rec-number&gt;264&lt;/rec-number&gt;&lt;foreign-keys&gt;&lt;key app="EN" db-id="9zfxt259rawwvce0pfa5efeuatdw0pz5va5z" timestamp="1327076549"&gt;264&lt;/key&gt;&lt;/foreign-keys&gt;&lt;ref-type name="Journal Article"&gt;17&lt;/ref-type&gt;&lt;contributors&gt;&lt;authors&gt;&lt;author&gt;Hopkins, A.A.&lt;/author&gt;&lt;author&gt;Vogel, K.P.&lt;/author&gt;&lt;author&gt;Moore, K.J.&lt;/author&gt;&lt;author&gt;Johnson, K.D.&lt;/author&gt;&lt;author&gt;Carlson, I.T.&lt;/author&gt;&lt;/authors&gt;&lt;/contributors&gt;&lt;titles&gt;&lt;title&gt;Genotypic variability and genotype x environment interactions among switchgrass accessions from the Midwestern USA&lt;/title&gt;&lt;secondary-title&gt;Crop Sci.&lt;/secondary-title&gt;&lt;/titles&gt;&lt;periodical&gt;&lt;full-title&gt;Crop Sci.&lt;/full-title&gt;&lt;/periodical&gt;&lt;pages&gt;565-571&lt;/pages&gt;&lt;volume&gt;35&lt;/volume&gt;&lt;dates&gt;&lt;year&gt;1995&lt;/year&gt;&lt;/dates&gt;&lt;urls&gt;&lt;/urls&gt;&lt;/record&gt;&lt;/Cite&gt;&lt;/EndNote&gt;</w:instrText>
      </w:r>
      <w:r w:rsidR="00301182">
        <w:rPr>
          <w:rFonts w:cs="Times New Roman"/>
        </w:rPr>
        <w:fldChar w:fldCharType="separate"/>
      </w:r>
      <w:r>
        <w:rPr>
          <w:rFonts w:cs="Times New Roman"/>
          <w:noProof/>
        </w:rPr>
        <w:t>(</w:t>
      </w:r>
      <w:hyperlink w:anchor="_ENREF_49" w:tooltip="Hopkins, 1995 #264" w:history="1">
        <w:r w:rsidR="00FB5014">
          <w:rPr>
            <w:rFonts w:cs="Times New Roman"/>
            <w:noProof/>
          </w:rPr>
          <w:t>1995</w:t>
        </w:r>
      </w:hyperlink>
      <w:r>
        <w:rPr>
          <w:rFonts w:cs="Times New Roman"/>
          <w:noProof/>
        </w:rPr>
        <w:t>)</w:t>
      </w:r>
      <w:r w:rsidR="00301182">
        <w:rPr>
          <w:rFonts w:cs="Times New Roman"/>
        </w:rPr>
        <w:fldChar w:fldCharType="end"/>
      </w:r>
      <w:r>
        <w:rPr>
          <w:rFonts w:cs="Times New Roman"/>
        </w:rPr>
        <w:t xml:space="preserve"> in observations of twenty-three switchgrass accessions in NE, IA, and IN </w:t>
      </w:r>
      <w:r w:rsidRPr="00BC2AA1">
        <w:rPr>
          <w:rFonts w:cs="Times New Roman"/>
        </w:rPr>
        <w:t>(</w:t>
      </w:r>
      <w:r>
        <w:rPr>
          <w:rFonts w:cs="Times New Roman"/>
        </w:rPr>
        <w:t>r</w:t>
      </w:r>
      <w:r w:rsidRPr="00BC2AA1">
        <w:rPr>
          <w:rFonts w:cs="Times New Roman"/>
        </w:rPr>
        <w:t xml:space="preserve"> = -0.12</w:t>
      </w:r>
      <w:r>
        <w:rPr>
          <w:rFonts w:cs="Times New Roman"/>
        </w:rPr>
        <w:t xml:space="preserve">, </w:t>
      </w:r>
      <w:r w:rsidR="00B7572A">
        <w:rPr>
          <w:rFonts w:cs="Times New Roman"/>
        </w:rPr>
        <w:t xml:space="preserve">P </w:t>
      </w:r>
      <w:r w:rsidR="009021A8">
        <w:rPr>
          <w:rFonts w:cs="Times New Roman"/>
        </w:rPr>
        <w:t xml:space="preserve">&lt; </w:t>
      </w:r>
      <w:r>
        <w:rPr>
          <w:rFonts w:cs="Times New Roman"/>
        </w:rPr>
        <w:t>0.05</w:t>
      </w:r>
      <w:r w:rsidRPr="00BC2AA1">
        <w:rPr>
          <w:rFonts w:cs="Times New Roman"/>
        </w:rPr>
        <w:t>)</w:t>
      </w:r>
      <w:r>
        <w:rPr>
          <w:rFonts w:cs="Times New Roman"/>
        </w:rPr>
        <w:t xml:space="preserve"> and by Sykes (unpublished) in observations of a lowland half-sib population in TN (</w:t>
      </w:r>
      <w:r w:rsidR="00A61759">
        <w:rPr>
          <w:rFonts w:cs="Times New Roman"/>
        </w:rPr>
        <w:t xml:space="preserve">r = </w:t>
      </w:r>
      <w:r>
        <w:rPr>
          <w:rFonts w:cs="Times New Roman"/>
        </w:rPr>
        <w:t xml:space="preserve">-0.15, </w:t>
      </w:r>
      <w:r w:rsidR="00B7572A">
        <w:rPr>
          <w:rFonts w:cs="Times New Roman"/>
        </w:rPr>
        <w:t xml:space="preserve">P </w:t>
      </w:r>
      <w:r w:rsidR="009021A8">
        <w:rPr>
          <w:rFonts w:cs="Times New Roman"/>
        </w:rPr>
        <w:t xml:space="preserve">&lt; </w:t>
      </w:r>
      <w:r>
        <w:rPr>
          <w:rFonts w:cs="Times New Roman"/>
        </w:rPr>
        <w:t xml:space="preserve">0.05). In both studies, while </w:t>
      </w:r>
      <w:r w:rsidR="009C1A48">
        <w:rPr>
          <w:rFonts w:cs="Times New Roman"/>
        </w:rPr>
        <w:t xml:space="preserve">rust </w:t>
      </w:r>
      <w:r>
        <w:rPr>
          <w:rFonts w:cs="Times New Roman"/>
        </w:rPr>
        <w:t xml:space="preserve">was the dominant pathogen observed, other diseases were also present in disease ratings. While </w:t>
      </w:r>
      <w:r w:rsidR="009C1A48">
        <w:rPr>
          <w:rFonts w:cs="Times New Roman"/>
        </w:rPr>
        <w:t xml:space="preserve">rust </w:t>
      </w:r>
      <w:r>
        <w:rPr>
          <w:rFonts w:cs="Times New Roman"/>
        </w:rPr>
        <w:t>infection may have only a minor effect on biomass yield, a potential concern with biofuels switchgrass is the effect infection might have on ethanol yield.</w:t>
      </w:r>
    </w:p>
    <w:p w14:paraId="358D2E11" w14:textId="77777777" w:rsidR="004C7D65" w:rsidRPr="00BC2AA1" w:rsidRDefault="004C7D65" w:rsidP="009B24A0">
      <w:pPr>
        <w:pStyle w:val="Heading2"/>
      </w:pPr>
      <w:r>
        <w:t xml:space="preserve"> </w:t>
      </w:r>
      <w:bookmarkStart w:id="5" w:name="_Toc314748458"/>
      <w:bookmarkStart w:id="6" w:name="_Toc317593656"/>
      <w:bookmarkStart w:id="7" w:name="_Toc404069810"/>
      <w:r w:rsidRPr="00BC2AA1">
        <w:t>Quanti</w:t>
      </w:r>
      <w:r>
        <w:t>tative G</w:t>
      </w:r>
      <w:r w:rsidRPr="00BC2AA1">
        <w:t>enetics</w:t>
      </w:r>
      <w:bookmarkEnd w:id="5"/>
      <w:bookmarkEnd w:id="6"/>
      <w:bookmarkEnd w:id="7"/>
      <w:r w:rsidRPr="00BC2AA1">
        <w:t xml:space="preserve"> </w:t>
      </w:r>
    </w:p>
    <w:p w14:paraId="042D2443" w14:textId="6B134D6C" w:rsidR="004C7D65" w:rsidRPr="00BC2AA1" w:rsidRDefault="004C7D65" w:rsidP="00A61759">
      <w:pPr>
        <w:ind w:firstLine="720"/>
        <w:rPr>
          <w:rFonts w:cs="Times New Roman"/>
        </w:rPr>
      </w:pPr>
      <w:r w:rsidRPr="00BC2AA1">
        <w:rPr>
          <w:rFonts w:cs="Times New Roman"/>
        </w:rPr>
        <w:t xml:space="preserve">Switchgrass breeding programs have focused primarily on improving </w:t>
      </w:r>
      <w:r w:rsidR="00A61759">
        <w:rPr>
          <w:rFonts w:cs="Times New Roman"/>
        </w:rPr>
        <w:t>forage/</w:t>
      </w:r>
      <w:r w:rsidRPr="00BC2AA1">
        <w:rPr>
          <w:rFonts w:cs="Times New Roman"/>
        </w:rPr>
        <w:t>biomass yield and quality</w:t>
      </w:r>
      <w:r w:rsidR="00954DB7">
        <w:rPr>
          <w:rFonts w:cs="Times New Roman"/>
        </w:rPr>
        <w:t xml:space="preserve">. </w:t>
      </w:r>
      <w:r w:rsidRPr="00BC2AA1">
        <w:rPr>
          <w:rFonts w:cs="Times New Roman"/>
        </w:rPr>
        <w:t xml:space="preserve">In order to develop an ideal selection type, assessments have been made of the relationship between biomass yield or quality and numerous morphological traits including, but not limited to, plant height, tiller number, leaf blade width, leaf blade length, stem width, seed weight, disease, and seed mass per panicle </w:t>
      </w:r>
      <w:r w:rsidR="00301182" w:rsidRPr="00BC2AA1">
        <w:rPr>
          <w:rFonts w:cs="Times New Roman"/>
        </w:rPr>
        <w:fldChar w:fldCharType="begin">
          <w:fldData xml:space="preserve">PEVuZE5vdGU+PENpdGU+PEF1dGhvcj5CaGFuZGFyaTwvQXV0aG9yPjxZZWFyPjIwMTA8L1llYXI+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</w:fldData>
        </w:fldChar>
      </w:r>
      <w:r w:rsidR="00B7572A">
        <w:rPr>
          <w:rFonts w:cs="Times New Roman"/>
        </w:rPr>
        <w:instrText xml:space="preserve"> ADDIN EN.CITE </w:instrText>
      </w:r>
      <w:r w:rsidR="00B7572A">
        <w:rPr>
          <w:rFonts w:cs="Times New Roman"/>
        </w:rPr>
        <w:fldChar w:fldCharType="begin">
          <w:fldData xml:space="preserve">PEVuZE5vdGU+PENpdGU+PEF1dGhvcj5CaGFuZGFyaTwvQXV0aG9yPjxZZWFyPjIwMTA8L1llYXI+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</w:fldData>
        </w:fldChar>
      </w:r>
      <w:r w:rsidR="00B7572A">
        <w:rPr>
          <w:rFonts w:cs="Times New Roman"/>
        </w:rPr>
        <w:instrText xml:space="preserve"> ADDIN EN.CITE.DATA </w:instrText>
      </w:r>
      <w:r w:rsidR="00B7572A">
        <w:rPr>
          <w:rFonts w:cs="Times New Roman"/>
        </w:rPr>
      </w:r>
      <w:r w:rsidR="00B7572A">
        <w:rPr>
          <w:rFonts w:cs="Times New Roman"/>
        </w:rPr>
        <w:fldChar w:fldCharType="end"/>
      </w:r>
      <w:r w:rsidR="00301182" w:rsidRPr="00BC2AA1">
        <w:rPr>
          <w:rFonts w:cs="Times New Roman"/>
        </w:rPr>
      </w:r>
      <w:r w:rsidR="00301182" w:rsidRPr="00BC2AA1">
        <w:rPr>
          <w:rFonts w:cs="Times New Roman"/>
        </w:rPr>
        <w:fldChar w:fldCharType="separate"/>
      </w:r>
      <w:r w:rsidR="00B7572A">
        <w:rPr>
          <w:rFonts w:cs="Times New Roman"/>
          <w:noProof/>
        </w:rPr>
        <w:t>(</w:t>
      </w:r>
      <w:hyperlink w:anchor="_ENREF_12" w:tooltip="Bhandari, 2010 #199" w:history="1">
        <w:r w:rsidR="00FB5014">
          <w:rPr>
            <w:rFonts w:cs="Times New Roman"/>
            <w:noProof/>
          </w:rPr>
          <w:t>Bhandari et al., 2010</w:t>
        </w:r>
      </w:hyperlink>
      <w:r w:rsidR="00B7572A">
        <w:rPr>
          <w:rFonts w:cs="Times New Roman"/>
          <w:noProof/>
        </w:rPr>
        <w:t xml:space="preserve">; </w:t>
      </w:r>
      <w:hyperlink w:anchor="_ENREF_14" w:tooltip="Boe, 2007 #198" w:history="1">
        <w:r w:rsidR="00FB5014">
          <w:rPr>
            <w:rFonts w:cs="Times New Roman"/>
            <w:noProof/>
          </w:rPr>
          <w:t>Boe, 2007</w:t>
        </w:r>
      </w:hyperlink>
      <w:r w:rsidR="00B7572A">
        <w:rPr>
          <w:rFonts w:cs="Times New Roman"/>
          <w:noProof/>
        </w:rPr>
        <w:t xml:space="preserve">; </w:t>
      </w:r>
      <w:hyperlink w:anchor="_ENREF_29" w:tooltip="Das, 2004 #254" w:history="1">
        <w:r w:rsidR="00FB5014">
          <w:rPr>
            <w:rFonts w:cs="Times New Roman"/>
            <w:noProof/>
          </w:rPr>
          <w:t>Das et al., 2004</w:t>
        </w:r>
      </w:hyperlink>
      <w:r w:rsidR="00B7572A">
        <w:rPr>
          <w:rFonts w:cs="Times New Roman"/>
          <w:noProof/>
        </w:rPr>
        <w:t xml:space="preserve">; </w:t>
      </w:r>
      <w:hyperlink w:anchor="_ENREF_74" w:tooltip="Newell, 1961 #1" w:history="1">
        <w:r w:rsidR="00FB5014">
          <w:rPr>
            <w:rFonts w:cs="Times New Roman"/>
            <w:noProof/>
          </w:rPr>
          <w:t>Newell and Eberhart, 1961</w:t>
        </w:r>
      </w:hyperlink>
      <w:r w:rsidR="00B7572A">
        <w:rPr>
          <w:rFonts w:cs="Times New Roman"/>
          <w:noProof/>
        </w:rPr>
        <w:t xml:space="preserve">; </w:t>
      </w:r>
      <w:hyperlink w:anchor="_ENREF_89" w:tooltip="Smart, 2004 #200" w:history="1">
        <w:r w:rsidR="00FB5014">
          <w:rPr>
            <w:rFonts w:cs="Times New Roman"/>
            <w:noProof/>
          </w:rPr>
          <w:t>Smart et al., 2004</w:t>
        </w:r>
      </w:hyperlink>
      <w:r w:rsidR="00B7572A">
        <w:rPr>
          <w:rFonts w:cs="Times New Roman"/>
          <w:noProof/>
        </w:rPr>
        <w:t xml:space="preserve">; </w:t>
      </w:r>
      <w:hyperlink w:anchor="_ENREF_92" w:tooltip="Talbert, 1983 #197" w:history="1">
        <w:r w:rsidR="00FB5014">
          <w:rPr>
            <w:rFonts w:cs="Times New Roman"/>
            <w:noProof/>
          </w:rPr>
          <w:t>Talbert et al., 1983</w:t>
        </w:r>
      </w:hyperlink>
      <w:r w:rsidR="00B7572A">
        <w:rPr>
          <w:rFonts w:cs="Times New Roman"/>
          <w:noProof/>
        </w:rPr>
        <w:t>)</w:t>
      </w:r>
      <w:r w:rsidR="00301182" w:rsidRPr="00BC2AA1">
        <w:rPr>
          <w:rFonts w:cs="Times New Roman"/>
        </w:rPr>
        <w:fldChar w:fldCharType="end"/>
      </w:r>
      <w:r w:rsidRPr="00BC2AA1">
        <w:rPr>
          <w:rFonts w:cs="Times New Roman"/>
        </w:rPr>
        <w:t xml:space="preserve">. These correlations aid in the selection process by identifying </w:t>
      </w:r>
      <w:r>
        <w:rPr>
          <w:rFonts w:cs="Times New Roman"/>
        </w:rPr>
        <w:t>associated</w:t>
      </w:r>
      <w:r w:rsidRPr="00BC2AA1">
        <w:rPr>
          <w:rFonts w:cs="Times New Roman"/>
        </w:rPr>
        <w:t xml:space="preserve"> </w:t>
      </w:r>
      <w:r w:rsidR="00F36223">
        <w:rPr>
          <w:rFonts w:cs="Times New Roman"/>
        </w:rPr>
        <w:t>traits</w:t>
      </w:r>
      <w:r w:rsidRPr="00BC2AA1">
        <w:rPr>
          <w:rFonts w:cs="Times New Roman"/>
        </w:rPr>
        <w:t xml:space="preserve"> that can be measured earlier or more easily than the trait of interest</w:t>
      </w:r>
      <w:r w:rsidR="00954DB7">
        <w:rPr>
          <w:rFonts w:cs="Times New Roman"/>
        </w:rPr>
        <w:t xml:space="preserve">. </w:t>
      </w:r>
      <w:r w:rsidRPr="00BC2AA1">
        <w:rPr>
          <w:rFonts w:cs="Times New Roman"/>
        </w:rPr>
        <w:t xml:space="preserve">Heritability values for many of these traits have also been calculated, giving </w:t>
      </w:r>
      <w:r w:rsidRPr="00BC2AA1">
        <w:rPr>
          <w:rFonts w:cs="Times New Roman"/>
        </w:rPr>
        <w:lastRenderedPageBreak/>
        <w:t>breeders an estimate of the potential efficacy of selection for improving a particular trait of interest</w:t>
      </w:r>
      <w:r w:rsidR="00F40B4A">
        <w:rPr>
          <w:rFonts w:cs="Times New Roman"/>
        </w:rPr>
        <w:t xml:space="preserve"> </w:t>
      </w:r>
      <w:r w:rsidR="00301182" w:rsidRPr="00BC2AA1">
        <w:rPr>
          <w:rFonts w:cs="Times New Roman"/>
        </w:rPr>
        <w:fldChar w:fldCharType="begin">
          <w:fldData xml:space="preserve">PEVuZE5vdGU+PENpdGU+PEF1dGhvcj5OZXdlbGw8L0F1dGhvcj48WWVhcj4xOTYxPC9ZZWFyPjxS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</w:fldData>
        </w:fldChar>
      </w:r>
      <w:r w:rsidR="00B7572A">
        <w:rPr>
          <w:rFonts w:cs="Times New Roman"/>
        </w:rPr>
        <w:instrText xml:space="preserve"> ADDIN EN.CITE </w:instrText>
      </w:r>
      <w:r w:rsidR="00B7572A">
        <w:rPr>
          <w:rFonts w:cs="Times New Roman"/>
        </w:rPr>
        <w:fldChar w:fldCharType="begin">
          <w:fldData xml:space="preserve">PEVuZE5vdGU+PENpdGU+PEF1dGhvcj5OZXdlbGw8L0F1dGhvcj48WWVhcj4xOTYxPC9ZZWFyPjxS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</w:fldData>
        </w:fldChar>
      </w:r>
      <w:r w:rsidR="00B7572A">
        <w:rPr>
          <w:rFonts w:cs="Times New Roman"/>
        </w:rPr>
        <w:instrText xml:space="preserve"> ADDIN EN.CITE.DATA </w:instrText>
      </w:r>
      <w:r w:rsidR="00B7572A">
        <w:rPr>
          <w:rFonts w:cs="Times New Roman"/>
        </w:rPr>
      </w:r>
      <w:r w:rsidR="00B7572A">
        <w:rPr>
          <w:rFonts w:cs="Times New Roman"/>
        </w:rPr>
        <w:fldChar w:fldCharType="end"/>
      </w:r>
      <w:r w:rsidR="00301182" w:rsidRPr="00BC2AA1">
        <w:rPr>
          <w:rFonts w:cs="Times New Roman"/>
        </w:rPr>
      </w:r>
      <w:r w:rsidR="00301182" w:rsidRPr="00BC2AA1">
        <w:rPr>
          <w:rFonts w:cs="Times New Roman"/>
        </w:rPr>
        <w:fldChar w:fldCharType="separate"/>
      </w:r>
      <w:r w:rsidR="00B7572A">
        <w:rPr>
          <w:rFonts w:cs="Times New Roman"/>
          <w:noProof/>
        </w:rPr>
        <w:t>(</w:t>
      </w:r>
      <w:hyperlink w:anchor="_ENREF_48" w:tooltip="Hopkins, 1993 #201" w:history="1">
        <w:r w:rsidR="00FB5014">
          <w:rPr>
            <w:rFonts w:cs="Times New Roman"/>
            <w:noProof/>
          </w:rPr>
          <w:t>Hopkins et al., 1993</w:t>
        </w:r>
      </w:hyperlink>
      <w:r w:rsidR="00B7572A">
        <w:rPr>
          <w:rFonts w:cs="Times New Roman"/>
          <w:noProof/>
        </w:rPr>
        <w:t xml:space="preserve">; </w:t>
      </w:r>
      <w:hyperlink w:anchor="_ENREF_74" w:tooltip="Newell, 1961 #1" w:history="1">
        <w:r w:rsidR="00FB5014">
          <w:rPr>
            <w:rFonts w:cs="Times New Roman"/>
            <w:noProof/>
          </w:rPr>
          <w:t>Newell and Eberhart, 1961</w:t>
        </w:r>
      </w:hyperlink>
      <w:r w:rsidR="00B7572A">
        <w:rPr>
          <w:rFonts w:cs="Times New Roman"/>
          <w:noProof/>
        </w:rPr>
        <w:t xml:space="preserve">; </w:t>
      </w:r>
      <w:hyperlink w:anchor="_ENREF_82" w:tooltip="Rose, 2007 #204" w:history="1">
        <w:r w:rsidR="00FB5014">
          <w:rPr>
            <w:rFonts w:cs="Times New Roman"/>
            <w:noProof/>
          </w:rPr>
          <w:t>Rose et al., 2007</w:t>
        </w:r>
      </w:hyperlink>
      <w:r w:rsidR="00B7572A">
        <w:rPr>
          <w:rFonts w:cs="Times New Roman"/>
          <w:noProof/>
        </w:rPr>
        <w:t xml:space="preserve">; </w:t>
      </w:r>
      <w:hyperlink w:anchor="_ENREF_92" w:tooltip="Talbert, 1983 #197" w:history="1">
        <w:r w:rsidR="00FB5014">
          <w:rPr>
            <w:rFonts w:cs="Times New Roman"/>
            <w:noProof/>
          </w:rPr>
          <w:t>Talbert et al., 1983</w:t>
        </w:r>
      </w:hyperlink>
      <w:r w:rsidR="00B7572A">
        <w:rPr>
          <w:rFonts w:cs="Times New Roman"/>
          <w:noProof/>
        </w:rPr>
        <w:t>)</w:t>
      </w:r>
      <w:r w:rsidR="00301182" w:rsidRPr="00BC2AA1">
        <w:rPr>
          <w:rFonts w:cs="Times New Roman"/>
        </w:rPr>
        <w:fldChar w:fldCharType="end"/>
      </w:r>
      <w:r w:rsidRPr="00BC2AA1">
        <w:rPr>
          <w:rFonts w:cs="Times New Roman"/>
        </w:rPr>
        <w:t>. Much of this research has focused on switchgrass used as a forage crop. While both forage and biofuel uses may benefit from improvement to certain traits, such as biomass yield, additional traits, such as ethanol production potential and lignin content, may also be desirable when breeding specifically for biofuel use. This section will briefly review past research on genetic parameters associated with switchgrass traits and address potential traits of interest in breeding switchgrass as a biofuel</w:t>
      </w:r>
      <w:r w:rsidR="00954DB7">
        <w:rPr>
          <w:rFonts w:cs="Times New Roman"/>
        </w:rPr>
        <w:t xml:space="preserve">. </w:t>
      </w:r>
      <w:r w:rsidRPr="00BC2AA1">
        <w:rPr>
          <w:rFonts w:cs="Times New Roman"/>
        </w:rPr>
        <w:t xml:space="preserve">  </w:t>
      </w:r>
    </w:p>
    <w:p w14:paraId="52D4C8E6" w14:textId="77777777" w:rsidR="004C7D65" w:rsidRPr="00BC2AA1" w:rsidRDefault="004C7D65" w:rsidP="00146660">
      <w:pPr>
        <w:pStyle w:val="Heading3"/>
        <w:spacing w:beforeLines="60" w:before="144"/>
      </w:pPr>
      <w:bookmarkStart w:id="8" w:name="_Toc404069811"/>
      <w:r w:rsidRPr="00BC2AA1">
        <w:t>Yield</w:t>
      </w:r>
      <w:bookmarkEnd w:id="8"/>
      <w:r w:rsidRPr="00BC2AA1">
        <w:t xml:space="preserve"> </w:t>
      </w:r>
    </w:p>
    <w:p w14:paraId="482BFFFD" w14:textId="2DEB230B" w:rsidR="004C7D65" w:rsidRPr="00BC2AA1" w:rsidRDefault="004C7D65" w:rsidP="00F95441">
      <w:pPr>
        <w:ind w:firstLine="720"/>
      </w:pPr>
      <w:r w:rsidRPr="00BC2AA1">
        <w:t>Heritability estimates for yield are relatively low and vary by population</w:t>
      </w:r>
      <w:r w:rsidR="00954DB7">
        <w:t xml:space="preserve">. </w:t>
      </w:r>
      <w:r w:rsidRPr="00BC2AA1">
        <w:t>Published narrow sense heritability values calculated using parent pro</w:t>
      </w:r>
      <w:r w:rsidR="00A61759">
        <w:t xml:space="preserve">geny regression range from 0.12 to </w:t>
      </w:r>
      <w:r w:rsidRPr="00BC2AA1">
        <w:t>0.29</w:t>
      </w:r>
      <w:r w:rsidR="00A61759">
        <w:t xml:space="preserve"> </w:t>
      </w:r>
      <w:r w:rsidRPr="00BC2AA1">
        <w:t>in lowland populations, 0.22</w:t>
      </w:r>
      <w:r w:rsidR="00F40B4A">
        <w:t xml:space="preserve"> </w:t>
      </w:r>
      <w:r w:rsidR="00A61759">
        <w:t xml:space="preserve">to </w:t>
      </w:r>
      <w:r w:rsidRPr="00BC2AA1">
        <w:t>0.47 in upland populations, and 0.05</w:t>
      </w:r>
      <w:r w:rsidR="00F40B4A">
        <w:t xml:space="preserve"> </w:t>
      </w:r>
      <w:r w:rsidR="00A61759">
        <w:t xml:space="preserve">to </w:t>
      </w:r>
      <w:r w:rsidRPr="00BC2AA1">
        <w:t>0.52</w:t>
      </w:r>
      <w:r w:rsidR="00F40B4A">
        <w:t xml:space="preserve"> </w:t>
      </w:r>
      <w:r w:rsidRPr="00BC2AA1">
        <w:t xml:space="preserve">in populations not classified as lowland or upland </w:t>
      </w:r>
      <w:r w:rsidR="00301182" w:rsidRPr="00BC2AA1">
        <w:fldChar w:fldCharType="begin">
          <w:fldData xml:space="preserve">PEVuZE5vdGU+PENpdGU+PEF1dGhvcj5CaGFuZGFyaTwvQXV0aG9yPjxZZWFyPjIwMTA8L1llYXI+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</w:fldData>
        </w:fldChar>
      </w:r>
      <w:r w:rsidR="00B7572A">
        <w:instrText xml:space="preserve"> ADDIN EN.CITE </w:instrText>
      </w:r>
      <w:r w:rsidR="00B7572A">
        <w:fldChar w:fldCharType="begin">
          <w:fldData xml:space="preserve">PEVuZE5vdGU+PENpdGU+PEF1dGhvcj5CaGFuZGFyaTwvQXV0aG9yPjxZZWFyPjIwMTA8L1llYXI+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</w:fldData>
        </w:fldChar>
      </w:r>
      <w:r w:rsidR="00B7572A">
        <w:instrText xml:space="preserve"> ADDIN EN.CITE.DATA </w:instrText>
      </w:r>
      <w:r w:rsidR="00B7572A">
        <w:fldChar w:fldCharType="end"/>
      </w:r>
      <w:r w:rsidR="00301182" w:rsidRPr="00BC2AA1">
        <w:fldChar w:fldCharType="separate"/>
      </w:r>
      <w:r w:rsidR="00B7572A">
        <w:rPr>
          <w:noProof/>
        </w:rPr>
        <w:t>(</w:t>
      </w:r>
      <w:hyperlink w:anchor="_ENREF_12" w:tooltip="Bhandari, 2010 #199" w:history="1">
        <w:r w:rsidR="00FB5014">
          <w:rPr>
            <w:noProof/>
          </w:rPr>
          <w:t>Bhandari et al., 2010</w:t>
        </w:r>
      </w:hyperlink>
      <w:r w:rsidR="00B7572A">
        <w:rPr>
          <w:noProof/>
        </w:rPr>
        <w:t xml:space="preserve">; </w:t>
      </w:r>
      <w:hyperlink w:anchor="_ENREF_48" w:tooltip="Hopkins, 1993 #201" w:history="1">
        <w:r w:rsidR="00FB5014">
          <w:rPr>
            <w:noProof/>
          </w:rPr>
          <w:t>Hopkins et al., 1993</w:t>
        </w:r>
      </w:hyperlink>
      <w:r w:rsidR="00B7572A">
        <w:rPr>
          <w:noProof/>
        </w:rPr>
        <w:t xml:space="preserve">; </w:t>
      </w:r>
      <w:hyperlink w:anchor="_ENREF_82" w:tooltip="Rose, 2007 #204" w:history="1">
        <w:r w:rsidR="00FB5014">
          <w:rPr>
            <w:noProof/>
          </w:rPr>
          <w:t>Rose et al., 2007</w:t>
        </w:r>
      </w:hyperlink>
      <w:r w:rsidR="00B7572A">
        <w:rPr>
          <w:noProof/>
        </w:rPr>
        <w:t xml:space="preserve">; </w:t>
      </w:r>
      <w:hyperlink w:anchor="_ENREF_92" w:tooltip="Talbert, 1983 #197" w:history="1">
        <w:r w:rsidR="00FB5014">
          <w:rPr>
            <w:noProof/>
          </w:rPr>
          <w:t>Talbert et al., 1983</w:t>
        </w:r>
      </w:hyperlink>
      <w:r w:rsidR="00B7572A">
        <w:rPr>
          <w:noProof/>
        </w:rPr>
        <w:t>)</w:t>
      </w:r>
      <w:r w:rsidR="00301182" w:rsidRPr="00BC2AA1">
        <w:fldChar w:fldCharType="end"/>
      </w:r>
      <w:r w:rsidRPr="00BC2AA1">
        <w:t xml:space="preserve">. Various morphological </w:t>
      </w:r>
      <w:r w:rsidR="00F36223">
        <w:t>traits</w:t>
      </w:r>
      <w:r w:rsidRPr="00BC2AA1">
        <w:t xml:space="preserve"> have been correlated to yield, with tillering and height being most highly correlated. </w:t>
      </w:r>
    </w:p>
    <w:p w14:paraId="5B085DFB" w14:textId="758EA860" w:rsidR="004C7D65" w:rsidRPr="00BC2AA1" w:rsidRDefault="004C7D65" w:rsidP="00F95441">
      <w:pPr>
        <w:ind w:firstLine="720"/>
      </w:pPr>
      <w:r w:rsidRPr="00BC2AA1">
        <w:t xml:space="preserve">Tillering was reported as one of the traits with the highest significant correlation to biomass yield in </w:t>
      </w:r>
      <w:r>
        <w:t>combined data on a lowland and two</w:t>
      </w:r>
      <w:r w:rsidRPr="00BC2AA1">
        <w:t xml:space="preserve"> upland ha</w:t>
      </w:r>
      <w:r>
        <w:t>lf-sib nurseries each grown at two</w:t>
      </w:r>
      <w:r w:rsidRPr="00BC2AA1">
        <w:t xml:space="preserve"> locations in Oklahoma (</w:t>
      </w:r>
      <w:r w:rsidR="00A61759">
        <w:t xml:space="preserve">r = </w:t>
      </w:r>
      <w:r w:rsidRPr="00BC2AA1">
        <w:t>0.60,0.68</w:t>
      </w:r>
      <w:r w:rsidR="00A61759">
        <w:t>)</w:t>
      </w:r>
      <w:r w:rsidRPr="00BC2AA1">
        <w:t xml:space="preserve"> </w:t>
      </w:r>
      <w:r w:rsidR="00301182" w:rsidRPr="00BC2AA1">
        <w:fldChar w:fldCharType="begin"/>
      </w:r>
      <w:r w:rsidR="00382C84">
        <w:instrText xml:space="preserve"> ADDIN EN.CITE &lt;EndNote&gt;&lt;Cite&gt;&lt;Author&gt;Das&lt;/Author&gt;&lt;Year&gt;2004&lt;/Year&gt;&lt;RecNum&gt;254&lt;/RecNum&gt;&lt;DisplayText&gt;(Das et al., 2004)&lt;/DisplayText&gt;&lt;record&gt;&lt;rec-number&gt;254&lt;/rec-number&gt;&lt;foreign-keys&gt;&lt;key app="EN" db-id="9zfxt259rawwvce0pfa5efeuatdw0pz5va5z" timestamp="1323887731"&gt;254&lt;/key&gt;&lt;/foreign-keys&gt;&lt;ref-type name="Journal Article"&gt;17&lt;/ref-type&gt;&lt;contributors&gt;&lt;authors&gt;&lt;author&gt;Das, M. K.&lt;/author&gt;&lt;author&gt;Fuentes, R. G.&lt;/author&gt;&lt;author&gt;Taliaferro, C. M.&lt;/author&gt;&lt;/authors&gt;&lt;/contributors&gt;&lt;titles&gt;&lt;title&gt;Genetic variability and trait relationships in switchgrass&lt;/title&gt;&lt;secondary-title&gt;Crop Sci.&lt;/secondary-title&gt;&lt;/titles&gt;&lt;periodical&gt;&lt;full-title&gt;Crop Sci.&lt;/full-title&gt;&lt;/periodical&gt;&lt;pages&gt;443-448&lt;/pages&gt;&lt;volume&gt;44&lt;/volume&gt;&lt;section&gt;443&lt;/section&gt;&lt;dates&gt;&lt;year&gt;2004&lt;/year&gt;&lt;/dates&gt;&lt;urls&gt;&lt;/urls&gt;&lt;/record&gt;&lt;/Cite&gt;&lt;/EndNote&gt;</w:instrText>
      </w:r>
      <w:r w:rsidR="00301182" w:rsidRPr="00BC2AA1">
        <w:fldChar w:fldCharType="separate"/>
      </w:r>
      <w:r w:rsidRPr="00BC2AA1">
        <w:rPr>
          <w:noProof/>
        </w:rPr>
        <w:t>(</w:t>
      </w:r>
      <w:hyperlink w:anchor="_ENREF_29" w:tooltip="Das, 2004 #254" w:history="1">
        <w:r w:rsidR="00FB5014" w:rsidRPr="00BC2AA1">
          <w:rPr>
            <w:noProof/>
          </w:rPr>
          <w:t>Das et al., 2004</w:t>
        </w:r>
      </w:hyperlink>
      <w:r w:rsidRPr="00BC2AA1">
        <w:rPr>
          <w:noProof/>
        </w:rPr>
        <w:t>)</w:t>
      </w:r>
      <w:r w:rsidR="00301182" w:rsidRPr="00BC2AA1">
        <w:fldChar w:fldCharType="end"/>
      </w:r>
      <w:r w:rsidRPr="00BC2AA1">
        <w:t xml:space="preserve"> and on a separate study of a lowland half-sib nursery also grown in Oklahoma (</w:t>
      </w:r>
      <w:r w:rsidR="00A61759">
        <w:t xml:space="preserve">r = </w:t>
      </w:r>
      <w:r w:rsidRPr="00BC2AA1">
        <w:t>0.73</w:t>
      </w:r>
      <w:r w:rsidR="00A61759">
        <w:t xml:space="preserve">) </w:t>
      </w:r>
      <w:r w:rsidR="00301182" w:rsidRPr="00BC2AA1">
        <w:fldChar w:fldCharType="begin"/>
      </w:r>
      <w:r w:rsidR="00382C84">
        <w:instrText xml:space="preserve"> ADDIN EN.CITE &lt;EndNote&gt;&lt;Cite&gt;&lt;Author&gt;Bhandari&lt;/Author&gt;&lt;Year&gt;2010&lt;/Year&gt;&lt;RecNum&gt;199&lt;/RecNum&gt;&lt;DisplayText&gt;(Bhandari et al., 2010)&lt;/DisplayText&gt;&lt;record&gt;&lt;rec-number&gt;199&lt;/rec-number&gt;&lt;foreign-keys&gt;&lt;key app="EN" db-id="9zfxt259rawwvce0pfa5efeuatdw0pz5va5z" timestamp="1316030756"&gt;199&lt;/key&gt;&lt;/foreign-keys&gt;&lt;ref-type name="Journal Article"&gt;17&lt;/ref-type&gt;&lt;contributors&gt;&lt;authors&gt;&lt;author&gt;Bhandari, H.S.&lt;/author&gt;&lt;author&gt;Saha, M.C.&lt;/author&gt;&lt;author&gt;Mascia, P.N.&lt;/author&gt;&lt;author&gt;Fasoula, V.A.&lt;/author&gt;&lt;author&gt;Bouton, J.H.&lt;/author&gt;&lt;/authors&gt;&lt;/contributors&gt;&lt;titles&gt;&lt;title&gt;&lt;style face="normal" font="default" size="100%"&gt;Variation among half-sib families and heritability for biomass yield and other traits in lowland switchgrass (&lt;/style&gt;&lt;style face="italic" font="default" size="100%"&gt;Panicum virgatum&lt;/style&gt;&lt;style face="normal" font="default" size="100%"&gt; L.)&lt;/style&gt;&lt;/title&gt;&lt;secondary-title&gt;Crop Sci.&lt;/secondary-title&gt;&lt;/titles&gt;&lt;periodical&gt;&lt;full-title&gt;Crop Sci.&lt;/full-title&gt;&lt;/periodical&gt;&lt;pages&gt;2355-2363&lt;/pages&gt;&lt;volume&gt;50&lt;/volume&gt;&lt;section&gt;2355&lt;/section&gt;&lt;dates&gt;&lt;year&gt;2010&lt;/year&gt;&lt;/dates&gt;&lt;urls&gt;&lt;/urls&gt;&lt;/record&gt;&lt;/Cite&gt;&lt;/EndNote&gt;</w:instrText>
      </w:r>
      <w:r w:rsidR="00301182" w:rsidRPr="00BC2AA1">
        <w:fldChar w:fldCharType="separate"/>
      </w:r>
      <w:r w:rsidRPr="00BC2AA1">
        <w:rPr>
          <w:noProof/>
        </w:rPr>
        <w:t>(</w:t>
      </w:r>
      <w:hyperlink w:anchor="_ENREF_12" w:tooltip="Bhandari, 2010 #199" w:history="1">
        <w:r w:rsidR="00FB5014" w:rsidRPr="00BC2AA1">
          <w:rPr>
            <w:noProof/>
          </w:rPr>
          <w:t>Bhandari et al., 2010</w:t>
        </w:r>
      </w:hyperlink>
      <w:r w:rsidRPr="00BC2AA1">
        <w:rPr>
          <w:noProof/>
        </w:rPr>
        <w:t>)</w:t>
      </w:r>
      <w:r w:rsidR="00301182" w:rsidRPr="00BC2AA1">
        <w:fldChar w:fldCharType="end"/>
      </w:r>
      <w:r w:rsidRPr="00BC2AA1">
        <w:rPr>
          <w:noProof/>
        </w:rPr>
        <w:t xml:space="preserve">. </w:t>
      </w:r>
      <w:r w:rsidRPr="00BC2AA1">
        <w:t>Results have varied in determining the significance of the relationship between tiller thickness and biomass yield, with a significant correlation (</w:t>
      </w:r>
      <w:r w:rsidR="00A61759">
        <w:t xml:space="preserve">r = </w:t>
      </w:r>
      <w:r w:rsidRPr="00BC2AA1">
        <w:t xml:space="preserve">0.38) reported by Bhandari et al. </w:t>
      </w:r>
      <w:r w:rsidR="00301182" w:rsidRPr="00BC2AA1">
        <w:fldChar w:fldCharType="begin"/>
      </w:r>
      <w:r w:rsidR="00382C84">
        <w:instrText xml:space="preserve"> ADDIN EN.CITE &lt;EndNote&gt;&lt;Cite ExcludeAuth="1"&gt;&lt;Author&gt;Bhandari&lt;/Author&gt;&lt;Year&gt;2010&lt;/Year&gt;&lt;RecNum&gt;199&lt;/RecNum&gt;&lt;DisplayText&gt;(2010)&lt;/DisplayText&gt;&lt;record&gt;&lt;rec-number&gt;199&lt;/rec-number&gt;&lt;foreign-keys&gt;&lt;key app="EN" db-id="9zfxt259rawwvce0pfa5efeuatdw0pz5va5z" timestamp="1316030756"&gt;199&lt;/key&gt;&lt;/foreign-keys&gt;&lt;ref-type name="Journal Article"&gt;17&lt;/ref-type&gt;&lt;contributors&gt;&lt;authors&gt;&lt;author&gt;Bhandari, H.S.&lt;/author&gt;&lt;author&gt;Saha, M.C.&lt;/author&gt;&lt;author&gt;Mascia, P.N.&lt;/author&gt;&lt;author&gt;Fasoula, V.A.&lt;/author&gt;&lt;author&gt;Bouton, J.H.&lt;/author&gt;&lt;/authors&gt;&lt;/contributors&gt;&lt;titles&gt;&lt;title&gt;&lt;style face="normal" font="default" size="100%"&gt;Variation among half-sib families and heritability for biomass yield and other traits in lowland switchgrass (&lt;/style&gt;&lt;style face="italic" font="default" size="100%"&gt;Panicum virgatum&lt;/style&gt;&lt;style face="normal" font="default" size="100%"&gt; L.)&lt;/style&gt;&lt;/title&gt;&lt;secondary-title&gt;Crop Sci.&lt;/secondary-title&gt;&lt;/titles&gt;&lt;periodical&gt;&lt;full-title&gt;Crop Sci.&lt;/full-title&gt;&lt;/periodical&gt;&lt;pages&gt;2355-2363&lt;/pages&gt;&lt;volume&gt;50&lt;/volume&gt;&lt;section&gt;2355&lt;/section&gt;&lt;dates&gt;&lt;year&gt;2010&lt;/year&gt;&lt;/dates&gt;&lt;urls&gt;&lt;/urls&gt;&lt;/record&gt;&lt;/Cite&gt;&lt;/EndNote&gt;</w:instrText>
      </w:r>
      <w:r w:rsidR="00301182" w:rsidRPr="00BC2AA1">
        <w:fldChar w:fldCharType="separate"/>
      </w:r>
      <w:r w:rsidRPr="00BC2AA1">
        <w:rPr>
          <w:noProof/>
        </w:rPr>
        <w:t>(</w:t>
      </w:r>
      <w:hyperlink w:anchor="_ENREF_12" w:tooltip="Bhandari, 2010 #199" w:history="1">
        <w:r w:rsidR="00FB5014" w:rsidRPr="00BC2AA1">
          <w:rPr>
            <w:noProof/>
          </w:rPr>
          <w:t>2010</w:t>
        </w:r>
      </w:hyperlink>
      <w:r w:rsidRPr="00BC2AA1">
        <w:rPr>
          <w:noProof/>
        </w:rPr>
        <w:t>)</w:t>
      </w:r>
      <w:r w:rsidR="00301182" w:rsidRPr="00BC2AA1">
        <w:fldChar w:fldCharType="end"/>
      </w:r>
      <w:r w:rsidRPr="00BC2AA1">
        <w:t xml:space="preserve"> and a non-significant correlation (</w:t>
      </w:r>
      <w:r w:rsidR="00A61759">
        <w:t xml:space="preserve">r = </w:t>
      </w:r>
      <w:r w:rsidRPr="00BC2AA1">
        <w:t xml:space="preserve">0.27) reported by Das et al </w:t>
      </w:r>
      <w:r w:rsidR="00301182" w:rsidRPr="00BC2AA1">
        <w:fldChar w:fldCharType="begin"/>
      </w:r>
      <w:r w:rsidR="00382C84">
        <w:instrText xml:space="preserve"> ADDIN EN.CITE &lt;EndNote&gt;&lt;Cite ExcludeAuth="1"&gt;&lt;Author&gt;Das&lt;/Author&gt;&lt;Year&gt;2004&lt;/Year&gt;&lt;RecNum&gt;254&lt;/RecNum&gt;&lt;DisplayText&gt;(2004)&lt;/DisplayText&gt;&lt;record&gt;&lt;rec-number&gt;254&lt;/rec-number&gt;&lt;foreign-keys&gt;&lt;key app="EN" db-id="9zfxt259rawwvce0pfa5efeuatdw0pz5va5z" timestamp="1323887731"&gt;254&lt;/key&gt;&lt;/foreign-keys&gt;&lt;ref-type name="Journal Article"&gt;17&lt;/ref-type&gt;&lt;contributors&gt;&lt;authors&gt;&lt;author&gt;Das, M. K.&lt;/author&gt;&lt;author&gt;Fuentes, R. G.&lt;/author&gt;&lt;author&gt;Taliaferro, C. M.&lt;/author&gt;&lt;/authors&gt;&lt;/contributors&gt;&lt;titles&gt;&lt;title&gt;Genetic variability and trait relationships in switchgrass&lt;/title&gt;&lt;secondary-title&gt;Crop Sci.&lt;/secondary-title&gt;&lt;/titles&gt;&lt;periodical&gt;&lt;full-title&gt;Crop Sci.&lt;/full-title&gt;&lt;/periodical&gt;&lt;pages&gt;443-448&lt;/pages&gt;&lt;volume&gt;44&lt;/volume&gt;&lt;section&gt;443&lt;/section&gt;&lt;dates&gt;&lt;year&gt;2004&lt;/year&gt;&lt;/dates&gt;&lt;urls&gt;&lt;/urls&gt;&lt;/record&gt;&lt;/Cite&gt;&lt;/EndNote&gt;</w:instrText>
      </w:r>
      <w:r w:rsidR="00301182" w:rsidRPr="00BC2AA1">
        <w:fldChar w:fldCharType="separate"/>
      </w:r>
      <w:r w:rsidRPr="00BC2AA1">
        <w:rPr>
          <w:noProof/>
        </w:rPr>
        <w:t>(</w:t>
      </w:r>
      <w:hyperlink w:anchor="_ENREF_29" w:tooltip="Das, 2004 #254" w:history="1">
        <w:r w:rsidR="00FB5014" w:rsidRPr="00BC2AA1">
          <w:rPr>
            <w:noProof/>
          </w:rPr>
          <w:t>2004</w:t>
        </w:r>
      </w:hyperlink>
      <w:r w:rsidRPr="00BC2AA1">
        <w:rPr>
          <w:noProof/>
        </w:rPr>
        <w:t>)</w:t>
      </w:r>
      <w:r w:rsidR="00301182" w:rsidRPr="00BC2AA1">
        <w:fldChar w:fldCharType="end"/>
      </w:r>
      <w:r w:rsidRPr="00BC2AA1">
        <w:t xml:space="preserve">. Boe et al. (2007) examined the relationship of </w:t>
      </w:r>
      <w:r w:rsidRPr="00BC2AA1">
        <w:lastRenderedPageBreak/>
        <w:t xml:space="preserve">tillering and biomass yield in further detail by measuring multiple tillering characteristics </w:t>
      </w:r>
      <w:r>
        <w:t xml:space="preserve">in two upland populations, </w:t>
      </w:r>
      <w:r w:rsidR="00F36223">
        <w:t>‘</w:t>
      </w:r>
      <w:r>
        <w:t>Summer</w:t>
      </w:r>
      <w:r w:rsidR="00F36223">
        <w:t>’</w:t>
      </w:r>
      <w:r>
        <w:t xml:space="preserve"> and </w:t>
      </w:r>
      <w:r w:rsidR="00F36223">
        <w:t>‘</w:t>
      </w:r>
      <w:r>
        <w:t>S</w:t>
      </w:r>
      <w:r w:rsidRPr="00BC2AA1">
        <w:t>unburst</w:t>
      </w:r>
      <w:r w:rsidR="00F36223">
        <w:t>’</w:t>
      </w:r>
      <w:r w:rsidRPr="00BC2AA1">
        <w:t>, under sward conditions. In this study, the number of tillers m</w:t>
      </w:r>
      <w:r w:rsidRPr="00BC2AA1">
        <w:rPr>
          <w:vertAlign w:val="superscript"/>
        </w:rPr>
        <w:t>-2</w:t>
      </w:r>
      <w:r w:rsidRPr="00BC2AA1">
        <w:t xml:space="preserve"> (</w:t>
      </w:r>
      <w:r w:rsidR="00A61759">
        <w:t xml:space="preserve">r = </w:t>
      </w:r>
      <w:r w:rsidRPr="00BC2AA1">
        <w:t>0.</w:t>
      </w:r>
      <w:r>
        <w:t>28</w:t>
      </w:r>
      <w:r w:rsidRPr="00BC2AA1">
        <w:t>), the number of reproductive tillers m</w:t>
      </w:r>
      <w:r w:rsidRPr="00BC2AA1">
        <w:rPr>
          <w:vertAlign w:val="superscript"/>
        </w:rPr>
        <w:t>-2</w:t>
      </w:r>
      <w:r w:rsidRPr="00BC2AA1">
        <w:t xml:space="preserve"> (</w:t>
      </w:r>
      <w:r w:rsidR="00A61759">
        <w:t xml:space="preserve">r = </w:t>
      </w:r>
      <w:r w:rsidRPr="00BC2AA1">
        <w:t>0.</w:t>
      </w:r>
      <w:r>
        <w:t>88</w:t>
      </w:r>
      <w:r w:rsidRPr="00BC2AA1">
        <w:t>), and the mass tiller</w:t>
      </w:r>
      <w:r w:rsidRPr="00BC2AA1">
        <w:rPr>
          <w:vertAlign w:val="superscript"/>
        </w:rPr>
        <w:t>-1</w:t>
      </w:r>
      <w:r w:rsidRPr="00BC2AA1">
        <w:t xml:space="preserve"> (</w:t>
      </w:r>
      <w:r w:rsidR="00A61759">
        <w:t xml:space="preserve">r = </w:t>
      </w:r>
      <w:r w:rsidRPr="00BC2AA1">
        <w:t>0.</w:t>
      </w:r>
      <w:r>
        <w:t>67</w:t>
      </w:r>
      <w:r w:rsidRPr="00BC2AA1">
        <w:t>) all had a significant linear relationship with biomass yield. These results suggest yield can be improved through selection for both increased tiller size and tiller mass</w:t>
      </w:r>
      <w:r w:rsidR="00954DB7">
        <w:t xml:space="preserve">. </w:t>
      </w:r>
      <w:r w:rsidRPr="00BC2AA1">
        <w:t>However, these traits may be inversely related</w:t>
      </w:r>
      <w:r w:rsidR="00954DB7">
        <w:t xml:space="preserve">. </w:t>
      </w:r>
      <w:r w:rsidRPr="00BC2AA1">
        <w:t>In a study by Smart et al.</w:t>
      </w:r>
      <w:r w:rsidR="00A61759">
        <w:t xml:space="preserve"> </w:t>
      </w:r>
      <w:r w:rsidR="00301182" w:rsidRPr="00BC2AA1">
        <w:fldChar w:fldCharType="begin"/>
      </w:r>
      <w:r w:rsidR="00382C84">
        <w:instrText xml:space="preserve"> ADDIN EN.CITE &lt;EndNote&gt;&lt;Cite ExcludeAuth="1"&gt;&lt;Author&gt;Smart&lt;/Author&gt;&lt;Year&gt;2004&lt;/Year&gt;&lt;RecNum&gt;200&lt;/RecNum&gt;&lt;DisplayText&gt;(2004)&lt;/DisplayText&gt;&lt;record&gt;&lt;rec-number&gt;200&lt;/rec-number&gt;&lt;foreign-keys&gt;&lt;key app="EN" db-id="9zfxt259rawwvce0pfa5efeuatdw0pz5va5z" timestamp="1316095738"&gt;200&lt;/key&gt;&lt;/foreign-keys&gt;&lt;ref-type name="Journal Article"&gt;17&lt;/ref-type&gt;&lt;contributors&gt;&lt;authors&gt;&lt;author&gt;Smart, A.J.&lt;/author&gt;&lt;author&gt;Moser, L.E.&lt;/author&gt;&lt;author&gt;Vogel, K.P.&lt;/author&gt;&lt;/authors&gt;&lt;/contributors&gt;&lt;titles&gt;&lt;title&gt;Morphological characteristics of big bluestem and switchgrass plants divergently selected for seedling tiller number&lt;/title&gt;&lt;secondary-title&gt;Crop Sci.&lt;/secondary-title&gt;&lt;/titles&gt;&lt;periodical&gt;&lt;full-title&gt;Crop Sci.&lt;/full-title&gt;&lt;/periodical&gt;&lt;pages&gt;607-613&lt;/pages&gt;&lt;volume&gt;44&lt;/volume&gt;&lt;section&gt;607&lt;/section&gt;&lt;dates&gt;&lt;year&gt;2004&lt;/year&gt;&lt;/dates&gt;&lt;urls&gt;&lt;/urls&gt;&lt;/record&gt;&lt;/Cite&gt;&lt;/EndNote&gt;</w:instrText>
      </w:r>
      <w:r w:rsidR="00301182" w:rsidRPr="00BC2AA1">
        <w:fldChar w:fldCharType="separate"/>
      </w:r>
      <w:r w:rsidRPr="00BC2AA1">
        <w:rPr>
          <w:noProof/>
        </w:rPr>
        <w:t>(</w:t>
      </w:r>
      <w:hyperlink w:anchor="_ENREF_89" w:tooltip="Smart, 2004 #200" w:history="1">
        <w:r w:rsidR="00FB5014" w:rsidRPr="00BC2AA1">
          <w:rPr>
            <w:noProof/>
          </w:rPr>
          <w:t>2004</w:t>
        </w:r>
      </w:hyperlink>
      <w:r w:rsidRPr="00BC2AA1">
        <w:rPr>
          <w:noProof/>
        </w:rPr>
        <w:t>)</w:t>
      </w:r>
      <w:r w:rsidR="00301182" w:rsidRPr="00BC2AA1">
        <w:fldChar w:fldCharType="end"/>
      </w:r>
      <w:r w:rsidRPr="00BC2AA1">
        <w:t>, switchgrass plants divergently bred for tiller number showed a significant increase in yield per tiller in the low tillering population compared to the high tillering population but no significant difference in total yield per plant between the two populations</w:t>
      </w:r>
      <w:r w:rsidR="00954DB7">
        <w:t xml:space="preserve">. </w:t>
      </w:r>
      <w:r w:rsidRPr="00BC2AA1">
        <w:t xml:space="preserve">Based on these results, selecting for high tillering alone may unintentionally </w:t>
      </w:r>
      <w:r w:rsidR="00893CD8">
        <w:t>result in</w:t>
      </w:r>
      <w:r w:rsidRPr="00BC2AA1">
        <w:t xml:space="preserve"> carbon reallocation into additional, smaller tillers, rather than an overall carbon increase. Narrow sense heritability estimates for tillering ability, stem thickness, and plant spread ha</w:t>
      </w:r>
      <w:r>
        <w:t>ve been calculated using parent-</w:t>
      </w:r>
      <w:r w:rsidRPr="00BC2AA1">
        <w:t>progeny regression as 0.48</w:t>
      </w:r>
      <w:r w:rsidR="00F40B4A">
        <w:t xml:space="preserve"> </w:t>
      </w:r>
      <w:r w:rsidRPr="00BC2AA1">
        <w:t>(±</w:t>
      </w:r>
      <w:r w:rsidR="00A61759">
        <w:t xml:space="preserve"> </w:t>
      </w:r>
      <w:r w:rsidRPr="00BC2AA1">
        <w:t>0.12), 0.27</w:t>
      </w:r>
      <w:r w:rsidR="00F40B4A">
        <w:t xml:space="preserve"> </w:t>
      </w:r>
      <w:r w:rsidRPr="00BC2AA1">
        <w:t>(±</w:t>
      </w:r>
      <w:r w:rsidR="00A61759">
        <w:t xml:space="preserve"> </w:t>
      </w:r>
      <w:r w:rsidRPr="00BC2AA1">
        <w:t>0.08), and 0.65</w:t>
      </w:r>
      <w:r w:rsidR="00F40B4A">
        <w:t xml:space="preserve"> (±0.14)</w:t>
      </w:r>
      <w:r>
        <w:t>,</w:t>
      </w:r>
      <w:r w:rsidR="00F40B4A">
        <w:t xml:space="preserve"> </w:t>
      </w:r>
      <w:r w:rsidRPr="00BC2AA1">
        <w:t>respectively</w:t>
      </w:r>
      <w:r>
        <w:t>, in a lowland half-</w:t>
      </w:r>
      <w:r w:rsidRPr="00BC2AA1">
        <w:t xml:space="preserve">sib population </w:t>
      </w:r>
      <w:r w:rsidR="00301182" w:rsidRPr="00BC2AA1">
        <w:fldChar w:fldCharType="begin"/>
      </w:r>
      <w:r w:rsidR="00382C84">
        <w:instrText xml:space="preserve"> ADDIN EN.CITE &lt;EndNote&gt;&lt;Cite&gt;&lt;Author&gt;Bhandari&lt;/Author&gt;&lt;Year&gt;2010&lt;/Year&gt;&lt;RecNum&gt;199&lt;/RecNum&gt;&lt;DisplayText&gt;(Bhandari et al., 2010)&lt;/DisplayText&gt;&lt;record&gt;&lt;rec-number&gt;199&lt;/rec-number&gt;&lt;foreign-keys&gt;&lt;key app="EN" db-id="9zfxt259rawwvce0pfa5efeuatdw0pz5va5z" timestamp="1316030756"&gt;199&lt;/key&gt;&lt;/foreign-keys&gt;&lt;ref-type name="Journal Article"&gt;17&lt;/ref-type&gt;&lt;contributors&gt;&lt;authors&gt;&lt;author&gt;Bhandari, H.S.&lt;/author&gt;&lt;author&gt;Saha, M.C.&lt;/author&gt;&lt;author&gt;Mascia, P.N.&lt;/author&gt;&lt;author&gt;Fasoula, V.A.&lt;/author&gt;&lt;author&gt;Bouton, J.H.&lt;/author&gt;&lt;/authors&gt;&lt;/contributors&gt;&lt;titles&gt;&lt;title&gt;&lt;style face="normal" font="default" size="100%"&gt;Variation among half-sib families and heritability for biomass yield and other traits in lowland switchgrass (&lt;/style&gt;&lt;style face="italic" font="default" size="100%"&gt;Panicum virgatum&lt;/style&gt;&lt;style face="normal" font="default" size="100%"&gt; L.)&lt;/style&gt;&lt;/title&gt;&lt;secondary-title&gt;Crop Sci.&lt;/secondary-title&gt;&lt;/titles&gt;&lt;periodical&gt;&lt;full-title&gt;Crop Sci.&lt;/full-title&gt;&lt;/periodical&gt;&lt;pages&gt;2355-2363&lt;/pages&gt;&lt;volume&gt;50&lt;/volume&gt;&lt;section&gt;2355&lt;/section&gt;&lt;dates&gt;&lt;year&gt;2010&lt;/year&gt;&lt;/dates&gt;&lt;urls&gt;&lt;/urls&gt;&lt;/record&gt;&lt;/Cite&gt;&lt;/EndNote&gt;</w:instrText>
      </w:r>
      <w:r w:rsidR="00301182" w:rsidRPr="00BC2AA1">
        <w:fldChar w:fldCharType="separate"/>
      </w:r>
      <w:r w:rsidRPr="00BC2AA1">
        <w:rPr>
          <w:noProof/>
        </w:rPr>
        <w:t>(</w:t>
      </w:r>
      <w:hyperlink w:anchor="_ENREF_12" w:tooltip="Bhandari, 2010 #199" w:history="1">
        <w:r w:rsidR="00FB5014" w:rsidRPr="00BC2AA1">
          <w:rPr>
            <w:noProof/>
          </w:rPr>
          <w:t>Bhandari et al., 2010</w:t>
        </w:r>
      </w:hyperlink>
      <w:r w:rsidRPr="00BC2AA1">
        <w:rPr>
          <w:noProof/>
        </w:rPr>
        <w:t>)</w:t>
      </w:r>
      <w:r w:rsidR="00301182" w:rsidRPr="00BC2AA1">
        <w:fldChar w:fldCharType="end"/>
      </w:r>
      <w:r w:rsidRPr="00BC2AA1">
        <w:t>.</w:t>
      </w:r>
    </w:p>
    <w:p w14:paraId="6B0A548D" w14:textId="36393F23" w:rsidR="004C7D65" w:rsidRPr="00BC2AA1" w:rsidRDefault="004C7D65" w:rsidP="00F95441">
      <w:pPr>
        <w:ind w:firstLine="720"/>
      </w:pPr>
      <w:r w:rsidRPr="00BC2AA1">
        <w:t>Height has also been shown to have a high correlation to bio</w:t>
      </w:r>
      <w:r w:rsidR="0092781B">
        <w:t>mass yield. Newell and Eberhart</w:t>
      </w:r>
      <w:r w:rsidRPr="00BC2AA1">
        <w:t xml:space="preserve"> </w:t>
      </w:r>
      <w:r w:rsidR="00301182" w:rsidRPr="00BC2AA1">
        <w:fldChar w:fldCharType="begin"/>
      </w:r>
      <w:r w:rsidR="00382C84">
        <w:instrText xml:space="preserve"> ADDIN EN.CITE &lt;EndNote&gt;&lt;Cite ExcludeAuth="1"&gt;&lt;Author&gt;Newell&lt;/Author&gt;&lt;Year&gt;1961&lt;/Year&gt;&lt;RecNum&gt;1&lt;/RecNum&gt;&lt;DisplayText&gt;(1961)&lt;/DisplayText&gt;&lt;record&gt;&lt;rec-number&gt;1&lt;/rec-number&gt;&lt;foreign-keys&gt;&lt;key app="EN" db-id="pzapdt5tozd203ep29uxfef0zrwae9xd922v"&gt;1&lt;/key&gt;&lt;/foreign-keys&gt;&lt;ref-type name="Journal Article"&gt;17&lt;/ref-type&gt;&lt;contributors&gt;&lt;authors&gt;&lt;author&gt;Newell, L.C.&lt;/author&gt;&lt;author&gt;Eberhart, S.A.&lt;/author&gt;&lt;/authors&gt;&lt;/contributors&gt;&lt;titles&gt;&lt;title&gt;&lt;style face="normal" font="default" size="100%"&gt;Clone and progeny evaluation in the improvement of switchgrass, &lt;/style&gt;&lt;style face="italic" font="default" size="100%"&gt;Panicum virgatum &lt;/style&gt;&lt;style face="normal" font="default" size="100%"&gt;L.&lt;/style&gt;&lt;/title&gt;&lt;secondary-title&gt;Crop Science&lt;/secondary-title&gt;&lt;/titles&gt;&lt;pages&gt;117-121&lt;/pages&gt;&lt;volume&gt;1&lt;/volume&gt;&lt;section&gt;117&lt;/section&gt;&lt;dates&gt;&lt;year&gt;1961&lt;/year&gt;&lt;/dates&gt;&lt;urls&gt;&lt;/urls&gt;&lt;/record&gt;&lt;/Cite&gt;&lt;/EndNote&gt;</w:instrText>
      </w:r>
      <w:r w:rsidR="00301182" w:rsidRPr="00BC2AA1">
        <w:fldChar w:fldCharType="separate"/>
      </w:r>
      <w:r w:rsidR="00382C84">
        <w:rPr>
          <w:noProof/>
        </w:rPr>
        <w:t>(</w:t>
      </w:r>
      <w:hyperlink w:anchor="_ENREF_74" w:tooltip="Newell, 1961 #1" w:history="1">
        <w:r w:rsidR="00FB5014">
          <w:rPr>
            <w:noProof/>
          </w:rPr>
          <w:t>1961</w:t>
        </w:r>
      </w:hyperlink>
      <w:r w:rsidR="00382C84">
        <w:rPr>
          <w:noProof/>
        </w:rPr>
        <w:t>)</w:t>
      </w:r>
      <w:r w:rsidR="00301182" w:rsidRPr="00BC2AA1">
        <w:fldChar w:fldCharType="end"/>
      </w:r>
      <w:r w:rsidRPr="00BC2AA1">
        <w:t xml:space="preserve"> reported significant correlations of height with biomass yield (</w:t>
      </w:r>
      <w:r w:rsidR="00A61759">
        <w:t xml:space="preserve">r = </w:t>
      </w:r>
      <w:r w:rsidRPr="00BC2AA1">
        <w:t xml:space="preserve">0.39) for a population described only as medium-tall, blue green. Results from a study by Talbert et al. </w:t>
      </w:r>
      <w:r w:rsidR="00301182" w:rsidRPr="00BC2AA1">
        <w:fldChar w:fldCharType="begin"/>
      </w:r>
      <w:r w:rsidR="00382C84">
        <w:instrText xml:space="preserve"> ADDIN EN.CITE &lt;EndNote&gt;&lt;Cite ExcludeAuth="1"&gt;&lt;Author&gt;Talbert&lt;/Author&gt;&lt;Year&gt;1983&lt;/Year&gt;&lt;RecNum&gt;197&lt;/RecNum&gt;&lt;DisplayText&gt;(1983)&lt;/DisplayText&gt;&lt;record&gt;&lt;rec-number&gt;197&lt;/rec-number&gt;&lt;foreign-keys&gt;&lt;key app="EN" db-id="9zfxt259rawwvce0pfa5efeuatdw0pz5va5z" timestamp="1312483817"&gt;197&lt;/key&gt;&lt;/foreign-keys&gt;&lt;ref-type name="Journal Article"&gt;17&lt;/ref-type&gt;&lt;contributors&gt;&lt;authors&gt;&lt;author&gt;Talbert, L.E.&lt;/author&gt;&lt;author&gt;Timothy, D.H.&lt;/author&gt;&lt;author&gt;Burns, J.C.&lt;/author&gt;&lt;author&gt;Rawlings, J.O.&lt;/author&gt;&lt;author&gt;Moll, R.H.&lt;/author&gt;&lt;/authors&gt;&lt;/contributors&gt;&lt;titles&gt;&lt;title&gt;Estimates of genetic parameters in switchgrass&lt;/title&gt;&lt;secondary-title&gt;Crop Sci.&lt;/secondary-title&gt;&lt;/titles&gt;&lt;periodical&gt;&lt;full-title&gt;Crop Sci.&lt;/full-title&gt;&lt;/periodical&gt;&lt;pages&gt;725-728&lt;/pages&gt;&lt;volume&gt;23&lt;/volume&gt;&lt;dates&gt;&lt;year&gt;1983&lt;/year&gt;&lt;/dates&gt;&lt;urls&gt;&lt;/urls&gt;&lt;/record&gt;&lt;/Cite&gt;&lt;/EndNote&gt;</w:instrText>
      </w:r>
      <w:r w:rsidR="00301182" w:rsidRPr="00BC2AA1">
        <w:fldChar w:fldCharType="separate"/>
      </w:r>
      <w:r w:rsidRPr="00BC2AA1">
        <w:rPr>
          <w:noProof/>
        </w:rPr>
        <w:t>(</w:t>
      </w:r>
      <w:hyperlink w:anchor="_ENREF_92" w:tooltip="Talbert, 1983 #197" w:history="1">
        <w:r w:rsidR="00FB5014" w:rsidRPr="00BC2AA1">
          <w:rPr>
            <w:noProof/>
          </w:rPr>
          <w:t>1983</w:t>
        </w:r>
      </w:hyperlink>
      <w:r w:rsidRPr="00BC2AA1">
        <w:rPr>
          <w:noProof/>
        </w:rPr>
        <w:t>)</w:t>
      </w:r>
      <w:r w:rsidR="00301182" w:rsidRPr="00BC2AA1">
        <w:fldChar w:fldCharType="end"/>
      </w:r>
      <w:r w:rsidRPr="00BC2AA1">
        <w:t xml:space="preserve"> introduced the possibility of using height as an early selection criteria prior to anthesis with findings of significant, and relatively consistent, correlations between height and biomass yield when height was measured in late April</w:t>
      </w:r>
      <w:r w:rsidR="0092781B">
        <w:t xml:space="preserve"> </w:t>
      </w:r>
      <w:r w:rsidRPr="00BC2AA1">
        <w:t>(</w:t>
      </w:r>
      <w:r w:rsidR="00A61759">
        <w:t xml:space="preserve">r = </w:t>
      </w:r>
      <w:r w:rsidRPr="00BC2AA1">
        <w:t>0.69), May</w:t>
      </w:r>
      <w:r w:rsidR="0092781B">
        <w:t xml:space="preserve"> </w:t>
      </w:r>
      <w:r w:rsidRPr="00BC2AA1">
        <w:t>(</w:t>
      </w:r>
      <w:r w:rsidR="00A61759">
        <w:t xml:space="preserve">r = </w:t>
      </w:r>
      <w:r w:rsidRPr="00BC2AA1">
        <w:t>0.67), or June</w:t>
      </w:r>
      <w:r w:rsidR="0092781B">
        <w:t xml:space="preserve"> </w:t>
      </w:r>
      <w:r w:rsidRPr="00BC2AA1">
        <w:t>(</w:t>
      </w:r>
      <w:r w:rsidR="00A61759">
        <w:t xml:space="preserve">r = </w:t>
      </w:r>
      <w:r w:rsidRPr="00BC2AA1">
        <w:t xml:space="preserve">0.65) on a lowland half-sib nursery. </w:t>
      </w:r>
      <w:r w:rsidR="00301182" w:rsidRPr="00BC2AA1">
        <w:fldChar w:fldCharType="begin"/>
      </w:r>
      <w:r w:rsidR="00382C84">
        <w:instrText xml:space="preserve"> ADDIN EN.CITE &lt;EndNote&gt;&lt;Cite&gt;&lt;Author&gt;Talbert&lt;/Author&gt;&lt;Year&gt;1983&lt;/Year&gt;&lt;RecNum&gt;197&lt;/RecNum&gt;&lt;DisplayText&gt;(Talbert et al., 1983)&lt;/DisplayText&gt;&lt;record&gt;&lt;rec-number&gt;197&lt;/rec-number&gt;&lt;foreign-keys&gt;&lt;key app="EN" db-id="9zfxt259rawwvce0pfa5efeuatdw0pz5va5z" timestamp="1312483817"&gt;197&lt;/key&gt;&lt;/foreign-keys&gt;&lt;ref-type name="Journal Article"&gt;17&lt;/ref-type&gt;&lt;contributors&gt;&lt;authors&gt;&lt;author&gt;Talbert, L.E.&lt;/author&gt;&lt;author&gt;Timothy, D.H.&lt;/author&gt;&lt;author&gt;Burns, J.C.&lt;/author&gt;&lt;author&gt;Rawlings, J.O.&lt;/author&gt;&lt;author&gt;Moll, R.H.&lt;/author&gt;&lt;/authors&gt;&lt;/contributors&gt;&lt;titles&gt;&lt;title&gt;Estimates of genetic parameters in switchgrass&lt;/title&gt;&lt;secondary-title&gt;Crop Sci.&lt;/secondary-title&gt;&lt;/titles&gt;&lt;periodical&gt;&lt;full-title&gt;Crop Sci.&lt;/full-title&gt;&lt;/periodical&gt;&lt;pages&gt;725-728&lt;/pages&gt;&lt;volume&gt;23&lt;/volume&gt;&lt;dates&gt;&lt;year&gt;1983&lt;/year&gt;&lt;/dates&gt;&lt;urls&gt;&lt;/urls&gt;&lt;/record&gt;&lt;/Cite&gt;&lt;/EndNote&gt;</w:instrText>
      </w:r>
      <w:r w:rsidR="00301182" w:rsidRPr="00BC2AA1">
        <w:fldChar w:fldCharType="separate"/>
      </w:r>
      <w:r w:rsidRPr="00BC2AA1">
        <w:rPr>
          <w:noProof/>
        </w:rPr>
        <w:t>(</w:t>
      </w:r>
      <w:hyperlink w:anchor="_ENREF_92" w:tooltip="Talbert, 1983 #197" w:history="1">
        <w:r w:rsidR="00FB5014" w:rsidRPr="00BC2AA1">
          <w:rPr>
            <w:noProof/>
          </w:rPr>
          <w:t>Talbert et al., 1983</w:t>
        </w:r>
      </w:hyperlink>
      <w:r w:rsidRPr="00BC2AA1">
        <w:rPr>
          <w:noProof/>
        </w:rPr>
        <w:t>)</w:t>
      </w:r>
      <w:r w:rsidR="00301182" w:rsidRPr="00BC2AA1">
        <w:fldChar w:fldCharType="end"/>
      </w:r>
      <w:r w:rsidRPr="00BC2AA1">
        <w:t>. Narrow sense heritability estimates for</w:t>
      </w:r>
      <w:r>
        <w:t xml:space="preserve"> height calculated using parent-</w:t>
      </w:r>
      <w:r w:rsidRPr="00BC2AA1">
        <w:t>progeny regression range from 0.47</w:t>
      </w:r>
      <w:r w:rsidR="0092781B">
        <w:t xml:space="preserve"> </w:t>
      </w:r>
      <w:r w:rsidRPr="00BC2AA1">
        <w:t>(±</w:t>
      </w:r>
      <w:r w:rsidR="00A61759">
        <w:t xml:space="preserve"> </w:t>
      </w:r>
      <w:r w:rsidRPr="00BC2AA1">
        <w:t>0.14) in lowland populations and 0.63</w:t>
      </w:r>
      <w:r w:rsidR="0092781B">
        <w:t xml:space="preserve"> (±</w:t>
      </w:r>
      <w:r w:rsidR="00A61759">
        <w:t xml:space="preserve"> </w:t>
      </w:r>
      <w:r w:rsidR="0092781B">
        <w:t xml:space="preserve">0.14) to </w:t>
      </w:r>
      <w:r w:rsidRPr="00BC2AA1">
        <w:t>1.41</w:t>
      </w:r>
      <w:r w:rsidR="0092781B">
        <w:t xml:space="preserve"> </w:t>
      </w:r>
      <w:r w:rsidRPr="00BC2AA1">
        <w:t>(±</w:t>
      </w:r>
      <w:r w:rsidR="00A61759">
        <w:t xml:space="preserve"> </w:t>
      </w:r>
      <w:r w:rsidRPr="00BC2AA1">
        <w:t xml:space="preserve">0.43) in populations not classified as lowland or upland. </w:t>
      </w:r>
    </w:p>
    <w:p w14:paraId="065A946C" w14:textId="68B8C31D" w:rsidR="004C7D65" w:rsidRPr="00BC2AA1" w:rsidRDefault="004C7D65" w:rsidP="00F95441">
      <w:pPr>
        <w:ind w:firstLine="720"/>
      </w:pPr>
      <w:r>
        <w:lastRenderedPageBreak/>
        <w:t>Correlations and heritability values have also been reported for the following</w:t>
      </w:r>
      <w:r w:rsidRPr="00BC2AA1">
        <w:t xml:space="preserve"> traits</w:t>
      </w:r>
      <w:r>
        <w:t xml:space="preserve"> that show</w:t>
      </w:r>
      <w:r w:rsidRPr="00BC2AA1">
        <w:t xml:space="preserve"> significant, though smaller</w:t>
      </w:r>
      <w:r>
        <w:t xml:space="preserve">, correlations to biomass yield: </w:t>
      </w:r>
      <w:r w:rsidRPr="00BC2AA1">
        <w:t>in lowland populations, maturity (r = 0.33, h</w:t>
      </w:r>
      <w:r w:rsidR="00893CD8">
        <w:rPr>
          <w:vertAlign w:val="superscript"/>
        </w:rPr>
        <w:t>2</w:t>
      </w:r>
      <w:r w:rsidR="00A61759">
        <w:rPr>
          <w:vertAlign w:val="superscript"/>
        </w:rPr>
        <w:t xml:space="preserve"> </w:t>
      </w:r>
      <w:r w:rsidRPr="00BC2AA1">
        <w:t>=</w:t>
      </w:r>
      <w:r w:rsidR="00A61759">
        <w:t xml:space="preserve"> </w:t>
      </w:r>
      <w:r w:rsidRPr="00BC2AA1">
        <w:t>0.91), percent nitrogen measured in May, June, and July (</w:t>
      </w:r>
      <w:r w:rsidR="00A61759">
        <w:t xml:space="preserve">r = </w:t>
      </w:r>
      <w:r w:rsidRPr="00BC2AA1">
        <w:t>0.52,</w:t>
      </w:r>
      <w:r w:rsidR="00A61759">
        <w:t xml:space="preserve"> </w:t>
      </w:r>
      <w:r w:rsidRPr="00BC2AA1">
        <w:t>0.67,</w:t>
      </w:r>
      <w:r w:rsidR="00A61759">
        <w:t xml:space="preserve"> </w:t>
      </w:r>
      <w:r w:rsidRPr="00BC2AA1">
        <w:t>0.44, h</w:t>
      </w:r>
      <w:r w:rsidR="00893CD8">
        <w:rPr>
          <w:vertAlign w:val="superscript"/>
        </w:rPr>
        <w:t>2</w:t>
      </w:r>
      <w:r w:rsidR="00A61759">
        <w:rPr>
          <w:vertAlign w:val="superscript"/>
        </w:rPr>
        <w:t xml:space="preserve"> </w:t>
      </w:r>
      <w:r w:rsidRPr="00BC2AA1">
        <w:t>=</w:t>
      </w:r>
      <w:r w:rsidR="00A61759">
        <w:t xml:space="preserve"> </w:t>
      </w:r>
      <w:r w:rsidRPr="00BC2AA1">
        <w:t>0.73,</w:t>
      </w:r>
      <w:r w:rsidR="00A61759">
        <w:t xml:space="preserve"> </w:t>
      </w:r>
      <w:r w:rsidRPr="00BC2AA1">
        <w:t>0.78,</w:t>
      </w:r>
      <w:r w:rsidR="00A61759">
        <w:t xml:space="preserve"> </w:t>
      </w:r>
      <w:r w:rsidRPr="00BC2AA1">
        <w:t xml:space="preserve">0.71) </w:t>
      </w:r>
      <w:r w:rsidR="00301182" w:rsidRPr="00BC2AA1">
        <w:fldChar w:fldCharType="begin"/>
      </w:r>
      <w:r w:rsidR="00382C84">
        <w:instrText xml:space="preserve"> ADDIN EN.CITE &lt;EndNote&gt;&lt;Cite&gt;&lt;Author&gt;Talbert&lt;/Author&gt;&lt;Year&gt;1983&lt;/Year&gt;&lt;RecNum&gt;197&lt;/RecNum&gt;&lt;DisplayText&gt;(Talbert et al., 1983)&lt;/DisplayText&gt;&lt;record&gt;&lt;rec-number&gt;197&lt;/rec-number&gt;&lt;foreign-keys&gt;&lt;key app="EN" db-id="9zfxt259rawwvce0pfa5efeuatdw0pz5va5z" timestamp="1312483817"&gt;197&lt;/key&gt;&lt;/foreign-keys&gt;&lt;ref-type name="Journal Article"&gt;17&lt;/ref-type&gt;&lt;contributors&gt;&lt;authors&gt;&lt;author&gt;Talbert, L.E.&lt;/author&gt;&lt;author&gt;Timothy, D.H.&lt;/author&gt;&lt;author&gt;Burns, J.C.&lt;/author&gt;&lt;author&gt;Rawlings, J.O.&lt;/author&gt;&lt;author&gt;Moll, R.H.&lt;/author&gt;&lt;/authors&gt;&lt;/contributors&gt;&lt;titles&gt;&lt;title&gt;Estimates of genetic parameters in switchgrass&lt;/title&gt;&lt;secondary-title&gt;Crop Sci.&lt;/secondary-title&gt;&lt;/titles&gt;&lt;periodical&gt;&lt;full-title&gt;Crop Sci.&lt;/full-title&gt;&lt;/periodical&gt;&lt;pages&gt;725-728&lt;/pages&gt;&lt;volume&gt;23&lt;/volume&gt;&lt;dates&gt;&lt;year&gt;1983&lt;/year&gt;&lt;/dates&gt;&lt;urls&gt;&lt;/urls&gt;&lt;/record&gt;&lt;/Cite&gt;&lt;/EndNote&gt;</w:instrText>
      </w:r>
      <w:r w:rsidR="00301182" w:rsidRPr="00BC2AA1">
        <w:fldChar w:fldCharType="separate"/>
      </w:r>
      <w:r w:rsidRPr="00BC2AA1">
        <w:rPr>
          <w:noProof/>
        </w:rPr>
        <w:t>(</w:t>
      </w:r>
      <w:hyperlink w:anchor="_ENREF_92" w:tooltip="Talbert, 1983 #197" w:history="1">
        <w:r w:rsidR="00FB5014" w:rsidRPr="00BC2AA1">
          <w:rPr>
            <w:noProof/>
          </w:rPr>
          <w:t>Talbert et al., 1983</w:t>
        </w:r>
      </w:hyperlink>
      <w:r w:rsidRPr="00BC2AA1">
        <w:rPr>
          <w:noProof/>
        </w:rPr>
        <w:t>)</w:t>
      </w:r>
      <w:r w:rsidR="00301182" w:rsidRPr="00BC2AA1">
        <w:fldChar w:fldCharType="end"/>
      </w:r>
      <w:r w:rsidRPr="00BC2AA1">
        <w:t>, and, in a medium-tall, blue green population, height of leaves (</w:t>
      </w:r>
      <w:r w:rsidR="00A61759">
        <w:t xml:space="preserve">r = </w:t>
      </w:r>
      <w:r w:rsidRPr="00BC2AA1">
        <w:t>0.38, h</w:t>
      </w:r>
      <w:r w:rsidR="00893CD8">
        <w:rPr>
          <w:vertAlign w:val="superscript"/>
        </w:rPr>
        <w:t>2</w:t>
      </w:r>
      <w:r w:rsidRPr="00BC2AA1">
        <w:t>=1.37</w:t>
      </w:r>
      <w:r w:rsidR="00E42C35">
        <w:t xml:space="preserve"> </w:t>
      </w:r>
      <w:r w:rsidRPr="00BC2AA1">
        <w:t>(±0.24)), seed quality (</w:t>
      </w:r>
      <w:r w:rsidR="00A61759">
        <w:t xml:space="preserve">r = </w:t>
      </w:r>
      <w:r w:rsidRPr="00BC2AA1">
        <w:t>-0.35, h</w:t>
      </w:r>
      <w:r w:rsidR="00893CD8">
        <w:rPr>
          <w:vertAlign w:val="superscript"/>
        </w:rPr>
        <w:t>2</w:t>
      </w:r>
      <w:r w:rsidR="00E42C35">
        <w:rPr>
          <w:vertAlign w:val="superscript"/>
        </w:rPr>
        <w:t xml:space="preserve"> </w:t>
      </w:r>
      <w:r w:rsidRPr="00BC2AA1">
        <w:t>=</w:t>
      </w:r>
      <w:r w:rsidR="00E42C35">
        <w:t xml:space="preserve"> </w:t>
      </w:r>
      <w:r w:rsidRPr="00BC2AA1">
        <w:t>0.47</w:t>
      </w:r>
      <w:r w:rsidR="00E42C35">
        <w:t xml:space="preserve"> </w:t>
      </w:r>
      <w:r w:rsidRPr="00BC2AA1">
        <w:t xml:space="preserve">(±0.15)), </w:t>
      </w:r>
      <w:r w:rsidR="00893CD8">
        <w:t xml:space="preserve">and </w:t>
      </w:r>
      <w:r w:rsidRPr="00BC2AA1">
        <w:t>seed yield (</w:t>
      </w:r>
      <w:r w:rsidR="00A61759">
        <w:t xml:space="preserve">r = </w:t>
      </w:r>
      <w:r w:rsidRPr="00BC2AA1">
        <w:t>0.31, h</w:t>
      </w:r>
      <w:r w:rsidR="00893CD8">
        <w:rPr>
          <w:vertAlign w:val="superscript"/>
        </w:rPr>
        <w:t>2</w:t>
      </w:r>
      <w:r w:rsidR="00E42C35">
        <w:rPr>
          <w:vertAlign w:val="superscript"/>
        </w:rPr>
        <w:t xml:space="preserve"> </w:t>
      </w:r>
      <w:r w:rsidRPr="00BC2AA1">
        <w:t>=</w:t>
      </w:r>
      <w:r w:rsidR="00E42C35">
        <w:t xml:space="preserve"> </w:t>
      </w:r>
      <w:r w:rsidRPr="00BC2AA1">
        <w:t>0.65</w:t>
      </w:r>
      <w:r w:rsidR="00E42C35">
        <w:t xml:space="preserve"> </w:t>
      </w:r>
      <w:r w:rsidRPr="00BC2AA1">
        <w:t xml:space="preserve">(±0.23)) </w:t>
      </w:r>
      <w:r w:rsidR="00301182" w:rsidRPr="00BC2AA1">
        <w:fldChar w:fldCharType="begin"/>
      </w:r>
      <w:r w:rsidR="00382C84">
        <w:instrText xml:space="preserve"> ADDIN EN.CITE &lt;EndNote&gt;&lt;Cite&gt;&lt;Author&gt;Newell&lt;/Author&gt;&lt;Year&gt;1961&lt;/Year&gt;&lt;RecNum&gt;1&lt;/RecNum&gt;&lt;DisplayText&gt;(Newell and Eberhart, 1961)&lt;/DisplayText&gt;&lt;record&gt;&lt;rec-number&gt;1&lt;/rec-number&gt;&lt;foreign-keys&gt;&lt;key app="EN" db-id="pzapdt5tozd203ep29uxfef0zrwae9xd922v"&gt;1&lt;/key&gt;&lt;/foreign-keys&gt;&lt;ref-type name="Journal Article"&gt;17&lt;/ref-type&gt;&lt;contributors&gt;&lt;authors&gt;&lt;author&gt;Newell, L.C.&lt;/author&gt;&lt;author&gt;Eberhart, S.A.&lt;/author&gt;&lt;/authors&gt;&lt;/contributors&gt;&lt;titles&gt;&lt;title&gt;&lt;style face="normal" font="default" size="100%"&gt;Clone and progeny evaluation in the improvement of switchgrass, &lt;/style&gt;&lt;style face="italic" font="default" size="100%"&gt;Panicum virgatum &lt;/style&gt;&lt;style face="normal" font="default" size="100%"&gt;L.&lt;/style&gt;&lt;/title&gt;&lt;secondary-title&gt;Crop Science&lt;/secondary-title&gt;&lt;/titles&gt;&lt;pages&gt;117-121&lt;/pages&gt;&lt;volume&gt;1&lt;/volume&gt;&lt;section&gt;117&lt;/section&gt;&lt;dates&gt;&lt;year&gt;1961&lt;/year&gt;&lt;/dates&gt;&lt;urls&gt;&lt;/urls&gt;&lt;/record&gt;&lt;/Cite&gt;&lt;/EndNote&gt;</w:instrText>
      </w:r>
      <w:r w:rsidR="00301182" w:rsidRPr="00BC2AA1">
        <w:fldChar w:fldCharType="separate"/>
      </w:r>
      <w:r w:rsidR="00382C84">
        <w:rPr>
          <w:noProof/>
        </w:rPr>
        <w:t>(</w:t>
      </w:r>
      <w:hyperlink w:anchor="_ENREF_74" w:tooltip="Newell, 1961 #1" w:history="1">
        <w:r w:rsidR="00FB5014">
          <w:rPr>
            <w:noProof/>
          </w:rPr>
          <w:t>Newell and Eberhart, 1961</w:t>
        </w:r>
      </w:hyperlink>
      <w:r w:rsidR="00382C84">
        <w:rPr>
          <w:noProof/>
        </w:rPr>
        <w:t>)</w:t>
      </w:r>
      <w:r w:rsidR="00301182" w:rsidRPr="00BC2AA1">
        <w:fldChar w:fldCharType="end"/>
      </w:r>
      <w:r w:rsidRPr="00BC2AA1">
        <w:t>. Traits reported as having non-significant correlations with biomass yield include stem width (</w:t>
      </w:r>
      <w:r w:rsidR="00A61759">
        <w:t xml:space="preserve">r = </w:t>
      </w:r>
      <w:r w:rsidRPr="00BC2AA1">
        <w:t>0.27), node number per tiller (</w:t>
      </w:r>
      <w:r w:rsidR="00A61759">
        <w:t xml:space="preserve">r = </w:t>
      </w:r>
      <w:r w:rsidRPr="00BC2AA1">
        <w:t>0.29), leaf blade width (</w:t>
      </w:r>
      <w:r w:rsidR="00A61759">
        <w:t xml:space="preserve">r = </w:t>
      </w:r>
      <w:r w:rsidRPr="00BC2AA1">
        <w:t>0.45), and leaf blade length (</w:t>
      </w:r>
      <w:r w:rsidR="00A61759">
        <w:t xml:space="preserve">r = </w:t>
      </w:r>
      <w:r w:rsidRPr="00BC2AA1">
        <w:t xml:space="preserve">0.45) reported by Das et al. </w:t>
      </w:r>
      <w:r w:rsidR="00301182" w:rsidRPr="00BC2AA1">
        <w:fldChar w:fldCharType="begin"/>
      </w:r>
      <w:r w:rsidR="00382C84">
        <w:instrText xml:space="preserve"> ADDIN EN.CITE &lt;EndNote&gt;&lt;Cite ExcludeAuth="1"&gt;&lt;Author&gt;Das&lt;/Author&gt;&lt;Year&gt;2004&lt;/Year&gt;&lt;RecNum&gt;254&lt;/RecNum&gt;&lt;DisplayText&gt;(2004)&lt;/DisplayText&gt;&lt;record&gt;&lt;rec-number&gt;254&lt;/rec-number&gt;&lt;foreign-keys&gt;&lt;key app="EN" db-id="9zfxt259rawwvce0pfa5efeuatdw0pz5va5z" timestamp="1323887731"&gt;254&lt;/key&gt;&lt;/foreign-keys&gt;&lt;ref-type name="Journal Article"&gt;17&lt;/ref-type&gt;&lt;contributors&gt;&lt;authors&gt;&lt;author&gt;Das, M. K.&lt;/author&gt;&lt;author&gt;Fuentes, R. G.&lt;/author&gt;&lt;author&gt;Taliaferro, C. M.&lt;/author&gt;&lt;/authors&gt;&lt;/contributors&gt;&lt;titles&gt;&lt;title&gt;Genetic variability and trait relationships in switchgrass&lt;/title&gt;&lt;secondary-title&gt;Crop Sci.&lt;/secondary-title&gt;&lt;/titles&gt;&lt;periodical&gt;&lt;full-title&gt;Crop Sci.&lt;/full-title&gt;&lt;/periodical&gt;&lt;pages&gt;443-448&lt;/pages&gt;&lt;volume&gt;44&lt;/volume&gt;&lt;section&gt;443&lt;/section&gt;&lt;dates&gt;&lt;year&gt;2004&lt;/year&gt;&lt;/dates&gt;&lt;urls&gt;&lt;/urls&gt;&lt;/record&gt;&lt;/Cite&gt;&lt;/EndNote&gt;</w:instrText>
      </w:r>
      <w:r w:rsidR="00301182" w:rsidRPr="00BC2AA1">
        <w:fldChar w:fldCharType="separate"/>
      </w:r>
      <w:r w:rsidRPr="00BC2AA1">
        <w:rPr>
          <w:noProof/>
        </w:rPr>
        <w:t>(</w:t>
      </w:r>
      <w:hyperlink w:anchor="_ENREF_29" w:tooltip="Das, 2004 #254" w:history="1">
        <w:r w:rsidR="00FB5014" w:rsidRPr="00BC2AA1">
          <w:rPr>
            <w:noProof/>
          </w:rPr>
          <w:t>2004</w:t>
        </w:r>
      </w:hyperlink>
      <w:r w:rsidRPr="00BC2AA1">
        <w:rPr>
          <w:noProof/>
        </w:rPr>
        <w:t>)</w:t>
      </w:r>
      <w:r w:rsidR="00301182" w:rsidRPr="00BC2AA1">
        <w:fldChar w:fldCharType="end"/>
      </w:r>
      <w:r w:rsidRPr="00BC2AA1">
        <w:t>, and heading (</w:t>
      </w:r>
      <w:r w:rsidR="00A61759">
        <w:t xml:space="preserve">r = </w:t>
      </w:r>
      <w:r w:rsidRPr="00BC2AA1">
        <w:t>0.29), days to flowering (</w:t>
      </w:r>
      <w:r w:rsidR="00A61759">
        <w:t xml:space="preserve">r = </w:t>
      </w:r>
      <w:r w:rsidRPr="00BC2AA1">
        <w:t>0.29, h</w:t>
      </w:r>
      <w:r w:rsidR="00893CD8">
        <w:rPr>
          <w:vertAlign w:val="superscript"/>
        </w:rPr>
        <w:t>2</w:t>
      </w:r>
      <w:r w:rsidR="00E42C35">
        <w:rPr>
          <w:vertAlign w:val="superscript"/>
        </w:rPr>
        <w:t xml:space="preserve"> </w:t>
      </w:r>
      <w:r w:rsidR="00893CD8">
        <w:t>=</w:t>
      </w:r>
      <w:r w:rsidR="00E42C35">
        <w:t xml:space="preserve"> </w:t>
      </w:r>
      <w:r w:rsidR="00893CD8">
        <w:t>0.66)</w:t>
      </w:r>
      <w:r w:rsidRPr="00BC2AA1">
        <w:t>, plant spread (</w:t>
      </w:r>
      <w:r w:rsidR="00A61759">
        <w:t xml:space="preserve">r = </w:t>
      </w:r>
      <w:r w:rsidRPr="00BC2AA1">
        <w:t>0.01), and spring regrowth (</w:t>
      </w:r>
      <w:r w:rsidR="00A61759">
        <w:t xml:space="preserve">r = </w:t>
      </w:r>
      <w:r w:rsidRPr="00BC2AA1">
        <w:t>-0.18) reported by Bhandari et al.</w:t>
      </w:r>
      <w:r w:rsidR="00301182" w:rsidRPr="00BC2AA1">
        <w:fldChar w:fldCharType="begin"/>
      </w:r>
      <w:r w:rsidR="00382C84">
        <w:instrText xml:space="preserve"> ADDIN EN.CITE &lt;EndNote&gt;&lt;Cite ExcludeAuth="1"&gt;&lt;Author&gt;Bhandari&lt;/Author&gt;&lt;Year&gt;2010&lt;/Year&gt;&lt;RecNum&gt;199&lt;/RecNum&gt;&lt;DisplayText&gt;(2010)&lt;/DisplayText&gt;&lt;record&gt;&lt;rec-number&gt;199&lt;/rec-number&gt;&lt;foreign-keys&gt;&lt;key app="EN" db-id="9zfxt259rawwvce0pfa5efeuatdw0pz5va5z" timestamp="1316030756"&gt;199&lt;/key&gt;&lt;/foreign-keys&gt;&lt;ref-type name="Journal Article"&gt;17&lt;/ref-type&gt;&lt;contributors&gt;&lt;authors&gt;&lt;author&gt;Bhandari, H.S.&lt;/author&gt;&lt;author&gt;Saha, M.C.&lt;/author&gt;&lt;author&gt;Mascia, P.N.&lt;/author&gt;&lt;author&gt;Fasoula, V.A.&lt;/author&gt;&lt;author&gt;Bouton, J.H.&lt;/author&gt;&lt;/authors&gt;&lt;/contributors&gt;&lt;titles&gt;&lt;title&gt;&lt;style face="normal" font="default" size="100%"&gt;Variation among half-sib families and heritability for biomass yield and other traits in lowland switchgrass (&lt;/style&gt;&lt;style face="italic" font="default" size="100%"&gt;Panicum virgatum&lt;/style&gt;&lt;style face="normal" font="default" size="100%"&gt; L.)&lt;/style&gt;&lt;/title&gt;&lt;secondary-title&gt;Crop Sci.&lt;/secondary-title&gt;&lt;/titles&gt;&lt;periodical&gt;&lt;full-title&gt;Crop Sci.&lt;/full-title&gt;&lt;/periodical&gt;&lt;pages&gt;2355-2363&lt;/pages&gt;&lt;volume&gt;50&lt;/volume&gt;&lt;section&gt;2355&lt;/section&gt;&lt;dates&gt;&lt;year&gt;2010&lt;/year&gt;&lt;/dates&gt;&lt;urls&gt;&lt;/urls&gt;&lt;/record&gt;&lt;/Cite&gt;&lt;/EndNote&gt;</w:instrText>
      </w:r>
      <w:r w:rsidR="00301182" w:rsidRPr="00BC2AA1">
        <w:fldChar w:fldCharType="separate"/>
      </w:r>
      <w:r w:rsidRPr="00BC2AA1">
        <w:rPr>
          <w:noProof/>
        </w:rPr>
        <w:t>(</w:t>
      </w:r>
      <w:hyperlink w:anchor="_ENREF_12" w:tooltip="Bhandari, 2010 #199" w:history="1">
        <w:r w:rsidR="00FB5014" w:rsidRPr="00BC2AA1">
          <w:rPr>
            <w:noProof/>
          </w:rPr>
          <w:t>2010</w:t>
        </w:r>
      </w:hyperlink>
      <w:r w:rsidRPr="00BC2AA1">
        <w:rPr>
          <w:noProof/>
        </w:rPr>
        <w:t>)</w:t>
      </w:r>
      <w:r w:rsidR="00301182" w:rsidRPr="00BC2AA1">
        <w:fldChar w:fldCharType="end"/>
      </w:r>
      <w:r w:rsidRPr="00BC2AA1">
        <w:t xml:space="preserve">. </w:t>
      </w:r>
    </w:p>
    <w:p w14:paraId="5BFC95A0" w14:textId="2211EF0F" w:rsidR="004C7D65" w:rsidRPr="00BC2AA1" w:rsidRDefault="00182A8D" w:rsidP="00146660">
      <w:pPr>
        <w:pStyle w:val="Heading3"/>
        <w:spacing w:beforeLines="60" w:before="144"/>
      </w:pPr>
      <w:bookmarkStart w:id="9" w:name="_Toc404069812"/>
      <w:r>
        <w:t>Quality C</w:t>
      </w:r>
      <w:r w:rsidR="004C7D65" w:rsidRPr="00BC2AA1">
        <w:t>orrelations</w:t>
      </w:r>
      <w:bookmarkEnd w:id="9"/>
    </w:p>
    <w:p w14:paraId="04050348" w14:textId="13107F34" w:rsidR="004C7D65" w:rsidRPr="00BC2AA1" w:rsidRDefault="004C7D65" w:rsidP="0092781B">
      <w:pPr>
        <w:ind w:firstLine="720"/>
      </w:pPr>
      <w:r w:rsidRPr="00BC2AA1">
        <w:t xml:space="preserve">Forage quality is second only to </w:t>
      </w:r>
      <w:r>
        <w:t>forage</w:t>
      </w:r>
      <w:r w:rsidRPr="00BC2AA1">
        <w:t xml:space="preserve"> yield in terms of importance when breeding forage switchgrass. While this factor in itself may be insignificant for biomass switchgrass, potential correlations between forage quality and ethanol production potential, along with the potential for farmers to grow a single cultivar with two possible markets, make forage quality an important consideration factor. Forage quality can be measured in a number of ways with the most common being in-vitro dry matter digestibility (IVDMD), a positive measure of forage quality, and neutral detergent fiber (NDF)</w:t>
      </w:r>
      <w:r>
        <w:t xml:space="preserve"> or acid detergent fiber (ADF),</w:t>
      </w:r>
      <w:r w:rsidRPr="00BC2AA1">
        <w:t xml:space="preserve"> negative measure</w:t>
      </w:r>
      <w:r>
        <w:t>s</w:t>
      </w:r>
      <w:r w:rsidRPr="00BC2AA1">
        <w:t xml:space="preserve"> of forage quality</w:t>
      </w:r>
      <w:r w:rsidR="00954DB7">
        <w:t xml:space="preserve">. </w:t>
      </w:r>
      <w:r>
        <w:t xml:space="preserve">Dry matter digestibility (DMD) is the proportion of dry matter </w:t>
      </w:r>
      <w:r w:rsidR="00893CD8">
        <w:t>that</w:t>
      </w:r>
      <w:r>
        <w:t xml:space="preserve"> is digested by an animal and can be calculated either directly in vitro (IVDMD) or as a function of ADF </w:t>
      </w:r>
      <w:r w:rsidRPr="002A2B95">
        <w:t>(%DDM = 88.9</w:t>
      </w:r>
      <w:r w:rsidR="00E42C35">
        <w:t xml:space="preserve"> </w:t>
      </w:r>
      <w:r w:rsidRPr="002A2B95">
        <w:t>- [0.779 × %ADF)</w:t>
      </w:r>
      <w:r>
        <w:t xml:space="preserve"> </w:t>
      </w:r>
      <w:r w:rsidR="00301182">
        <w:fldChar w:fldCharType="begin"/>
      </w:r>
      <w:r w:rsidR="00382C84">
        <w:instrText xml:space="preserve"> ADDIN EN.CITE &lt;EndNote&gt;&lt;Cite&gt;&lt;Author&gt;Saha&lt;/Author&gt;&lt;Year&gt;2010&lt;/Year&gt;&lt;RecNum&gt;269&lt;/RecNum&gt;&lt;DisplayText&gt;(Saha et al., 2010)&lt;/DisplayText&gt;&lt;record&gt;&lt;rec-number&gt;269&lt;/rec-number&gt;&lt;foreign-keys&gt;&lt;key app="EN" db-id="9zfxt259rawwvce0pfa5efeuatdw0pz5va5z" timestamp="1328219030"&gt;269&lt;/key&gt;&lt;/foreign-keys&gt;&lt;ref-type name="Electronic Article"&gt;43&lt;/ref-type&gt;&lt;contributors&gt;&lt;authors&gt;&lt;author&gt;Saha, U.&lt;/author&gt;&lt;author&gt;Sonon, L.&lt;/author&gt;&lt;author&gt;Hancock, D.&lt;/author&gt;&lt;author&gt;Hill, N.&lt;/author&gt;&lt;author&gt;Stewart, L.&lt;/author&gt;&lt;author&gt;Heusner, G.&lt;/author&gt;&lt;author&gt;Kissel, D.E.&lt;/author&gt;&lt;/authors&gt;&lt;/contributors&gt;&lt;titles&gt;&lt;title&gt;Common terms used in animal feeding and nutrition&lt;/title&gt;&lt;/titles&gt;&lt;volume&gt;B1367&lt;/volume&gt;&lt;dates&gt;&lt;year&gt;2010&lt;/year&gt;&lt;pub-dates&gt;&lt;date&gt;01 Feb 12&lt;/date&gt;&lt;/pub-dates&gt;&lt;/dates&gt;&lt;publisher&gt;University of Georgia Cooperative Extension&lt;/publisher&gt;&lt;urls&gt;&lt;related-urls&gt;&lt;url&gt;http://www.caes.uga.edu/publications/pubDetail.cfm?pk_id=7876&lt;/url&gt;&lt;/related-urls&gt;&lt;/urls&gt;&lt;/record&gt;&lt;/Cite&gt;&lt;/EndNote&gt;</w:instrText>
      </w:r>
      <w:r w:rsidR="00301182">
        <w:fldChar w:fldCharType="separate"/>
      </w:r>
      <w:r>
        <w:rPr>
          <w:noProof/>
        </w:rPr>
        <w:t>(</w:t>
      </w:r>
      <w:hyperlink w:anchor="_ENREF_83" w:tooltip="Saha, 2010 #269" w:history="1">
        <w:r w:rsidR="00FB5014">
          <w:rPr>
            <w:noProof/>
          </w:rPr>
          <w:t>Saha et al., 2010</w:t>
        </w:r>
      </w:hyperlink>
      <w:r>
        <w:rPr>
          <w:noProof/>
        </w:rPr>
        <w:t>)</w:t>
      </w:r>
      <w:r w:rsidR="00301182">
        <w:fldChar w:fldCharType="end"/>
      </w:r>
      <w:r w:rsidR="00954DB7">
        <w:t xml:space="preserve">. </w:t>
      </w:r>
      <w:r>
        <w:t xml:space="preserve">NDF, which is a measurement of both soluble cell wall components (hemicellulose) and insoluble cell wall components (cellulose, </w:t>
      </w:r>
      <w:r>
        <w:lastRenderedPageBreak/>
        <w:t xml:space="preserve">lignin, fiber-bound N, and heat damaged N) while ADF is a measure of insoluble cell wall components only </w:t>
      </w:r>
      <w:r w:rsidR="00301182">
        <w:fldChar w:fldCharType="begin"/>
      </w:r>
      <w:r w:rsidR="00382C84">
        <w:instrText xml:space="preserve"> ADDIN EN.CITE &lt;EndNote&gt;&lt;Cite&gt;&lt;Author&gt;Saha&lt;/Author&gt;&lt;Year&gt;2010&lt;/Year&gt;&lt;RecNum&gt;269&lt;/RecNum&gt;&lt;DisplayText&gt;(Saha et al., 2010)&lt;/DisplayText&gt;&lt;record&gt;&lt;rec-number&gt;269&lt;/rec-number&gt;&lt;foreign-keys&gt;&lt;key app="EN" db-id="9zfxt259rawwvce0pfa5efeuatdw0pz5va5z" timestamp="1328219030"&gt;269&lt;/key&gt;&lt;/foreign-keys&gt;&lt;ref-type name="Electronic Article"&gt;43&lt;/ref-type&gt;&lt;contributors&gt;&lt;authors&gt;&lt;author&gt;Saha, U.&lt;/author&gt;&lt;author&gt;Sonon, L.&lt;/author&gt;&lt;author&gt;Hancock, D.&lt;/author&gt;&lt;author&gt;Hill, N.&lt;/author&gt;&lt;author&gt;Stewart, L.&lt;/author&gt;&lt;author&gt;Heusner, G.&lt;/author&gt;&lt;author&gt;Kissel, D.E.&lt;/author&gt;&lt;/authors&gt;&lt;/contributors&gt;&lt;titles&gt;&lt;title&gt;Common terms used in animal feeding and nutrition&lt;/title&gt;&lt;/titles&gt;&lt;volume&gt;B1367&lt;/volume&gt;&lt;dates&gt;&lt;year&gt;2010&lt;/year&gt;&lt;pub-dates&gt;&lt;date&gt;01 Feb 12&lt;/date&gt;&lt;/pub-dates&gt;&lt;/dates&gt;&lt;publisher&gt;University of Georgia Cooperative Extension&lt;/publisher&gt;&lt;urls&gt;&lt;related-urls&gt;&lt;url&gt;http://www.caes.uga.edu/publications/pubDetail.cfm?pk_id=7876&lt;/url&gt;&lt;/related-urls&gt;&lt;/urls&gt;&lt;/record&gt;&lt;/Cite&gt;&lt;/EndNote&gt;</w:instrText>
      </w:r>
      <w:r w:rsidR="00301182">
        <w:fldChar w:fldCharType="separate"/>
      </w:r>
      <w:r>
        <w:rPr>
          <w:noProof/>
        </w:rPr>
        <w:t>(</w:t>
      </w:r>
      <w:hyperlink w:anchor="_ENREF_83" w:tooltip="Saha, 2010 #269" w:history="1">
        <w:r w:rsidR="00FB5014">
          <w:rPr>
            <w:noProof/>
          </w:rPr>
          <w:t>Saha et al., 2010</w:t>
        </w:r>
      </w:hyperlink>
      <w:r>
        <w:rPr>
          <w:noProof/>
        </w:rPr>
        <w:t>)</w:t>
      </w:r>
      <w:r w:rsidR="00301182">
        <w:fldChar w:fldCharType="end"/>
      </w:r>
      <w:r>
        <w:t xml:space="preserve">. Since these cell wall components directly affect the availability of digestible sugars for ethanol fermentation, these measurements may also be valuable measurements for plant ethanol potential. </w:t>
      </w:r>
      <w:r w:rsidR="00E42C35">
        <w:t>M</w:t>
      </w:r>
      <w:r w:rsidRPr="00BC2AA1">
        <w:t xml:space="preserve">easurements of </w:t>
      </w:r>
      <w:r w:rsidR="00F36223">
        <w:t>biofuel</w:t>
      </w:r>
      <w:r w:rsidRPr="00BC2AA1">
        <w:t xml:space="preserve"> switchgrass </w:t>
      </w:r>
      <w:r>
        <w:t xml:space="preserve">ethanol production potential may be made using simultaneous saccharification and fermentation (SSF) </w:t>
      </w:r>
      <w:r w:rsidR="00301182">
        <w:fldChar w:fldCharType="begin"/>
      </w:r>
      <w:r w:rsidR="00382C84">
        <w:instrText xml:space="preserve"> ADDIN EN.CITE &lt;EndNote&gt;&lt;Cite&gt;&lt;Author&gt;Dowe&lt;/Author&gt;&lt;Year&gt;2001&lt;/Year&gt;&lt;RecNum&gt;268&lt;/RecNum&gt;&lt;DisplayText&gt;(Dowe and MCMillan, 2001)&lt;/DisplayText&gt;&lt;record&gt;&lt;rec-number&gt;268&lt;/rec-number&gt;&lt;foreign-keys&gt;&lt;key app="EN" db-id="9zfxt259rawwvce0pfa5efeuatdw0pz5va5z" timestamp="1328218678"&gt;268&lt;/key&gt;&lt;/foreign-keys&gt;&lt;ref-type name="Standard"&gt;58&lt;/ref-type&gt;&lt;contributors&gt;&lt;authors&gt;&lt;author&gt;Dowe, N.&lt;/author&gt;&lt;author&gt;MCMillan, J.&lt;/author&gt;&lt;/authors&gt;&lt;/contributors&gt;&lt;titles&gt;&lt;title&gt;SSF Experimental Protocols - Lignocellulosic Biomass Hydrolysis and Fermentation&lt;/title&gt;&lt;secondary-title&gt;Laboratory Analytical Procedure&lt;/secondary-title&gt;&lt;/titles&gt;&lt;volume&gt;NREL/TP-510-42630&lt;/volume&gt;&lt;dates&gt;&lt;year&gt;2001&lt;/year&gt;&lt;/dates&gt;&lt;pub-location&gt;National Renewable Energy Laboratory&lt;/pub-location&gt;&lt;urls&gt;&lt;related-urls&gt;&lt;url&gt;http://www.nrel.gov/biomass/pdfs/42630.pdf&lt;/url&gt;&lt;/related-urls&gt;&lt;/urls&gt;&lt;/record&gt;&lt;/Cite&gt;&lt;/EndNote&gt;</w:instrText>
      </w:r>
      <w:r w:rsidR="00301182">
        <w:fldChar w:fldCharType="separate"/>
      </w:r>
      <w:r>
        <w:rPr>
          <w:noProof/>
        </w:rPr>
        <w:t>(</w:t>
      </w:r>
      <w:hyperlink w:anchor="_ENREF_32" w:tooltip="Dowe, 2001 #268" w:history="1">
        <w:r w:rsidR="00FB5014">
          <w:rPr>
            <w:noProof/>
          </w:rPr>
          <w:t>Dowe and MCMillan, 2001</w:t>
        </w:r>
      </w:hyperlink>
      <w:r>
        <w:rPr>
          <w:noProof/>
        </w:rPr>
        <w:t>)</w:t>
      </w:r>
      <w:r w:rsidR="00301182">
        <w:fldChar w:fldCharType="end"/>
      </w:r>
      <w:r>
        <w:t xml:space="preserve"> or near-infrared reflectance spectroscopy (NIRS) </w:t>
      </w:r>
      <w:r w:rsidR="00301182">
        <w:fldChar w:fldCharType="begin"/>
      </w:r>
      <w:r w:rsidR="00382C84">
        <w:instrText xml:space="preserve"> ADDIN EN.CITE &lt;EndNote&gt;&lt;Cite&gt;&lt;Author&gt;Vogel&lt;/Author&gt;&lt;Year&gt;2011&lt;/Year&gt;&lt;RecNum&gt;256&lt;/RecNum&gt;&lt;DisplayText&gt;(Vogel et al., 2011)&lt;/DisplayText&gt;&lt;record&gt;&lt;rec-number&gt;256&lt;/rec-number&gt;&lt;foreign-keys&gt;&lt;key app="EN" db-id="9zfxt259rawwvce0pfa5efeuatdw0pz5va5z" timestamp="1323887732"&gt;256&lt;/key&gt;&lt;/foreign-keys&gt;&lt;ref-type name="Journal Article"&gt;17&lt;/ref-type&gt;&lt;contributors&gt;&lt;authors&gt;&lt;author&gt;Vogel, K.P.&lt;/author&gt;&lt;author&gt;Dien, B.S.&lt;/author&gt;&lt;author&gt;Jung, H.G.&lt;/author&gt;&lt;author&gt;Casler, M.D.&lt;/author&gt;&lt;author&gt;Masterson, S.D.&lt;/author&gt;&lt;author&gt;Mitchell, R.B.&lt;/author&gt;&lt;/authors&gt;&lt;/contributors&gt;&lt;titles&gt;&lt;title&gt;Quantifying actual and theoretical ethanol yields for switchgrass strains using NIRS analyses&lt;/title&gt;&lt;secondary-title&gt;Bioenergy Research&lt;/secondary-title&gt;&lt;/titles&gt;&lt;periodical&gt;&lt;full-title&gt;Bioenergy Research&lt;/full-title&gt;&lt;abbr-1&gt;BioEnergy Res.&lt;/abbr-1&gt;&lt;/periodical&gt;&lt;pages&gt;96-110&lt;/pages&gt;&lt;volume&gt;4&lt;/volume&gt;&lt;section&gt;96&lt;/section&gt;&lt;dates&gt;&lt;year&gt;2011&lt;/year&gt;&lt;/dates&gt;&lt;urls&gt;&lt;/urls&gt;&lt;/record&gt;&lt;/Cite&gt;&lt;/EndNote&gt;</w:instrText>
      </w:r>
      <w:r w:rsidR="00301182">
        <w:fldChar w:fldCharType="separate"/>
      </w:r>
      <w:r w:rsidR="00382C84">
        <w:rPr>
          <w:noProof/>
        </w:rPr>
        <w:t>(</w:t>
      </w:r>
      <w:hyperlink w:anchor="_ENREF_99" w:tooltip="Vogel, 2011 #256" w:history="1">
        <w:r w:rsidR="00FB5014">
          <w:rPr>
            <w:noProof/>
          </w:rPr>
          <w:t>Vogel et al., 2011</w:t>
        </w:r>
      </w:hyperlink>
      <w:r w:rsidR="00382C84">
        <w:rPr>
          <w:noProof/>
        </w:rPr>
        <w:t>)</w:t>
      </w:r>
      <w:r w:rsidR="00301182">
        <w:fldChar w:fldCharType="end"/>
      </w:r>
      <w:r>
        <w:t>. SSF procedures, while more exact than NIRS, are time consuming and labor intensive, both characteristics that have prevented the use of SSF for ethanol quantifications in large scale breeding programs. NIRS calibrations for ethanol have been recently published allowing for an accurate, reliable, high-thro</w:t>
      </w:r>
      <w:r w:rsidR="00E42C35">
        <w:t>ughput, non-destructive, and relatively</w:t>
      </w:r>
      <w:r>
        <w:t xml:space="preserve"> inexpensive method for evaluating switchgrass ethanol production potential</w:t>
      </w:r>
      <w:r w:rsidR="00954DB7">
        <w:t xml:space="preserve">. </w:t>
      </w:r>
    </w:p>
    <w:p w14:paraId="4F5B80B3" w14:textId="596CF894" w:rsidR="004C7D65" w:rsidRPr="00BC2AA1" w:rsidRDefault="004C7D65" w:rsidP="00F95441">
      <w:pPr>
        <w:ind w:firstLine="720"/>
      </w:pPr>
      <w:r w:rsidRPr="00BC2AA1">
        <w:t xml:space="preserve">Plant maturity is a trait that has </w:t>
      </w:r>
      <w:r>
        <w:t xml:space="preserve">also </w:t>
      </w:r>
      <w:r w:rsidRPr="00BC2AA1">
        <w:t>been shown to affect switchgrass quality</w:t>
      </w:r>
      <w:r w:rsidR="00954DB7">
        <w:t xml:space="preserve">. </w:t>
      </w:r>
      <w:r w:rsidRPr="00BC2AA1">
        <w:t>As plants mature, positive measures of forage quality, such as IVDMD and protein, decrease, while negative measures of quality,</w:t>
      </w:r>
      <w:r w:rsidR="00E42C35">
        <w:t xml:space="preserve"> such as</w:t>
      </w:r>
      <w:r w:rsidRPr="00BC2AA1">
        <w:t xml:space="preserve"> NDF, lignin, </w:t>
      </w:r>
      <w:r w:rsidR="00E42C35">
        <w:t xml:space="preserve">and </w:t>
      </w:r>
      <w:r w:rsidRPr="00BC2AA1">
        <w:t xml:space="preserve">silica, increase </w:t>
      </w:r>
      <w:r w:rsidR="00301182" w:rsidRPr="00BC2AA1">
        <w:fldChar w:fldCharType="begin"/>
      </w:r>
      <w:r w:rsidR="00382C84">
        <w:instrText xml:space="preserve"> ADDIN EN.CITE &lt;EndNote&gt;&lt;Cite&gt;&lt;Author&gt;Casler&lt;/Author&gt;&lt;Year&gt;1999&lt;/Year&gt;&lt;RecNum&gt;255&lt;/RecNum&gt;&lt;DisplayText&gt;(Casler and Vogel, 1999)&lt;/DisplayText&gt;&lt;record&gt;&lt;rec-number&gt;255&lt;/rec-number&gt;&lt;foreign-keys&gt;&lt;key app="EN" db-id="9zfxt259rawwvce0pfa5efeuatdw0pz5va5z" timestamp="1323887732"&gt;255&lt;/key&gt;&lt;/foreign-keys&gt;&lt;ref-type name="Journal Article"&gt;17&lt;/ref-type&gt;&lt;contributors&gt;&lt;authors&gt;&lt;author&gt;Casler, M. D.&lt;/author&gt;&lt;author&gt;Vogel, K.P.&lt;/author&gt;&lt;/authors&gt;&lt;/contributors&gt;&lt;titles&gt;&lt;title&gt;Breeding for increased forage nutritional value&lt;/title&gt;&lt;secondary-title&gt;Crop Sci.&lt;/secondary-title&gt;&lt;/titles&gt;&lt;periodical&gt;&lt;full-title&gt;Crop Sci.&lt;/full-title&gt;&lt;/periodical&gt;&lt;pages&gt;12-20&lt;/pages&gt;&lt;volume&gt;39&lt;/volume&gt;&lt;section&gt;12&lt;/section&gt;&lt;dates&gt;&lt;year&gt;1999&lt;/year&gt;&lt;/dates&gt;&lt;urls&gt;&lt;/urls&gt;&lt;/record&gt;&lt;/Cite&gt;&lt;/EndNote&gt;</w:instrText>
      </w:r>
      <w:r w:rsidR="00301182" w:rsidRPr="00BC2AA1">
        <w:fldChar w:fldCharType="separate"/>
      </w:r>
      <w:r w:rsidRPr="00BC2AA1">
        <w:rPr>
          <w:noProof/>
        </w:rPr>
        <w:t>(</w:t>
      </w:r>
      <w:hyperlink w:anchor="_ENREF_21" w:tooltip="Casler, 1999 #255" w:history="1">
        <w:r w:rsidR="00FB5014" w:rsidRPr="00BC2AA1">
          <w:rPr>
            <w:noProof/>
          </w:rPr>
          <w:t>Casler and Vogel, 1999</w:t>
        </w:r>
      </w:hyperlink>
      <w:r w:rsidRPr="00BC2AA1">
        <w:rPr>
          <w:noProof/>
        </w:rPr>
        <w:t>)</w:t>
      </w:r>
      <w:r w:rsidR="00301182" w:rsidRPr="00BC2AA1">
        <w:fldChar w:fldCharType="end"/>
      </w:r>
      <w:r w:rsidR="00954DB7">
        <w:t xml:space="preserve">. </w:t>
      </w:r>
      <w:r w:rsidRPr="00BC2AA1">
        <w:t xml:space="preserve">In turn, switchgrass quality may impact other desirable factors, including yield and response to abiotic or biotic stressors. In the lowland half-sib population studied by Talbert et al. </w:t>
      </w:r>
      <w:r w:rsidR="00301182" w:rsidRPr="00BC2AA1">
        <w:fldChar w:fldCharType="begin"/>
      </w:r>
      <w:r w:rsidR="00382C84">
        <w:instrText xml:space="preserve"> ADDIN EN.CITE &lt;EndNote&gt;&lt;Cite ExcludeAuth="1"&gt;&lt;Author&gt;Talbert&lt;/Author&gt;&lt;Year&gt;1983&lt;/Year&gt;&lt;RecNum&gt;197&lt;/RecNum&gt;&lt;DisplayText&gt;(1983)&lt;/DisplayText&gt;&lt;record&gt;&lt;rec-number&gt;197&lt;/rec-number&gt;&lt;foreign-keys&gt;&lt;key app="EN" db-id="9zfxt259rawwvce0pfa5efeuatdw0pz5va5z" timestamp="1312483817"&gt;197&lt;/key&gt;&lt;/foreign-keys&gt;&lt;ref-type name="Journal Article"&gt;17&lt;/ref-type&gt;&lt;contributors&gt;&lt;authors&gt;&lt;author&gt;Talbert, L.E.&lt;/author&gt;&lt;author&gt;Timothy, D.H.&lt;/author&gt;&lt;author&gt;Burns, J.C.&lt;/author&gt;&lt;author&gt;Rawlings, J.O.&lt;/author&gt;&lt;author&gt;Moll, R.H.&lt;/author&gt;&lt;/authors&gt;&lt;/contributors&gt;&lt;titles&gt;&lt;title&gt;Estimates of genetic parameters in switchgrass&lt;/title&gt;&lt;secondary-title&gt;Crop Sci.&lt;/secondary-title&gt;&lt;/titles&gt;&lt;periodical&gt;&lt;full-title&gt;Crop Sci.&lt;/full-title&gt;&lt;/periodical&gt;&lt;pages&gt;725-728&lt;/pages&gt;&lt;volume&gt;23&lt;/volume&gt;&lt;dates&gt;&lt;year&gt;1983&lt;/year&gt;&lt;/dates&gt;&lt;urls&gt;&lt;/urls&gt;&lt;/record&gt;&lt;/Cite&gt;&lt;/EndNote&gt;</w:instrText>
      </w:r>
      <w:r w:rsidR="00301182" w:rsidRPr="00BC2AA1">
        <w:fldChar w:fldCharType="separate"/>
      </w:r>
      <w:r w:rsidRPr="00BC2AA1">
        <w:rPr>
          <w:noProof/>
        </w:rPr>
        <w:t>(</w:t>
      </w:r>
      <w:hyperlink w:anchor="_ENREF_92" w:tooltip="Talbert, 1983 #197" w:history="1">
        <w:r w:rsidR="00FB5014" w:rsidRPr="00BC2AA1">
          <w:rPr>
            <w:noProof/>
          </w:rPr>
          <w:t>1983</w:t>
        </w:r>
      </w:hyperlink>
      <w:r w:rsidRPr="00BC2AA1">
        <w:rPr>
          <w:noProof/>
        </w:rPr>
        <w:t>)</w:t>
      </w:r>
      <w:r w:rsidR="00301182" w:rsidRPr="00BC2AA1">
        <w:fldChar w:fldCharType="end"/>
      </w:r>
      <w:r w:rsidRPr="00BC2AA1">
        <w:t xml:space="preserve"> and in the upland populations studied by Hopkins </w:t>
      </w:r>
      <w:r w:rsidR="00301182" w:rsidRPr="00BC2AA1">
        <w:fldChar w:fldCharType="begin"/>
      </w:r>
      <w:r w:rsidR="00382C84">
        <w:instrText xml:space="preserve"> ADDIN EN.CITE &lt;EndNote&gt;&lt;Cite ExcludeAuth="1"&gt;&lt;Author&gt;Hopkins&lt;/Author&gt;&lt;Year&gt;1993&lt;/Year&gt;&lt;RecNum&gt;201&lt;/RecNum&gt;&lt;DisplayText&gt;(1993)&lt;/DisplayText&gt;&lt;record&gt;&lt;rec-number&gt;201&lt;/rec-number&gt;&lt;foreign-keys&gt;&lt;key app="EN" db-id="9zfxt259rawwvce0pfa5efeuatdw0pz5va5z" timestamp="1316112916"&gt;201&lt;/key&gt;&lt;/foreign-keys&gt;&lt;ref-type name="Journal Article"&gt;17&lt;/ref-type&gt;&lt;contributors&gt;&lt;authors&gt;&lt;author&gt;Hopkins, A.A.&lt;/author&gt;&lt;author&gt;Vogel, K.P.&lt;/author&gt;&lt;author&gt;Moore, K.J.&lt;/author&gt;&lt;/authors&gt;&lt;/contributors&gt;&lt;titles&gt;&lt;title&gt;Predicted and realized gains from selection for in vitro dry matter digestibility and forage yield in switchgrass&lt;/title&gt;&lt;secondary-title&gt;Crop Sci.&lt;/secondary-title&gt;&lt;/titles&gt;&lt;periodical&gt;&lt;full-title&gt;Crop Sci.&lt;/full-title&gt;&lt;/periodical&gt;&lt;pages&gt;253-258&lt;/pages&gt;&lt;volume&gt;33&lt;/volume&gt;&lt;section&gt;253&lt;/section&gt;&lt;dates&gt;&lt;year&gt;1993&lt;/year&gt;&lt;/dates&gt;&lt;urls&gt;&lt;/urls&gt;&lt;/record&gt;&lt;/Cite&gt;&lt;/EndNote&gt;</w:instrText>
      </w:r>
      <w:r w:rsidR="00301182" w:rsidRPr="00BC2AA1">
        <w:fldChar w:fldCharType="separate"/>
      </w:r>
      <w:r w:rsidRPr="00BC2AA1">
        <w:rPr>
          <w:noProof/>
        </w:rPr>
        <w:t>(</w:t>
      </w:r>
      <w:hyperlink w:anchor="_ENREF_48" w:tooltip="Hopkins, 1993 #201" w:history="1">
        <w:r w:rsidR="00FB5014" w:rsidRPr="00BC2AA1">
          <w:rPr>
            <w:noProof/>
          </w:rPr>
          <w:t>1993</w:t>
        </w:r>
      </w:hyperlink>
      <w:r w:rsidRPr="00BC2AA1">
        <w:rPr>
          <w:noProof/>
        </w:rPr>
        <w:t>)</w:t>
      </w:r>
      <w:r w:rsidR="00301182" w:rsidRPr="00BC2AA1">
        <w:fldChar w:fldCharType="end"/>
      </w:r>
      <w:r w:rsidRPr="00BC2AA1">
        <w:t>, dry weight showed no significant correlations with IVDMD, though a significant slight positive correlation (</w:t>
      </w:r>
      <w:r w:rsidR="00A61759">
        <w:t xml:space="preserve">r = </w:t>
      </w:r>
      <w:r w:rsidRPr="00BC2AA1">
        <w:t xml:space="preserve">0.1) was observed by Hopkins (1993) in an upland population selected for high IVDM. While selection </w:t>
      </w:r>
      <w:r w:rsidR="00E42C35">
        <w:t>for high IVDMD appears to have only a</w:t>
      </w:r>
      <w:r w:rsidRPr="00BC2AA1">
        <w:t xml:space="preserve"> </w:t>
      </w:r>
      <w:r w:rsidR="00F36223">
        <w:t>slight</w:t>
      </w:r>
      <w:r w:rsidRPr="00BC2AA1">
        <w:t xml:space="preserve"> positive effect on </w:t>
      </w:r>
      <w:r w:rsidR="00E42C35">
        <w:t xml:space="preserve">biomass </w:t>
      </w:r>
      <w:r w:rsidRPr="00BC2AA1">
        <w:t xml:space="preserve">yield, selection for low NDF has been shown to reduce biomass yield in smooth bromegrass and reed canarygrass </w:t>
      </w:r>
      <w:r w:rsidR="00301182" w:rsidRPr="00BC2AA1">
        <w:fldChar w:fldCharType="begin"/>
      </w:r>
      <w:r w:rsidR="00382C84">
        <w:instrText xml:space="preserve"> ADDIN EN.CITE &lt;EndNote&gt;&lt;Cite&gt;&lt;Author&gt;Casler&lt;/Author&gt;&lt;Year&gt;1998&lt;/Year&gt;&lt;RecNum&gt;202&lt;/RecNum&gt;&lt;DisplayText&gt;(Casler, 1998)&lt;/DisplayText&gt;&lt;record&gt;&lt;rec-number&gt;202&lt;/rec-number&gt;&lt;foreign-keys&gt;&lt;key app="EN" db-id="9zfxt259rawwvce0pfa5efeuatdw0pz5va5z" timestamp="1316113486"&gt;202&lt;/key&gt;&lt;/foreign-keys&gt;&lt;ref-type name="Journal Article"&gt;17&lt;/ref-type&gt;&lt;contributors&gt;&lt;authors&gt;&lt;author&gt;Casler, M.D.&lt;/author&gt;&lt;/authors&gt;&lt;/contributors&gt;&lt;titles&gt;&lt;title&gt;Breeding for improved forage quality: potentials and problems&lt;/title&gt;&lt;secondary-title&gt;Proc. XVIII Intl. Grassl. Congr.&lt;/secondary-title&gt;&lt;/titles&gt;&lt;periodical&gt;&lt;full-title&gt;Proc. XVIII Intl. Grassl. Congr.&lt;/full-title&gt;&lt;/periodical&gt;&lt;dates&gt;&lt;year&gt;1998&lt;/year&gt;&lt;pub-dates&gt;&lt;date&gt;8-19 June 1997&lt;/date&gt;&lt;/pub-dates&gt;&lt;/dates&gt;&lt;urls&gt;&lt;/urls&gt;&lt;/record&gt;&lt;/Cite&gt;&lt;/EndNote&gt;</w:instrText>
      </w:r>
      <w:r w:rsidR="00301182" w:rsidRPr="00BC2AA1">
        <w:fldChar w:fldCharType="separate"/>
      </w:r>
      <w:r w:rsidRPr="00BC2AA1">
        <w:rPr>
          <w:noProof/>
        </w:rPr>
        <w:t>(</w:t>
      </w:r>
      <w:hyperlink w:anchor="_ENREF_20" w:tooltip="Casler, 1998 #202" w:history="1">
        <w:r w:rsidR="00FB5014" w:rsidRPr="00BC2AA1">
          <w:rPr>
            <w:noProof/>
          </w:rPr>
          <w:t>Casler, 1998</w:t>
        </w:r>
      </w:hyperlink>
      <w:r w:rsidRPr="00BC2AA1">
        <w:rPr>
          <w:noProof/>
        </w:rPr>
        <w:t>)</w:t>
      </w:r>
      <w:r w:rsidR="00301182" w:rsidRPr="00BC2AA1">
        <w:fldChar w:fldCharType="end"/>
      </w:r>
      <w:r w:rsidRPr="00BC2AA1">
        <w:t xml:space="preserve">. Selection for low NDF in switchgrass may result in a similar biomass yield reduction. IVDMD heritability values reported by Hopkins et al. </w:t>
      </w:r>
      <w:r w:rsidR="00301182" w:rsidRPr="00BC2AA1">
        <w:fldChar w:fldCharType="begin"/>
      </w:r>
      <w:r w:rsidR="00382C84">
        <w:instrText xml:space="preserve"> ADDIN EN.CITE &lt;EndNote&gt;&lt;Cite ExcludeAuth="1"&gt;&lt;Author&gt;Hopkins&lt;/Author&gt;&lt;Year&gt;1993&lt;/Year&gt;&lt;RecNum&gt;201&lt;/RecNum&gt;&lt;DisplayText&gt;(1993)&lt;/DisplayText&gt;&lt;record&gt;&lt;rec-number&gt;201&lt;/rec-number&gt;&lt;foreign-keys&gt;&lt;key app="EN" db-id="9zfxt259rawwvce0pfa5efeuatdw0pz5va5z" timestamp="1316112916"&gt;201&lt;/key&gt;&lt;/foreign-keys&gt;&lt;ref-type name="Journal Article"&gt;17&lt;/ref-type&gt;&lt;contributors&gt;&lt;authors&gt;&lt;author&gt;Hopkins, A.A.&lt;/author&gt;&lt;author&gt;Vogel, K.P.&lt;/author&gt;&lt;author&gt;Moore, K.J.&lt;/author&gt;&lt;/authors&gt;&lt;/contributors&gt;&lt;titles&gt;&lt;title&gt;Predicted and realized gains from selection for in vitro dry matter digestibility and forage yield in switchgrass&lt;/title&gt;&lt;secondary-title&gt;Crop Sci.&lt;/secondary-title&gt;&lt;/titles&gt;&lt;periodical&gt;&lt;full-title&gt;Crop Sci.&lt;/full-title&gt;&lt;/periodical&gt;&lt;pages&gt;253-258&lt;/pages&gt;&lt;volume&gt;33&lt;/volume&gt;&lt;section&gt;253&lt;/section&gt;&lt;dates&gt;&lt;year&gt;1993&lt;/year&gt;&lt;/dates&gt;&lt;urls&gt;&lt;/urls&gt;&lt;/record&gt;&lt;/Cite&gt;&lt;/EndNote&gt;</w:instrText>
      </w:r>
      <w:r w:rsidR="00301182" w:rsidRPr="00BC2AA1">
        <w:fldChar w:fldCharType="separate"/>
      </w:r>
      <w:r w:rsidRPr="00BC2AA1">
        <w:rPr>
          <w:noProof/>
        </w:rPr>
        <w:t>(</w:t>
      </w:r>
      <w:hyperlink w:anchor="_ENREF_48" w:tooltip="Hopkins, 1993 #201" w:history="1">
        <w:r w:rsidR="00FB5014" w:rsidRPr="00BC2AA1">
          <w:rPr>
            <w:noProof/>
          </w:rPr>
          <w:t>1993</w:t>
        </w:r>
      </w:hyperlink>
      <w:r w:rsidRPr="00BC2AA1">
        <w:rPr>
          <w:noProof/>
        </w:rPr>
        <w:t>)</w:t>
      </w:r>
      <w:r w:rsidR="00301182" w:rsidRPr="00BC2AA1">
        <w:fldChar w:fldCharType="end"/>
      </w:r>
      <w:r w:rsidRPr="00BC2AA1">
        <w:t xml:space="preserve"> for an upland populations grown in </w:t>
      </w:r>
      <w:r w:rsidRPr="00BC2AA1">
        <w:lastRenderedPageBreak/>
        <w:t>Nebraska were 0.4</w:t>
      </w:r>
      <w:r w:rsidR="00E42C35">
        <w:t xml:space="preserve"> </w:t>
      </w:r>
      <w:r w:rsidRPr="00BC2AA1">
        <w:t>(±</w:t>
      </w:r>
      <w:r w:rsidR="00E42C35">
        <w:t xml:space="preserve"> </w:t>
      </w:r>
      <w:r w:rsidRPr="00BC2AA1">
        <w:t>0.48) in an unselected population, and 0.68</w:t>
      </w:r>
      <w:r w:rsidR="00E42C35">
        <w:t xml:space="preserve"> </w:t>
      </w:r>
      <w:r w:rsidRPr="00BC2AA1">
        <w:t>(±</w:t>
      </w:r>
      <w:r w:rsidR="00E42C35">
        <w:t xml:space="preserve"> </w:t>
      </w:r>
      <w:r w:rsidRPr="00BC2AA1">
        <w:t xml:space="preserve">0.28) in a population selected for high IVDMD. </w:t>
      </w:r>
    </w:p>
    <w:p w14:paraId="04653EEE" w14:textId="56739CF1" w:rsidR="00F95441" w:rsidRPr="00BC2AA1" w:rsidRDefault="004C7D65" w:rsidP="00F95441">
      <w:pPr>
        <w:ind w:firstLine="720"/>
      </w:pPr>
      <w:r w:rsidRPr="00BC2AA1">
        <w:t xml:space="preserve">Results from the studies reviewed in this section suggest an ideotype for biofuel switchgrass would be a later maturing, tall plant with a </w:t>
      </w:r>
      <w:r w:rsidR="00F36223">
        <w:t xml:space="preserve">dense, </w:t>
      </w:r>
      <w:r w:rsidRPr="00BC2AA1">
        <w:t>high number of thick, heavy t</w:t>
      </w:r>
      <w:r w:rsidR="00F36223">
        <w:t xml:space="preserve">illers, </w:t>
      </w:r>
      <w:r w:rsidRPr="00BC2AA1">
        <w:t>high IVDMD, and low NDF. Further research that would be of particular</w:t>
      </w:r>
      <w:r w:rsidR="00F36223">
        <w:t xml:space="preserve"> interest in developing biofuel</w:t>
      </w:r>
      <w:r w:rsidRPr="00BC2AA1">
        <w:t xml:space="preserve"> switchgrass include</w:t>
      </w:r>
      <w:r>
        <w:t xml:space="preserve"> identification of correlations, </w:t>
      </w:r>
      <w:r w:rsidRPr="00BC2AA1">
        <w:t>genetic parameters</w:t>
      </w:r>
      <w:r>
        <w:t>,</w:t>
      </w:r>
      <w:r w:rsidRPr="00BC2AA1">
        <w:t xml:space="preserve"> and plant morphology associated with ethanol production potential and/or lignin content</w:t>
      </w:r>
      <w:r w:rsidR="00954DB7">
        <w:t xml:space="preserve">. </w:t>
      </w:r>
    </w:p>
    <w:p w14:paraId="3B2BD327" w14:textId="2DE31CD6" w:rsidR="004C7D65" w:rsidRPr="00F95441" w:rsidRDefault="00182A8D" w:rsidP="00146660">
      <w:pPr>
        <w:pStyle w:val="Heading3"/>
        <w:spacing w:beforeLines="60" w:before="144"/>
      </w:pPr>
      <w:bookmarkStart w:id="10" w:name="_Toc314748460"/>
      <w:bookmarkStart w:id="11" w:name="_Toc317593658"/>
      <w:bookmarkStart w:id="12" w:name="_Toc404069813"/>
      <w:r>
        <w:t>Potential Traits of I</w:t>
      </w:r>
      <w:r w:rsidR="004C7D65" w:rsidRPr="00F95441">
        <w:t xml:space="preserve">nterest in </w:t>
      </w:r>
      <w:r>
        <w:t>Biofuel S</w:t>
      </w:r>
      <w:r w:rsidR="004C7D65" w:rsidRPr="00F95441">
        <w:t>witchgrass</w:t>
      </w:r>
      <w:bookmarkEnd w:id="10"/>
      <w:bookmarkEnd w:id="11"/>
      <w:bookmarkEnd w:id="12"/>
    </w:p>
    <w:p w14:paraId="1B505CD5" w14:textId="6715335F" w:rsidR="004C7D65" w:rsidRDefault="004C7D65" w:rsidP="00F95441">
      <w:pPr>
        <w:ind w:firstLine="720"/>
        <w:rPr>
          <w:rFonts w:cs="Times New Roman"/>
        </w:rPr>
      </w:pPr>
      <w:r w:rsidRPr="00BC2AA1">
        <w:rPr>
          <w:rFonts w:cs="Times New Roman"/>
        </w:rPr>
        <w:t>Biomass yield and ethanol production potential are both essential components of total yield in switchgrass varieties intended for biofuel production</w:t>
      </w:r>
      <w:r w:rsidR="00954DB7">
        <w:rPr>
          <w:rFonts w:cs="Times New Roman"/>
        </w:rPr>
        <w:t xml:space="preserve">. </w:t>
      </w:r>
      <w:r w:rsidRPr="00BC2AA1">
        <w:rPr>
          <w:rFonts w:cs="Times New Roman"/>
        </w:rPr>
        <w:t>Lignin, a component affecting ethanol production potential, is a complex of phenylpropan</w:t>
      </w:r>
      <w:r w:rsidR="007364C8">
        <w:rPr>
          <w:rFonts w:cs="Times New Roman"/>
        </w:rPr>
        <w:t>oid groups that covalently links</w:t>
      </w:r>
      <w:r w:rsidRPr="00BC2AA1">
        <w:rPr>
          <w:rFonts w:cs="Times New Roman"/>
        </w:rPr>
        <w:t xml:space="preserve"> with plant carbohydrates, making these carbohydrates less accessible, thus reducing ethanol conversion efficiency. Because of the difficulty in screening large amounts of plant material for ethanol production potential or lignin content, these characteristics have been largely neglected in breeding studies in favor of breeding for higher biomass yield or quality attributes</w:t>
      </w:r>
      <w:r w:rsidR="00954DB7">
        <w:rPr>
          <w:rFonts w:cs="Times New Roman"/>
        </w:rPr>
        <w:t xml:space="preserve">. </w:t>
      </w:r>
      <w:r w:rsidRPr="00BC2AA1">
        <w:rPr>
          <w:rFonts w:cs="Times New Roman"/>
        </w:rPr>
        <w:t xml:space="preserve">Recent publication of near infrared reflectance spectroscopy (NIRS) calibrations for ethanol yield, now allow for rapid assessment of these traits </w:t>
      </w:r>
      <w:r w:rsidR="00301182" w:rsidRPr="00BC2AA1">
        <w:rPr>
          <w:rFonts w:cs="Times New Roman"/>
        </w:rPr>
        <w:fldChar w:fldCharType="begin"/>
      </w:r>
      <w:r w:rsidR="00382C84">
        <w:rPr>
          <w:rFonts w:cs="Times New Roman"/>
        </w:rPr>
        <w:instrText xml:space="preserve"> ADDIN EN.CITE &lt;EndNote&gt;&lt;Cite&gt;&lt;Author&gt;Vogel&lt;/Author&gt;&lt;Year&gt;2011&lt;/Year&gt;&lt;RecNum&gt;22&lt;/RecNum&gt;&lt;DisplayText&gt;(Vogel et al., 2011)&lt;/DisplayText&gt;&lt;record&gt;&lt;rec-number&gt;22&lt;/rec-number&gt;&lt;foreign-keys&gt;&lt;key app="EN" db-id="wxett0et1ppsfyezes8vvxp0waarvtxedwad"&gt;22&lt;/key&gt;&lt;/foreign-keys&gt;&lt;ref-type name="Journal Article"&gt;17&lt;/ref-type&gt;&lt;contributors&gt;&lt;authors&gt;&lt;author&gt;Vogel, K.P.&lt;/author&gt;&lt;author&gt;Dien, B.S.&lt;/author&gt;&lt;author&gt;Jung, H.G.&lt;/author&gt;&lt;author&gt;Casler, M.D.&lt;/author&gt;&lt;author&gt;Masterson, S.D.&lt;/author&gt;&lt;author&gt;Mitchell, R.B.&lt;/author&gt;&lt;/authors&gt;&lt;/contributors&gt;&lt;titles&gt;&lt;title&gt;Quantifying actual and theoretical ethanol yields for switchgrass strains using NIRS analyses&lt;/title&gt;&lt;secondary-title&gt;Bioenerg. Res.&lt;/secondary-title&gt;&lt;/titles&gt;&lt;pages&gt;96-110&lt;/pages&gt;&lt;volume&gt;4&lt;/volume&gt;&lt;section&gt;96&lt;/section&gt;&lt;dates&gt;&lt;year&gt;2011&lt;/year&gt;&lt;/dates&gt;&lt;urls&gt;&lt;/urls&gt;&lt;/record&gt;&lt;/Cite&gt;&lt;/EndNote&gt;</w:instrText>
      </w:r>
      <w:r w:rsidR="00301182" w:rsidRPr="00BC2AA1">
        <w:rPr>
          <w:rFonts w:cs="Times New Roman"/>
        </w:rPr>
        <w:fldChar w:fldCharType="separate"/>
      </w:r>
      <w:r w:rsidR="00382C84">
        <w:rPr>
          <w:rFonts w:cs="Times New Roman"/>
          <w:noProof/>
        </w:rPr>
        <w:t>(</w:t>
      </w:r>
      <w:hyperlink w:anchor="_ENREF_98" w:tooltip="Vogel, 2011 #22" w:history="1">
        <w:r w:rsidR="00FB5014">
          <w:rPr>
            <w:rFonts w:cs="Times New Roman"/>
            <w:noProof/>
          </w:rPr>
          <w:t>Vogel et al., 2011</w:t>
        </w:r>
      </w:hyperlink>
      <w:r w:rsidR="00382C84">
        <w:rPr>
          <w:rFonts w:cs="Times New Roman"/>
          <w:noProof/>
        </w:rPr>
        <w:t>)</w:t>
      </w:r>
      <w:r w:rsidR="00301182" w:rsidRPr="00BC2AA1">
        <w:rPr>
          <w:rFonts w:cs="Times New Roman"/>
        </w:rPr>
        <w:fldChar w:fldCharType="end"/>
      </w:r>
      <w:r w:rsidRPr="00BC2AA1">
        <w:rPr>
          <w:rFonts w:cs="Times New Roman"/>
        </w:rPr>
        <w:t>. Publication of these calibrations permits assessments of ethanol production potential and lignin content heritability values and potential heterosis. Further questions of interest include the relatedness of ethanol production potential and lignin content to morphological traits, disease resistance, pla</w:t>
      </w:r>
      <w:r>
        <w:rPr>
          <w:rFonts w:cs="Times New Roman"/>
        </w:rPr>
        <w:t>nt vigor, and biomass yield</w:t>
      </w:r>
      <w:r w:rsidR="00954DB7">
        <w:rPr>
          <w:rFonts w:cs="Times New Roman"/>
        </w:rPr>
        <w:t xml:space="preserve">. </w:t>
      </w:r>
      <w:r>
        <w:rPr>
          <w:rFonts w:cs="Times New Roman"/>
        </w:rPr>
        <w:t xml:space="preserve"> </w:t>
      </w:r>
    </w:p>
    <w:p w14:paraId="75060CCD" w14:textId="07B82C5E" w:rsidR="004C7D65" w:rsidRPr="00BC2AA1" w:rsidRDefault="004C7D65" w:rsidP="00F95441">
      <w:pPr>
        <w:ind w:firstLine="720"/>
        <w:rPr>
          <w:rFonts w:cs="Times New Roman"/>
        </w:rPr>
      </w:pPr>
      <w:r w:rsidRPr="00BC2AA1">
        <w:rPr>
          <w:rFonts w:cs="Times New Roman"/>
        </w:rPr>
        <w:lastRenderedPageBreak/>
        <w:t xml:space="preserve">Mann et al. </w:t>
      </w:r>
      <w:r w:rsidR="00301182" w:rsidRPr="00BC2AA1">
        <w:rPr>
          <w:rFonts w:cs="Times New Roman"/>
        </w:rPr>
        <w:fldChar w:fldCharType="begin">
          <w:fldData xml:space="preserve">PEVuZE5vdGU+PENpdGUgRXhjbHVkZUF1dGg9IjEiPjxBdXRob3I+TWFubjwvQXV0aG9yPjxZZWFy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</w:fldData>
        </w:fldChar>
      </w:r>
      <w:r w:rsidRPr="00BC2AA1">
        <w:rPr>
          <w:rFonts w:cs="Times New Roman"/>
        </w:rPr>
        <w:instrText xml:space="preserve"> ADDIN EN.CITE </w:instrText>
      </w:r>
      <w:r w:rsidR="00301182" w:rsidRPr="00BC2AA1">
        <w:rPr>
          <w:rFonts w:cs="Times New Roman"/>
        </w:rPr>
        <w:fldChar w:fldCharType="begin">
          <w:fldData xml:space="preserve">PEVuZE5vdGU+PENpdGUgRXhjbHVkZUF1dGg9IjEiPjxBdXRob3I+TWFubjwvQXV0aG9yPjxZZWFy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</w:fldData>
        </w:fldChar>
      </w:r>
      <w:r w:rsidRPr="00BC2AA1">
        <w:rPr>
          <w:rFonts w:cs="Times New Roman"/>
        </w:rPr>
        <w:instrText xml:space="preserve"> ADDIN EN.CITE.DATA </w:instrText>
      </w:r>
      <w:r w:rsidR="00301182" w:rsidRPr="00BC2AA1">
        <w:rPr>
          <w:rFonts w:cs="Times New Roman"/>
        </w:rPr>
      </w:r>
      <w:r w:rsidR="00301182" w:rsidRPr="00BC2AA1">
        <w:rPr>
          <w:rFonts w:cs="Times New Roman"/>
        </w:rPr>
        <w:fldChar w:fldCharType="end"/>
      </w:r>
      <w:r w:rsidR="00301182" w:rsidRPr="00BC2AA1">
        <w:rPr>
          <w:rFonts w:cs="Times New Roman"/>
        </w:rPr>
      </w:r>
      <w:r w:rsidR="00301182" w:rsidRPr="00BC2AA1">
        <w:rPr>
          <w:rFonts w:cs="Times New Roman"/>
        </w:rPr>
        <w:fldChar w:fldCharType="separate"/>
      </w:r>
      <w:r w:rsidRPr="00BC2AA1">
        <w:rPr>
          <w:rFonts w:cs="Times New Roman"/>
          <w:noProof/>
        </w:rPr>
        <w:t>(</w:t>
      </w:r>
      <w:hyperlink w:anchor="_ENREF_66" w:tooltip="Mann, 2009 #13" w:history="1">
        <w:r w:rsidR="00FB5014" w:rsidRPr="00BC2AA1">
          <w:rPr>
            <w:rFonts w:cs="Times New Roman"/>
            <w:noProof/>
          </w:rPr>
          <w:t>2009</w:t>
        </w:r>
      </w:hyperlink>
      <w:r w:rsidRPr="00BC2AA1">
        <w:rPr>
          <w:rFonts w:cs="Times New Roman"/>
          <w:noProof/>
        </w:rPr>
        <w:t>)</w:t>
      </w:r>
      <w:r w:rsidR="00301182" w:rsidRPr="00BC2AA1">
        <w:rPr>
          <w:rFonts w:cs="Times New Roman"/>
        </w:rPr>
        <w:fldChar w:fldCharType="end"/>
      </w:r>
      <w:r w:rsidRPr="00BC2AA1">
        <w:rPr>
          <w:rFonts w:cs="Times New Roman"/>
        </w:rPr>
        <w:t xml:space="preserve"> found that switchgrass from the cultivar ‘Alamo’ had significantly higher lignin content in stems compared to leaves. Since lignin is a major restriction in the enzymatic efficiency of currently proposed processes for converting biofuels into ethanol, a reduction in the overall proportion of the plant that is lignified, breeding for a leafier plant, could result in higher conversion efficiency. However, the decreased weight of leaf portions compared to stem portions may cause a reduction in overall biomass yield in plants that are bred for increased leafiness. This was observed by Kephart et al. </w:t>
      </w:r>
      <w:r w:rsidR="00301182" w:rsidRPr="00BC2AA1">
        <w:rPr>
          <w:rFonts w:cs="Times New Roman"/>
        </w:rPr>
        <w:fldChar w:fldCharType="begin"/>
      </w:r>
      <w:r w:rsidR="00382C84">
        <w:rPr>
          <w:rFonts w:cs="Times New Roman"/>
        </w:rPr>
        <w:instrText xml:space="preserve"> ADDIN EN.CITE &lt;EndNote&gt;&lt;Cite ExcludeAuth="1"&gt;&lt;Author&gt;Kephart&lt;/Author&gt;&lt;Year&gt;1989&lt;/Year&gt;&lt;RecNum&gt;205&lt;/RecNum&gt;&lt;DisplayText&gt;(1989)&lt;/DisplayText&gt;&lt;record&gt;&lt;rec-number&gt;205&lt;/rec-number&gt;&lt;foreign-keys&gt;&lt;key app="EN" db-id="9zfxt259rawwvce0pfa5efeuatdw0pz5va5z" timestamp="1317993436"&gt;205&lt;/key&gt;&lt;/foreign-keys&gt;&lt;ref-type name="Journal Article"&gt;17&lt;/ref-type&gt;&lt;contributors&gt;&lt;authors&gt;&lt;author&gt;Kephart, K.D.&lt;/author&gt;&lt;author&gt;Buxton, D.R.&lt;/author&gt;&lt;author&gt;Hill Jr., R.R.&lt;/author&gt;&lt;/authors&gt;&lt;/contributors&gt;&lt;titles&gt;&lt;title&gt;Morphology of alfalfa divergently selected for herbage lignin concentration&lt;/title&gt;&lt;secondary-title&gt;Crop Sci.&lt;/secondary-title&gt;&lt;/titles&gt;&lt;periodical&gt;&lt;full-title&gt;Crop Sci.&lt;/full-title&gt;&lt;/periodical&gt;&lt;pages&gt;778-782&lt;/pages&gt;&lt;volume&gt;29&lt;/volume&gt;&lt;section&gt;778&lt;/section&gt;&lt;dates&gt;&lt;year&gt;1989&lt;/year&gt;&lt;/dates&gt;&lt;urls&gt;&lt;/urls&gt;&lt;/record&gt;&lt;/Cite&gt;&lt;/EndNote&gt;</w:instrText>
      </w:r>
      <w:r w:rsidR="00301182" w:rsidRPr="00BC2AA1">
        <w:rPr>
          <w:rFonts w:cs="Times New Roman"/>
        </w:rPr>
        <w:fldChar w:fldCharType="separate"/>
      </w:r>
      <w:r w:rsidRPr="00BC2AA1">
        <w:rPr>
          <w:rFonts w:cs="Times New Roman"/>
          <w:noProof/>
        </w:rPr>
        <w:t>(</w:t>
      </w:r>
      <w:hyperlink w:anchor="_ENREF_54" w:tooltip="Kephart, 1989 #205" w:history="1">
        <w:r w:rsidR="00FB5014" w:rsidRPr="00BC2AA1">
          <w:rPr>
            <w:rFonts w:cs="Times New Roman"/>
            <w:noProof/>
          </w:rPr>
          <w:t>1989</w:t>
        </w:r>
      </w:hyperlink>
      <w:r w:rsidRPr="00BC2AA1">
        <w:rPr>
          <w:rFonts w:cs="Times New Roman"/>
          <w:noProof/>
        </w:rPr>
        <w:t>)</w:t>
      </w:r>
      <w:r w:rsidR="00301182" w:rsidRPr="00BC2AA1">
        <w:rPr>
          <w:rFonts w:cs="Times New Roman"/>
        </w:rPr>
        <w:fldChar w:fldCharType="end"/>
      </w:r>
      <w:r w:rsidRPr="00BC2AA1">
        <w:rPr>
          <w:rFonts w:cs="Times New Roman"/>
        </w:rPr>
        <w:t xml:space="preserve"> in selections for increased whole plant forage quality in alfalfa where increasing forage quality resulted in an increased leaf to stem ratio which, in turn, decreased yield. The potential for altering both overall lignin content and yield through manipulation of the leaf to stem ratio makes this trait one of potentia</w:t>
      </w:r>
      <w:r w:rsidR="00E42C35">
        <w:rPr>
          <w:rFonts w:cs="Times New Roman"/>
        </w:rPr>
        <w:t>l inter</w:t>
      </w:r>
      <w:r w:rsidR="007364C8">
        <w:rPr>
          <w:rFonts w:cs="Times New Roman"/>
        </w:rPr>
        <w:t>est in biofuel switchgrass</w:t>
      </w:r>
      <w:r w:rsidR="00E42C35">
        <w:rPr>
          <w:rFonts w:cs="Times New Roman"/>
        </w:rPr>
        <w:t xml:space="preserve"> breeding;</w:t>
      </w:r>
      <w:r w:rsidRPr="00BC2AA1">
        <w:rPr>
          <w:rFonts w:cs="Times New Roman"/>
        </w:rPr>
        <w:t xml:space="preserve"> however</w:t>
      </w:r>
      <w:r w:rsidR="00E42C35">
        <w:rPr>
          <w:rFonts w:cs="Times New Roman"/>
        </w:rPr>
        <w:t>,</w:t>
      </w:r>
      <w:r w:rsidRPr="00BC2AA1">
        <w:rPr>
          <w:rFonts w:cs="Times New Roman"/>
        </w:rPr>
        <w:t xml:space="preserve"> further examination of the relationships between leaf to stem ratio, yield, and ethanol production potential is needed to establish how these components interact and to determine the ideal composition that will optimize both yield and ethanol production potential. </w:t>
      </w:r>
    </w:p>
    <w:p w14:paraId="042601DF" w14:textId="66CDF653" w:rsidR="004C7D65" w:rsidRDefault="004C7D65" w:rsidP="00F95441">
      <w:pPr>
        <w:ind w:firstLine="720"/>
        <w:rPr>
          <w:rFonts w:cs="Times New Roman"/>
        </w:rPr>
      </w:pPr>
      <w:r w:rsidRPr="00BC2AA1">
        <w:rPr>
          <w:rFonts w:cs="Times New Roman"/>
        </w:rPr>
        <w:t>Other morphological traits may also be of interest in selecting for either biomass yield or ethanol production potential. While many studies have examined morphological traits associated with biomass yield and quality, the relationship between these traits and ethanol production potential has not been examined</w:t>
      </w:r>
      <w:r w:rsidR="00954DB7">
        <w:rPr>
          <w:rFonts w:cs="Times New Roman"/>
        </w:rPr>
        <w:t xml:space="preserve">. </w:t>
      </w:r>
      <w:r w:rsidRPr="00BC2AA1">
        <w:rPr>
          <w:rFonts w:cs="Times New Roman"/>
        </w:rPr>
        <w:t>Because of this, it is unclear whether the current high yielding ideotype would still be considered superior when conside</w:t>
      </w:r>
      <w:r w:rsidR="00D71A47">
        <w:rPr>
          <w:rFonts w:cs="Times New Roman"/>
        </w:rPr>
        <w:t>ring both components of biofuel</w:t>
      </w:r>
      <w:r w:rsidRPr="00BC2AA1">
        <w:rPr>
          <w:rFonts w:cs="Times New Roman"/>
        </w:rPr>
        <w:t xml:space="preserve"> yield: biomass yield and ethanol production potential. Examining the relationship of ethanol production potential with morphological traits such as tiller density, tiller thickness, height, </w:t>
      </w:r>
      <w:proofErr w:type="gramStart"/>
      <w:r>
        <w:rPr>
          <w:rFonts w:cs="Times New Roman"/>
        </w:rPr>
        <w:t>leaf</w:t>
      </w:r>
      <w:proofErr w:type="gramEnd"/>
      <w:r>
        <w:rPr>
          <w:rFonts w:cs="Times New Roman"/>
        </w:rPr>
        <w:t xml:space="preserve"> to stem ratio, </w:t>
      </w:r>
      <w:r w:rsidRPr="00BC2AA1">
        <w:rPr>
          <w:rFonts w:cs="Times New Roman"/>
        </w:rPr>
        <w:t xml:space="preserve">and maturity could assist breeders in the selection process by identifying which </w:t>
      </w:r>
      <w:r w:rsidRPr="00BC2AA1">
        <w:rPr>
          <w:rFonts w:cs="Times New Roman"/>
        </w:rPr>
        <w:lastRenderedPageBreak/>
        <w:t xml:space="preserve">characteristics are linked to both biomass yield and ethanol production potential and determining which components are most likely to maximize total </w:t>
      </w:r>
      <w:r w:rsidR="00D71A47">
        <w:rPr>
          <w:rFonts w:cs="Times New Roman"/>
        </w:rPr>
        <w:t>biofuel</w:t>
      </w:r>
      <w:r w:rsidR="00E42C35">
        <w:rPr>
          <w:rFonts w:cs="Times New Roman"/>
        </w:rPr>
        <w:t xml:space="preserve"> </w:t>
      </w:r>
      <w:r w:rsidRPr="00BC2AA1">
        <w:rPr>
          <w:rFonts w:cs="Times New Roman"/>
        </w:rPr>
        <w:t>yield</w:t>
      </w:r>
      <w:r w:rsidR="00954DB7">
        <w:rPr>
          <w:rFonts w:cs="Times New Roman"/>
        </w:rPr>
        <w:t xml:space="preserve">. </w:t>
      </w:r>
      <w:r w:rsidRPr="00BC2AA1">
        <w:rPr>
          <w:rFonts w:cs="Times New Roman"/>
        </w:rPr>
        <w:t xml:space="preserve">     </w:t>
      </w:r>
    </w:p>
    <w:p w14:paraId="412282FB" w14:textId="2AAD0FFA" w:rsidR="004C7D65" w:rsidRPr="00BC2AA1" w:rsidRDefault="00182A8D" w:rsidP="00146660">
      <w:pPr>
        <w:pStyle w:val="Heading3"/>
        <w:spacing w:beforeLines="60" w:before="144"/>
      </w:pPr>
      <w:bookmarkStart w:id="13" w:name="_Toc314748461"/>
      <w:bookmarkStart w:id="14" w:name="_Toc317593659"/>
      <w:bookmarkStart w:id="15" w:name="_Toc404069814"/>
      <w:r>
        <w:t>Potential Genetic Parameters of I</w:t>
      </w:r>
      <w:r w:rsidR="004C7D65" w:rsidRPr="00BC2AA1">
        <w:t>nterest</w:t>
      </w:r>
      <w:bookmarkEnd w:id="13"/>
      <w:bookmarkEnd w:id="14"/>
      <w:bookmarkEnd w:id="15"/>
    </w:p>
    <w:p w14:paraId="6407AF26" w14:textId="1F5AE08C" w:rsidR="004C7D65" w:rsidRPr="00BC2AA1" w:rsidRDefault="004C7D65" w:rsidP="00F95441">
      <w:pPr>
        <w:ind w:firstLine="720"/>
        <w:rPr>
          <w:rFonts w:cs="Times New Roman"/>
        </w:rPr>
      </w:pPr>
      <w:r w:rsidRPr="00BC2AA1">
        <w:rPr>
          <w:rFonts w:cs="Times New Roman"/>
        </w:rPr>
        <w:t xml:space="preserve">Heterosis, maternal effects, and general and specific combining ability in switchgrass are areas in which relatively little research has been performed but for which information would be beneficial in selecting parents to use in the development of hybrids or synthetic populations. Heterosis, or hybrid vigor, has been observed in switchgrass populations. Vogel </w:t>
      </w:r>
      <w:r w:rsidR="00301182" w:rsidRPr="00BC2AA1">
        <w:rPr>
          <w:rFonts w:cs="Times New Roman"/>
        </w:rPr>
        <w:fldChar w:fldCharType="begin"/>
      </w:r>
      <w:r w:rsidR="00382C84">
        <w:rPr>
          <w:rFonts w:cs="Times New Roman"/>
        </w:rPr>
        <w:instrText xml:space="preserve"> ADDIN EN.CITE &lt;EndNote&gt;&lt;Cite ExcludeAuth="1"&gt;&lt;Author&gt;Vogel&lt;/Author&gt;&lt;Year&gt;2008&lt;/Year&gt;&lt;RecNum&gt;258&lt;/RecNum&gt;&lt;DisplayText&gt;(2008)&lt;/DisplayText&gt;&lt;record&gt;&lt;rec-number&gt;258&lt;/rec-number&gt;&lt;foreign-keys&gt;&lt;key app="EN" db-id="9zfxt259rawwvce0pfa5efeuatdw0pz5va5z" timestamp="1323887732"&gt;258&lt;/key&gt;&lt;/foreign-keys&gt;&lt;ref-type name="Journal Article"&gt;17&lt;/ref-type&gt;&lt;contributors&gt;&lt;authors&gt;&lt;author&gt;Vogel, K.P.&lt;/author&gt;&lt;author&gt;Mitchell, R.B.&lt;/author&gt;&lt;/authors&gt;&lt;/contributors&gt;&lt;titles&gt;&lt;title&gt;Heterosis in switchgrass:  Biomass yield in swards&lt;/title&gt;&lt;secondary-title&gt;Crop Sci.&lt;/secondary-title&gt;&lt;/titles&gt;&lt;periodical&gt;&lt;full-title&gt;Crop Sci.&lt;/full-title&gt;&lt;/periodical&gt;&lt;pages&gt;2159-2164&lt;/pages&gt;&lt;volume&gt;48&lt;/volume&gt;&lt;section&gt;2159&lt;/section&gt;&lt;dates&gt;&lt;year&gt;2008&lt;/year&gt;&lt;/dates&gt;&lt;urls&gt;&lt;/urls&gt;&lt;/record&gt;&lt;/Cite&gt;&lt;/EndNote&gt;</w:instrText>
      </w:r>
      <w:r w:rsidR="00301182" w:rsidRPr="00BC2AA1">
        <w:rPr>
          <w:rFonts w:cs="Times New Roman"/>
        </w:rPr>
        <w:fldChar w:fldCharType="separate"/>
      </w:r>
      <w:r w:rsidRPr="00BC2AA1">
        <w:rPr>
          <w:rFonts w:cs="Times New Roman"/>
          <w:noProof/>
        </w:rPr>
        <w:t>(</w:t>
      </w:r>
      <w:hyperlink w:anchor="_ENREF_100" w:tooltip="Vogel, 2008 #258" w:history="1">
        <w:r w:rsidR="00FB5014" w:rsidRPr="00BC2AA1">
          <w:rPr>
            <w:rFonts w:cs="Times New Roman"/>
            <w:noProof/>
          </w:rPr>
          <w:t>2008</w:t>
        </w:r>
      </w:hyperlink>
      <w:r w:rsidRPr="00BC2AA1">
        <w:rPr>
          <w:rFonts w:cs="Times New Roman"/>
          <w:noProof/>
        </w:rPr>
        <w:t>)</w:t>
      </w:r>
      <w:r w:rsidR="00301182" w:rsidRPr="00BC2AA1">
        <w:rPr>
          <w:rFonts w:cs="Times New Roman"/>
        </w:rPr>
        <w:fldChar w:fldCharType="end"/>
      </w:r>
      <w:r w:rsidRPr="00BC2AA1">
        <w:rPr>
          <w:rFonts w:cs="Times New Roman"/>
        </w:rPr>
        <w:t xml:space="preserve"> found high parent heterosis for biomass yield of 30%-38% in crosses of Kanlow and Summer cultivars evaluated under sward conditions</w:t>
      </w:r>
      <w:r w:rsidR="00954DB7">
        <w:rPr>
          <w:rFonts w:cs="Times New Roman"/>
        </w:rPr>
        <w:t xml:space="preserve">. </w:t>
      </w:r>
      <w:r w:rsidRPr="00BC2AA1">
        <w:rPr>
          <w:rFonts w:cs="Times New Roman"/>
        </w:rPr>
        <w:t xml:space="preserve">However, a study of the same population under space planted conditions by Martinez-Reyna </w:t>
      </w:r>
      <w:r w:rsidR="00301182" w:rsidRPr="00BC2AA1">
        <w:rPr>
          <w:rFonts w:cs="Times New Roman"/>
        </w:rPr>
        <w:fldChar w:fldCharType="begin"/>
      </w:r>
      <w:r w:rsidR="00382C84">
        <w:rPr>
          <w:rFonts w:cs="Times New Roman"/>
        </w:rPr>
        <w:instrText xml:space="preserve"> ADDIN EN.CITE &lt;EndNote&gt;&lt;Cite ExcludeAuth="1"&gt;&lt;Author&gt;Martinez-Reyna&lt;/Author&gt;&lt;Year&gt;2008&lt;/Year&gt;&lt;RecNum&gt;259&lt;/RecNum&gt;&lt;DisplayText&gt;(2008)&lt;/DisplayText&gt;&lt;record&gt;&lt;rec-number&gt;259&lt;/rec-number&gt;&lt;foreign-keys&gt;&lt;key app="EN" db-id="9zfxt259rawwvce0pfa5efeuatdw0pz5va5z" timestamp="1323887732"&gt;259&lt;/key&gt;&lt;/foreign-keys&gt;&lt;ref-type name="Journal Article"&gt;17&lt;/ref-type&gt;&lt;contributors&gt;&lt;authors&gt;&lt;author&gt;Martinez-Reyna, J.M.&lt;/author&gt;&lt;author&gt;Vogel, K.P.&lt;/author&gt;&lt;/authors&gt;&lt;/contributors&gt;&lt;titles&gt;&lt;title&gt;Heterosis in switchgrass:  Spaced plants&lt;/title&gt;&lt;secondary-title&gt;Crop Sci.&lt;/secondary-title&gt;&lt;/titles&gt;&lt;periodical&gt;&lt;full-title&gt;Crop Sci.&lt;/full-title&gt;&lt;/periodical&gt;&lt;pages&gt;1312-1320&lt;/pages&gt;&lt;volume&gt;48&lt;/volume&gt;&lt;section&gt;1312&lt;/section&gt;&lt;dates&gt;&lt;year&gt;2008&lt;/year&gt;&lt;/dates&gt;&lt;urls&gt;&lt;/urls&gt;&lt;/record&gt;&lt;/Cite&gt;&lt;/EndNote&gt;</w:instrText>
      </w:r>
      <w:r w:rsidR="00301182" w:rsidRPr="00BC2AA1">
        <w:rPr>
          <w:rFonts w:cs="Times New Roman"/>
        </w:rPr>
        <w:fldChar w:fldCharType="separate"/>
      </w:r>
      <w:r w:rsidRPr="00BC2AA1">
        <w:rPr>
          <w:rFonts w:cs="Times New Roman"/>
          <w:noProof/>
        </w:rPr>
        <w:t>(</w:t>
      </w:r>
      <w:hyperlink w:anchor="_ENREF_68" w:tooltip="Martinez-Reyna, 2008 #259" w:history="1">
        <w:r w:rsidR="00FB5014" w:rsidRPr="00BC2AA1">
          <w:rPr>
            <w:rFonts w:cs="Times New Roman"/>
            <w:noProof/>
          </w:rPr>
          <w:t>2008</w:t>
        </w:r>
      </w:hyperlink>
      <w:r w:rsidRPr="00BC2AA1">
        <w:rPr>
          <w:rFonts w:cs="Times New Roman"/>
          <w:noProof/>
        </w:rPr>
        <w:t>)</w:t>
      </w:r>
      <w:r w:rsidR="00301182" w:rsidRPr="00BC2AA1">
        <w:rPr>
          <w:rFonts w:cs="Times New Roman"/>
        </w:rPr>
        <w:fldChar w:fldCharType="end"/>
      </w:r>
      <w:r w:rsidRPr="00BC2AA1">
        <w:rPr>
          <w:rFonts w:cs="Times New Roman"/>
        </w:rPr>
        <w:t xml:space="preserve"> found only mid-parent heterosis. Maternal effects, traits which are linked to nuclear factors found in the cytoplasm, have also been identified in switchgrass. Martinez-Reyna </w:t>
      </w:r>
      <w:r w:rsidR="00301182" w:rsidRPr="00BC2AA1">
        <w:rPr>
          <w:rFonts w:cs="Times New Roman"/>
        </w:rPr>
        <w:fldChar w:fldCharType="begin"/>
      </w:r>
      <w:r w:rsidR="00382C84">
        <w:rPr>
          <w:rFonts w:cs="Times New Roman"/>
        </w:rPr>
        <w:instrText xml:space="preserve"> ADDIN EN.CITE &lt;EndNote&gt;&lt;Cite ExcludeAuth="1"&gt;&lt;Author&gt;Martinez-Reyna&lt;/Author&gt;&lt;Year&gt;2008&lt;/Year&gt;&lt;RecNum&gt;259&lt;/RecNum&gt;&lt;DisplayText&gt;(2008)&lt;/DisplayText&gt;&lt;record&gt;&lt;rec-number&gt;259&lt;/rec-number&gt;&lt;foreign-keys&gt;&lt;key app="EN" db-id="9zfxt259rawwvce0pfa5efeuatdw0pz5va5z" timestamp="1323887732"&gt;259&lt;/key&gt;&lt;/foreign-keys&gt;&lt;ref-type name="Journal Article"&gt;17&lt;/ref-type&gt;&lt;contributors&gt;&lt;authors&gt;&lt;author&gt;Martinez-Reyna, J.M.&lt;/author&gt;&lt;author&gt;Vogel, K.P.&lt;/author&gt;&lt;/authors&gt;&lt;/contributors&gt;&lt;titles&gt;&lt;title&gt;Heterosis in switchgrass:  Spaced plants&lt;/title&gt;&lt;secondary-title&gt;Crop Sci.&lt;/secondary-title&gt;&lt;/titles&gt;&lt;periodical&gt;&lt;full-title&gt;Crop Sci.&lt;/full-title&gt;&lt;/periodical&gt;&lt;pages&gt;1312-1320&lt;/pages&gt;&lt;volume&gt;48&lt;/volume&gt;&lt;section&gt;1312&lt;/section&gt;&lt;dates&gt;&lt;year&gt;2008&lt;/year&gt;&lt;/dates&gt;&lt;urls&gt;&lt;/urls&gt;&lt;/record&gt;&lt;/Cite&gt;&lt;/EndNote&gt;</w:instrText>
      </w:r>
      <w:r w:rsidR="00301182" w:rsidRPr="00BC2AA1">
        <w:rPr>
          <w:rFonts w:cs="Times New Roman"/>
        </w:rPr>
        <w:fldChar w:fldCharType="separate"/>
      </w:r>
      <w:r w:rsidRPr="00BC2AA1">
        <w:rPr>
          <w:rFonts w:cs="Times New Roman"/>
          <w:noProof/>
        </w:rPr>
        <w:t>(</w:t>
      </w:r>
      <w:hyperlink w:anchor="_ENREF_68" w:tooltip="Martinez-Reyna, 2008 #259" w:history="1">
        <w:r w:rsidR="00FB5014" w:rsidRPr="00BC2AA1">
          <w:rPr>
            <w:rFonts w:cs="Times New Roman"/>
            <w:noProof/>
          </w:rPr>
          <w:t>2008</w:t>
        </w:r>
      </w:hyperlink>
      <w:r w:rsidRPr="00BC2AA1">
        <w:rPr>
          <w:rFonts w:cs="Times New Roman"/>
          <w:noProof/>
        </w:rPr>
        <w:t>)</w:t>
      </w:r>
      <w:r w:rsidR="00301182" w:rsidRPr="00BC2AA1">
        <w:rPr>
          <w:rFonts w:cs="Times New Roman"/>
        </w:rPr>
        <w:fldChar w:fldCharType="end"/>
      </w:r>
      <w:r w:rsidRPr="00BC2AA1">
        <w:rPr>
          <w:rFonts w:cs="Times New Roman"/>
        </w:rPr>
        <w:t xml:space="preserve"> identified maternal effects for switchgrass seed weight, with seed from the </w:t>
      </w:r>
      <w:r w:rsidR="00D71A47">
        <w:rPr>
          <w:rFonts w:cs="Times New Roman"/>
        </w:rPr>
        <w:t>‘</w:t>
      </w:r>
      <w:r w:rsidRPr="00BC2AA1">
        <w:rPr>
          <w:rFonts w:cs="Times New Roman"/>
        </w:rPr>
        <w:t>Kanlow</w:t>
      </w:r>
      <w:r w:rsidR="00D71A47">
        <w:rPr>
          <w:rFonts w:cs="Times New Roman"/>
        </w:rPr>
        <w:t>’</w:t>
      </w:r>
      <w:r w:rsidRPr="00BC2AA1">
        <w:rPr>
          <w:rFonts w:cs="Times New Roman"/>
        </w:rPr>
        <w:t xml:space="preserve"> x </w:t>
      </w:r>
      <w:r w:rsidR="00D71A47">
        <w:rPr>
          <w:rFonts w:cs="Times New Roman"/>
        </w:rPr>
        <w:t>‘</w:t>
      </w:r>
      <w:r w:rsidRPr="00BC2AA1">
        <w:rPr>
          <w:rFonts w:cs="Times New Roman"/>
        </w:rPr>
        <w:t>Summer</w:t>
      </w:r>
      <w:r w:rsidR="00D71A47">
        <w:rPr>
          <w:rFonts w:cs="Times New Roman"/>
        </w:rPr>
        <w:t>’</w:t>
      </w:r>
      <w:r w:rsidRPr="00BC2AA1">
        <w:rPr>
          <w:rFonts w:cs="Times New Roman"/>
        </w:rPr>
        <w:t xml:space="preserve"> crosses having a significantly greater weight than seed from the </w:t>
      </w:r>
      <w:r w:rsidR="00D71A47">
        <w:rPr>
          <w:rFonts w:cs="Times New Roman"/>
        </w:rPr>
        <w:t>‘</w:t>
      </w:r>
      <w:r w:rsidRPr="00BC2AA1">
        <w:rPr>
          <w:rFonts w:cs="Times New Roman"/>
        </w:rPr>
        <w:t>Summer</w:t>
      </w:r>
      <w:r w:rsidR="00D71A47">
        <w:rPr>
          <w:rFonts w:cs="Times New Roman"/>
        </w:rPr>
        <w:t>’</w:t>
      </w:r>
      <w:r w:rsidRPr="00BC2AA1">
        <w:rPr>
          <w:rFonts w:cs="Times New Roman"/>
        </w:rPr>
        <w:t xml:space="preserve"> x </w:t>
      </w:r>
      <w:r w:rsidR="00D71A47">
        <w:rPr>
          <w:rFonts w:cs="Times New Roman"/>
        </w:rPr>
        <w:t>‘</w:t>
      </w:r>
      <w:r w:rsidRPr="00BC2AA1">
        <w:rPr>
          <w:rFonts w:cs="Times New Roman"/>
        </w:rPr>
        <w:t>Kanlow</w:t>
      </w:r>
      <w:r w:rsidR="00D71A47">
        <w:rPr>
          <w:rFonts w:cs="Times New Roman"/>
        </w:rPr>
        <w:t>’</w:t>
      </w:r>
      <w:r w:rsidRPr="00BC2AA1">
        <w:rPr>
          <w:rFonts w:cs="Times New Roman"/>
        </w:rPr>
        <w:t xml:space="preserve"> crosses</w:t>
      </w:r>
      <w:r w:rsidR="00954DB7">
        <w:rPr>
          <w:rFonts w:cs="Times New Roman"/>
        </w:rPr>
        <w:t xml:space="preserve">. </w:t>
      </w:r>
      <w:r w:rsidRPr="00BC2AA1">
        <w:rPr>
          <w:rFonts w:cs="Times New Roman"/>
        </w:rPr>
        <w:t xml:space="preserve">A full diallel crossing system, in which every parent is crossed with every other parent, including reciprocal crosses, allows for evaluation of both maternal effects and general and specific combining ability of parent plants </w:t>
      </w:r>
      <w:r w:rsidR="00301182" w:rsidRPr="00BC2AA1">
        <w:rPr>
          <w:rFonts w:cs="Times New Roman"/>
        </w:rPr>
        <w:fldChar w:fldCharType="begin"/>
      </w:r>
      <w:r w:rsidR="00382C84">
        <w:rPr>
          <w:rFonts w:cs="Times New Roman"/>
        </w:rPr>
        <w:instrText xml:space="preserve"> ADDIN EN.CITE &lt;EndNote&gt;&lt;Cite&gt;&lt;Author&gt;Griffing&lt;/Author&gt;&lt;Year&gt;1956&lt;/Year&gt;&lt;RecNum&gt;262&lt;/RecNum&gt;&lt;DisplayText&gt;(Griffing, 1956)&lt;/DisplayText&gt;&lt;record&gt;&lt;rec-number&gt;262&lt;/rec-number&gt;&lt;foreign-keys&gt;&lt;key app="EN" db-id="9zfxt259rawwvce0pfa5efeuatdw0pz5va5z" timestamp="1326988408"&gt;262&lt;/key&gt;&lt;/foreign-keys&gt;&lt;ref-type name="Journal Article"&gt;17&lt;/ref-type&gt;&lt;contributors&gt;&lt;authors&gt;&lt;author&gt;Griffing, B.&lt;/author&gt;&lt;/authors&gt;&lt;/contributors&gt;&lt;titles&gt;&lt;title&gt;Concept of general and specific combining ability in relation to diallel crossing systems&lt;/title&gt;&lt;secondary-title&gt;Austr. J. Biol. Sci.&lt;/secondary-title&gt;&lt;/titles&gt;&lt;periodical&gt;&lt;full-title&gt;Austr. J. Biol. Sci.&lt;/full-title&gt;&lt;/periodical&gt;&lt;pages&gt;463-493&lt;/pages&gt;&lt;volume&gt;9&lt;/volume&gt;&lt;dates&gt;&lt;year&gt;1956&lt;/year&gt;&lt;/dates&gt;&lt;urls&gt;&lt;/urls&gt;&lt;/record&gt;&lt;/Cite&gt;&lt;/EndNote&gt;</w:instrText>
      </w:r>
      <w:r w:rsidR="00301182" w:rsidRPr="00BC2AA1">
        <w:rPr>
          <w:rFonts w:cs="Times New Roman"/>
        </w:rPr>
        <w:fldChar w:fldCharType="separate"/>
      </w:r>
      <w:r w:rsidRPr="00BC2AA1">
        <w:rPr>
          <w:rFonts w:cs="Times New Roman"/>
          <w:noProof/>
        </w:rPr>
        <w:t>(</w:t>
      </w:r>
      <w:hyperlink w:anchor="_ENREF_40" w:tooltip="Griffing, 1956 #262" w:history="1">
        <w:r w:rsidR="00FB5014" w:rsidRPr="00BC2AA1">
          <w:rPr>
            <w:rFonts w:cs="Times New Roman"/>
            <w:noProof/>
          </w:rPr>
          <w:t>Griffing, 1956</w:t>
        </w:r>
      </w:hyperlink>
      <w:r w:rsidRPr="00BC2AA1">
        <w:rPr>
          <w:rFonts w:cs="Times New Roman"/>
          <w:noProof/>
        </w:rPr>
        <w:t>)</w:t>
      </w:r>
      <w:r w:rsidR="00301182" w:rsidRPr="00BC2AA1">
        <w:rPr>
          <w:rFonts w:cs="Times New Roman"/>
        </w:rPr>
        <w:fldChar w:fldCharType="end"/>
      </w:r>
      <w:r w:rsidRPr="00BC2AA1">
        <w:rPr>
          <w:rFonts w:cs="Times New Roman"/>
        </w:rPr>
        <w:t>. General combining ability is defined as the average performance of a line in a hybrid combination while specific combining ability is defined as the performance of specific combinations in relation to the average performance of the lines involved</w:t>
      </w:r>
      <w:r w:rsidR="00954DB7">
        <w:rPr>
          <w:rFonts w:cs="Times New Roman"/>
        </w:rPr>
        <w:t xml:space="preserve">. </w:t>
      </w:r>
      <w:r w:rsidRPr="00BC2AA1">
        <w:rPr>
          <w:rFonts w:cs="Times New Roman"/>
        </w:rPr>
        <w:t>These values allow breeders to predict hybrid and synthetic variety performance. A diallel system may also be used to estimate variance components of the population</w:t>
      </w:r>
      <w:r w:rsidR="00954DB7">
        <w:rPr>
          <w:rFonts w:cs="Times New Roman"/>
        </w:rPr>
        <w:t xml:space="preserve">. </w:t>
      </w:r>
      <w:r w:rsidRPr="00BC2AA1">
        <w:rPr>
          <w:rFonts w:cs="Times New Roman"/>
        </w:rPr>
        <w:t xml:space="preserve">For a tetraploid plant, such as switchgrass, </w:t>
      </w:r>
      <w:r>
        <w:rPr>
          <w:rFonts w:cs="Times New Roman"/>
        </w:rPr>
        <w:t xml:space="preserve">estimates of </w:t>
      </w:r>
      <w:r w:rsidRPr="00BC2AA1">
        <w:rPr>
          <w:rFonts w:cs="Times New Roman"/>
        </w:rPr>
        <w:t>σ</w:t>
      </w:r>
      <w:r w:rsidRPr="00BC2AA1">
        <w:rPr>
          <w:rFonts w:cs="Times New Roman"/>
          <w:vertAlign w:val="superscript"/>
        </w:rPr>
        <w:t>2</w:t>
      </w:r>
      <w:r w:rsidRPr="00BC2AA1">
        <w:rPr>
          <w:rFonts w:cs="Times New Roman"/>
          <w:vertAlign w:val="subscript"/>
        </w:rPr>
        <w:t>A</w:t>
      </w:r>
      <w:r>
        <w:rPr>
          <w:rFonts w:cs="Times New Roman"/>
        </w:rPr>
        <w:t xml:space="preserve"> (population additive genetic variance)</w:t>
      </w:r>
      <w:r w:rsidRPr="00BC2AA1">
        <w:rPr>
          <w:rFonts w:cs="Times New Roman"/>
        </w:rPr>
        <w:t xml:space="preserve"> and σ</w:t>
      </w:r>
      <w:r w:rsidRPr="00BC2AA1">
        <w:rPr>
          <w:rFonts w:cs="Times New Roman"/>
          <w:vertAlign w:val="superscript"/>
        </w:rPr>
        <w:t>2</w:t>
      </w:r>
      <w:r w:rsidRPr="00BC2AA1">
        <w:rPr>
          <w:rFonts w:cs="Times New Roman"/>
          <w:vertAlign w:val="subscript"/>
        </w:rPr>
        <w:t>D</w:t>
      </w:r>
      <w:r>
        <w:rPr>
          <w:rFonts w:cs="Times New Roman"/>
        </w:rPr>
        <w:t xml:space="preserve"> (population domina</w:t>
      </w:r>
      <w:r w:rsidR="00E12C72">
        <w:rPr>
          <w:rFonts w:cs="Times New Roman"/>
        </w:rPr>
        <w:t>n</w:t>
      </w:r>
      <w:r>
        <w:rPr>
          <w:rFonts w:cs="Times New Roman"/>
        </w:rPr>
        <w:t xml:space="preserve">ce genetic </w:t>
      </w:r>
      <w:r>
        <w:rPr>
          <w:rFonts w:cs="Times New Roman"/>
        </w:rPr>
        <w:lastRenderedPageBreak/>
        <w:t>variance)</w:t>
      </w:r>
      <w:r w:rsidRPr="00BC2AA1">
        <w:rPr>
          <w:rFonts w:cs="Times New Roman"/>
          <w:vertAlign w:val="subscript"/>
        </w:rPr>
        <w:t xml:space="preserve"> </w:t>
      </w:r>
      <w:r>
        <w:rPr>
          <w:rFonts w:cs="Times New Roman"/>
        </w:rPr>
        <w:t xml:space="preserve">for the sample </w:t>
      </w:r>
      <w:r w:rsidRPr="00BC2AA1">
        <w:rPr>
          <w:rFonts w:cs="Times New Roman"/>
        </w:rPr>
        <w:t xml:space="preserve">can be </w:t>
      </w:r>
      <w:r>
        <w:rPr>
          <w:rFonts w:cs="Times New Roman"/>
        </w:rPr>
        <w:t>calculated</w:t>
      </w:r>
      <w:r w:rsidRPr="00BC2AA1">
        <w:rPr>
          <w:rFonts w:cs="Times New Roman"/>
        </w:rPr>
        <w:t xml:space="preserve"> using the following formulas</w:t>
      </w:r>
      <w:r>
        <w:rPr>
          <w:rFonts w:cs="Times New Roman"/>
        </w:rPr>
        <w:t xml:space="preserve"> </w:t>
      </w:r>
      <w:r w:rsidR="00301182" w:rsidRPr="00BC2AA1">
        <w:rPr>
          <w:rFonts w:cs="Times New Roman"/>
        </w:rPr>
        <w:fldChar w:fldCharType="begin"/>
      </w:r>
      <w:r w:rsidR="003D2B24">
        <w:rPr>
          <w:rFonts w:cs="Times New Roman"/>
        </w:rPr>
        <w:instrText xml:space="preserve"> ADDIN EN.CITE &lt;EndNote&gt;&lt;Cite&gt;&lt;Author&gt;Wricke&lt;/Author&gt;&lt;Year&gt;1986&lt;/Year&gt;&lt;RecNum&gt;261&lt;/RecNum&gt;&lt;DisplayText&gt;(Wricke and Weber, 1986)&lt;/DisplayText&gt;&lt;record&gt;&lt;rec-number&gt;261&lt;/rec-number&gt;&lt;foreign-keys&gt;&lt;key app="EN" db-id="9zfxt259rawwvce0pfa5efeuatdw0pz5va5z" timestamp="1326988292"&gt;261&lt;/key&gt;&lt;/foreign-keys&gt;&lt;ref-type name="Book"&gt;6&lt;/ref-type&gt;&lt;contributors&gt;&lt;authors&gt;&lt;author&gt;Wricke, Gunter&lt;/author&gt;&lt;author&gt;Weber, W. Eberhard&lt;/author&gt;&lt;/authors&gt;&lt;/contributors&gt;&lt;titles&gt;&lt;title&gt;Quantitative Genetics and Selection in Plant Breeding. &lt;/title&gt;&lt;/titles&gt;&lt;dates&gt;&lt;year&gt;1986&lt;/year&gt;&lt;/dates&gt;&lt;pub-location&gt;New York&lt;/pub-location&gt;&lt;publisher&gt;Walter de Gruyter&lt;/publisher&gt;&lt;urls&gt;&lt;/urls&gt;&lt;/record&gt;&lt;/Cite&gt;&lt;/EndNote&gt;</w:instrText>
      </w:r>
      <w:r w:rsidR="00301182" w:rsidRPr="00BC2AA1">
        <w:rPr>
          <w:rFonts w:cs="Times New Roman"/>
        </w:rPr>
        <w:fldChar w:fldCharType="separate"/>
      </w:r>
      <w:r w:rsidRPr="00BC2AA1">
        <w:rPr>
          <w:rFonts w:cs="Times New Roman"/>
          <w:noProof/>
        </w:rPr>
        <w:t>(</w:t>
      </w:r>
      <w:hyperlink w:anchor="_ENREF_104" w:tooltip="Wricke, 1986 #261" w:history="1">
        <w:r w:rsidR="00FB5014" w:rsidRPr="00BC2AA1">
          <w:rPr>
            <w:rFonts w:cs="Times New Roman"/>
            <w:noProof/>
          </w:rPr>
          <w:t>Wricke and Weber, 1986</w:t>
        </w:r>
      </w:hyperlink>
      <w:r w:rsidRPr="00BC2AA1">
        <w:rPr>
          <w:rFonts w:cs="Times New Roman"/>
          <w:noProof/>
        </w:rPr>
        <w:t>)</w:t>
      </w:r>
      <w:r w:rsidR="00301182" w:rsidRPr="00BC2AA1">
        <w:rPr>
          <w:rFonts w:cs="Times New Roman"/>
        </w:rPr>
        <w:fldChar w:fldCharType="end"/>
      </w:r>
      <w:r>
        <w:rPr>
          <w:rFonts w:cs="Times New Roman"/>
        </w:rPr>
        <w:t>:</w:t>
      </w:r>
    </w:p>
    <w:p w14:paraId="15D72816" w14:textId="77777777" w:rsidR="004C7D65" w:rsidRPr="00BC2AA1" w:rsidRDefault="004C7D65" w:rsidP="004C7D65">
      <w:pPr>
        <w:rPr>
          <w:rFonts w:cs="Times New Roman"/>
          <w:vertAlign w:val="subscript"/>
        </w:rPr>
      </w:pPr>
      <w:r w:rsidRPr="00BC2AA1">
        <w:rPr>
          <w:rFonts w:cs="Times New Roman"/>
        </w:rPr>
        <w:t>s</w:t>
      </w:r>
      <w:r w:rsidRPr="00BC2AA1">
        <w:rPr>
          <w:rFonts w:cs="Times New Roman"/>
          <w:vertAlign w:val="superscript"/>
        </w:rPr>
        <w:t>2</w:t>
      </w:r>
      <w:r w:rsidRPr="00BC2AA1">
        <w:rPr>
          <w:rFonts w:cs="Times New Roman"/>
          <w:vertAlign w:val="subscript"/>
        </w:rPr>
        <w:t>A</w:t>
      </w:r>
      <w:r w:rsidRPr="00BC2AA1">
        <w:rPr>
          <w:rFonts w:cs="Times New Roman"/>
        </w:rPr>
        <w:t xml:space="preserve"> = 4s</w:t>
      </w:r>
      <w:r w:rsidRPr="00BC2AA1">
        <w:rPr>
          <w:rFonts w:cs="Times New Roman"/>
          <w:vertAlign w:val="superscript"/>
        </w:rPr>
        <w:t>2</w:t>
      </w:r>
      <w:r w:rsidRPr="00BC2AA1">
        <w:rPr>
          <w:rFonts w:cs="Times New Roman"/>
          <w:vertAlign w:val="subscript"/>
        </w:rPr>
        <w:t>gca</w:t>
      </w:r>
      <w:r w:rsidRPr="00BC2AA1">
        <w:rPr>
          <w:rFonts w:cs="Times New Roman"/>
        </w:rPr>
        <w:t xml:space="preserve"> – 2/3s</w:t>
      </w:r>
      <w:r w:rsidRPr="00BC2AA1">
        <w:rPr>
          <w:rFonts w:cs="Times New Roman"/>
          <w:vertAlign w:val="superscript"/>
        </w:rPr>
        <w:t>2</w:t>
      </w:r>
      <w:r w:rsidRPr="00BC2AA1">
        <w:rPr>
          <w:rFonts w:cs="Times New Roman"/>
          <w:vertAlign w:val="subscript"/>
        </w:rPr>
        <w:t>sca</w:t>
      </w:r>
    </w:p>
    <w:p w14:paraId="7A29A151" w14:textId="6E5FBED4" w:rsidR="004C7D65" w:rsidRPr="00BC2AA1" w:rsidRDefault="004C7D65" w:rsidP="004C7D65">
      <w:pPr>
        <w:rPr>
          <w:rFonts w:cs="Times New Roman"/>
        </w:rPr>
      </w:pPr>
      <w:r w:rsidRPr="00BC2AA1">
        <w:rPr>
          <w:rFonts w:cs="Times New Roman"/>
        </w:rPr>
        <w:t>s</w:t>
      </w:r>
      <w:r w:rsidRPr="00BC2AA1">
        <w:rPr>
          <w:rFonts w:cs="Times New Roman"/>
          <w:vertAlign w:val="superscript"/>
        </w:rPr>
        <w:t>2</w:t>
      </w:r>
      <w:r w:rsidRPr="00BC2AA1">
        <w:rPr>
          <w:rFonts w:cs="Times New Roman"/>
          <w:vertAlign w:val="subscript"/>
        </w:rPr>
        <w:t>D</w:t>
      </w:r>
      <w:r w:rsidRPr="00BC2AA1">
        <w:rPr>
          <w:rFonts w:cs="Times New Roman"/>
        </w:rPr>
        <w:t xml:space="preserve"> = 6s</w:t>
      </w:r>
      <w:r w:rsidRPr="00BC2AA1">
        <w:rPr>
          <w:rFonts w:cs="Times New Roman"/>
          <w:vertAlign w:val="superscript"/>
        </w:rPr>
        <w:t>2</w:t>
      </w:r>
      <w:r w:rsidRPr="00BC2AA1">
        <w:rPr>
          <w:rFonts w:cs="Times New Roman"/>
          <w:vertAlign w:val="subscript"/>
        </w:rPr>
        <w:t>sca</w:t>
      </w:r>
      <w:r w:rsidR="00954DB7">
        <w:rPr>
          <w:rFonts w:cs="Times New Roman"/>
        </w:rPr>
        <w:t xml:space="preserve">. </w:t>
      </w:r>
    </w:p>
    <w:p w14:paraId="045584F0" w14:textId="77777777" w:rsidR="00B15BAF" w:rsidRDefault="004C7D65" w:rsidP="00B15BAF">
      <w:pPr>
        <w:ind w:firstLine="720"/>
        <w:rPr>
          <w:rFonts w:cs="Times New Roman"/>
        </w:rPr>
      </w:pPr>
      <w:r w:rsidRPr="00BC2AA1">
        <w:rPr>
          <w:rFonts w:cs="Times New Roman"/>
        </w:rPr>
        <w:t>Knowledge of maternal effects and specific and general combining ability of parent plants would provide breeders greater directions when selecting parents for the development of improved synthetic populations or hybrids. Further evaluations of heterosis and maternal effects would also be beneficial in evaluating potential for improving ethanol production potential, as well as other morphological traits of interest, including tiller number, tiller width, tiller weight, and plant height.</w:t>
      </w:r>
      <w:bookmarkStart w:id="16" w:name="_Toc314748463"/>
      <w:bookmarkStart w:id="17" w:name="_Toc317593661"/>
    </w:p>
    <w:p w14:paraId="505E769B" w14:textId="5FD9A52E" w:rsidR="00B15BAF" w:rsidRPr="00BC2AA1" w:rsidRDefault="00B15BAF" w:rsidP="00B15BAF">
      <w:pPr>
        <w:pStyle w:val="Heading2"/>
      </w:pPr>
      <w:bookmarkStart w:id="18" w:name="_Toc404069815"/>
      <w:r w:rsidRPr="00BC2AA1">
        <w:t>Juvenile Selection</w:t>
      </w:r>
      <w:bookmarkEnd w:id="16"/>
      <w:bookmarkEnd w:id="17"/>
      <w:bookmarkEnd w:id="18"/>
    </w:p>
    <w:p w14:paraId="52F8F4FF" w14:textId="2FB8293C" w:rsidR="00B15BAF" w:rsidRPr="00BC2AA1" w:rsidRDefault="00B15BAF" w:rsidP="00B15BAF">
      <w:pPr>
        <w:ind w:firstLine="720"/>
        <w:jc w:val="both"/>
        <w:rPr>
          <w:rFonts w:cs="Times New Roman"/>
        </w:rPr>
      </w:pPr>
      <w:r w:rsidRPr="00BC2AA1">
        <w:rPr>
          <w:rFonts w:cs="Times New Roman"/>
        </w:rPr>
        <w:t>Switchgrass is slow to e</w:t>
      </w:r>
      <w:r>
        <w:rPr>
          <w:rFonts w:cs="Times New Roman"/>
        </w:rPr>
        <w:t>stablish, taking approximately three</w:t>
      </w:r>
      <w:r w:rsidRPr="00BC2AA1">
        <w:rPr>
          <w:rFonts w:cs="Times New Roman"/>
        </w:rPr>
        <w:t xml:space="preserve"> years to reach full </w:t>
      </w:r>
      <w:r w:rsidR="00A370D1">
        <w:rPr>
          <w:rFonts w:cs="Times New Roman"/>
        </w:rPr>
        <w:t xml:space="preserve">biomass </w:t>
      </w:r>
      <w:r w:rsidRPr="00BC2AA1">
        <w:rPr>
          <w:rFonts w:cs="Times New Roman"/>
        </w:rPr>
        <w:t xml:space="preserve">yield potential </w:t>
      </w:r>
      <w:r w:rsidRPr="00BC2AA1">
        <w:rPr>
          <w:rFonts w:cs="Times New Roman"/>
        </w:rPr>
        <w:fldChar w:fldCharType="begin"/>
      </w:r>
      <w:r>
        <w:rPr>
          <w:rFonts w:cs="Times New Roman"/>
        </w:rPr>
        <w:instrText xml:space="preserve"> ADDIN EN.CITE &lt;EndNote&gt;&lt;Cite&gt;&lt;Author&gt;Garland&lt;/Author&gt;&lt;Year&gt;2008&lt;/Year&gt;&lt;RecNum&gt;242&lt;/RecNum&gt;&lt;DisplayText&gt;(Garland, 2008)&lt;/DisplayText&gt;&lt;record&gt;&lt;rec-number&gt;242&lt;/rec-number&gt;&lt;foreign-keys&gt;&lt;key app="EN" db-id="9zfxt259rawwvce0pfa5efeuatdw0pz5va5z" timestamp="1320085380"&gt;242&lt;/key&gt;&lt;/foreign-keys&gt;&lt;ref-type name="Pamphlet"&gt;24&lt;/ref-type&gt;&lt;contributors&gt;&lt;authors&gt;&lt;author&gt;Garland, C.D.&lt;/author&gt;&lt;/authors&gt;&lt;/contributors&gt;&lt;titles&gt;&lt;title&gt;Growing and harvesting switchgrass for ethanol production in Tennessee&lt;/title&gt;&lt;secondary-title&gt;UT Biofuels Initiative - SP701-A-5M-5/08&lt;/secondary-title&gt;&lt;/titles&gt;&lt;volume&gt;SP701-A-5M-5/08&lt;/volume&gt;&lt;dates&gt;&lt;year&gt;2008&lt;/year&gt;&lt;/dates&gt;&lt;pub-location&gt;Knoxville, TN&lt;/pub-location&gt;&lt;publisher&gt;UT Extension&lt;/publisher&gt;&lt;urls&gt;&lt;/urls&gt;&lt;/record&gt;&lt;/Cite&gt;&lt;/EndNote&gt;</w:instrText>
      </w:r>
      <w:r w:rsidRPr="00BC2AA1">
        <w:rPr>
          <w:rFonts w:cs="Times New Roman"/>
        </w:rPr>
        <w:fldChar w:fldCharType="separate"/>
      </w:r>
      <w:r w:rsidRPr="00BC2AA1">
        <w:rPr>
          <w:rFonts w:cs="Times New Roman"/>
          <w:noProof/>
        </w:rPr>
        <w:t>(</w:t>
      </w:r>
      <w:hyperlink w:anchor="_ENREF_36" w:tooltip="Garland, 2008 #242" w:history="1">
        <w:r w:rsidR="00FB5014" w:rsidRPr="00BC2AA1">
          <w:rPr>
            <w:rFonts w:cs="Times New Roman"/>
            <w:noProof/>
          </w:rPr>
          <w:t>Garland, 2008</w:t>
        </w:r>
      </w:hyperlink>
      <w:r w:rsidRPr="00BC2AA1">
        <w:rPr>
          <w:rFonts w:cs="Times New Roman"/>
          <w:noProof/>
        </w:rPr>
        <w:t>)</w:t>
      </w:r>
      <w:r w:rsidRPr="00BC2AA1">
        <w:rPr>
          <w:rFonts w:cs="Times New Roman"/>
        </w:rPr>
        <w:fldChar w:fldCharType="end"/>
      </w:r>
      <w:r w:rsidR="00954DB7">
        <w:rPr>
          <w:rFonts w:cs="Times New Roman"/>
        </w:rPr>
        <w:t xml:space="preserve">. </w:t>
      </w:r>
      <w:r w:rsidRPr="00BC2AA1">
        <w:rPr>
          <w:rFonts w:cs="Times New Roman"/>
        </w:rPr>
        <w:t xml:space="preserve">High correlations between </w:t>
      </w:r>
      <w:r w:rsidR="00A370D1">
        <w:rPr>
          <w:rFonts w:cs="Times New Roman"/>
        </w:rPr>
        <w:t xml:space="preserve">biomass </w:t>
      </w:r>
      <w:r w:rsidRPr="00BC2AA1">
        <w:rPr>
          <w:rFonts w:cs="Times New Roman"/>
        </w:rPr>
        <w:t>yield of plants</w:t>
      </w:r>
      <w:r w:rsidR="00A370D1">
        <w:rPr>
          <w:rFonts w:cs="Times New Roman"/>
        </w:rPr>
        <w:t xml:space="preserve"> that have reached full biomass yield potential</w:t>
      </w:r>
      <w:r w:rsidRPr="00BC2AA1">
        <w:rPr>
          <w:rFonts w:cs="Times New Roman"/>
        </w:rPr>
        <w:t xml:space="preserve"> and </w:t>
      </w:r>
      <w:r w:rsidR="00A370D1">
        <w:rPr>
          <w:rFonts w:cs="Times New Roman"/>
        </w:rPr>
        <w:t>morphological or yield</w:t>
      </w:r>
      <w:r w:rsidRPr="00BC2AA1">
        <w:rPr>
          <w:rFonts w:cs="Times New Roman"/>
        </w:rPr>
        <w:t xml:space="preserve"> traits that can be evaluated prior to </w:t>
      </w:r>
      <w:r w:rsidR="00A370D1">
        <w:rPr>
          <w:rFonts w:cs="Times New Roman"/>
        </w:rPr>
        <w:t>this period</w:t>
      </w:r>
      <w:r w:rsidRPr="00BC2AA1">
        <w:rPr>
          <w:rFonts w:cs="Times New Roman"/>
        </w:rPr>
        <w:t xml:space="preserve"> would allow for more efficient selection in breeding improved switchgrass</w:t>
      </w:r>
      <w:r w:rsidR="00954DB7">
        <w:rPr>
          <w:rFonts w:cs="Times New Roman"/>
        </w:rPr>
        <w:t xml:space="preserve">. </w:t>
      </w:r>
      <w:r w:rsidRPr="00BC2AA1">
        <w:rPr>
          <w:rFonts w:cs="Times New Roman"/>
        </w:rPr>
        <w:t>Even greater savings of time and space could be achieved if traits with high correlations to yield could be assessed in switchgrass at seedling stages. In switchgrass, seedling selection for tillering was effective at increasing the mean yield tiller</w:t>
      </w:r>
      <w:r w:rsidRPr="00BC2AA1">
        <w:rPr>
          <w:rFonts w:cs="Times New Roman"/>
          <w:vertAlign w:val="superscript"/>
        </w:rPr>
        <w:t>-1</w:t>
      </w:r>
      <w:r w:rsidRPr="00BC2AA1">
        <w:rPr>
          <w:rFonts w:cs="Times New Roman"/>
        </w:rPr>
        <w:t xml:space="preserve"> in mature plants, though no significant difference in yield plant</w:t>
      </w:r>
      <w:r w:rsidRPr="00BC2AA1">
        <w:rPr>
          <w:rFonts w:cs="Times New Roman"/>
          <w:vertAlign w:val="superscript"/>
        </w:rPr>
        <w:t>-1</w:t>
      </w:r>
      <w:r w:rsidRPr="00BC2AA1">
        <w:rPr>
          <w:rFonts w:cs="Times New Roman"/>
        </w:rPr>
        <w:t xml:space="preserve"> was observed </w:t>
      </w:r>
      <w:r w:rsidRPr="00BC2AA1">
        <w:rPr>
          <w:rFonts w:cs="Times New Roman"/>
        </w:rPr>
        <w:fldChar w:fldCharType="begin"/>
      </w:r>
      <w:r>
        <w:rPr>
          <w:rFonts w:cs="Times New Roman"/>
        </w:rPr>
        <w:instrText xml:space="preserve"> ADDIN EN.CITE &lt;EndNote&gt;&lt;Cite&gt;&lt;Author&gt;Smart&lt;/Author&gt;&lt;Year&gt;2004&lt;/Year&gt;&lt;RecNum&gt;200&lt;/RecNum&gt;&lt;DisplayText&gt;(Smart et al., 2004)&lt;/DisplayText&gt;&lt;record&gt;&lt;rec-number&gt;200&lt;/rec-number&gt;&lt;foreign-keys&gt;&lt;key app="EN" db-id="9zfxt259rawwvce0pfa5efeuatdw0pz5va5z" timestamp="1316095738"&gt;200&lt;/key&gt;&lt;/foreign-keys&gt;&lt;ref-type name="Journal Article"&gt;17&lt;/ref-type&gt;&lt;contributors&gt;&lt;authors&gt;&lt;author&gt;Smart, A.J.&lt;/author&gt;&lt;author&gt;Moser, L.E.&lt;/author&gt;&lt;author&gt;Vogel, K.P.&lt;/author&gt;&lt;/authors&gt;&lt;/contributors&gt;&lt;titles&gt;&lt;title&gt;Morphological characteristics of big bluestem and switchgrass plants divergently selected for seedling tiller number&lt;/title&gt;&lt;secondary-title&gt;Crop Sci.&lt;/secondary-title&gt;&lt;/titles&gt;&lt;periodical&gt;&lt;full-title&gt;Crop Sci.&lt;/full-title&gt;&lt;/periodical&gt;&lt;pages&gt;607-613&lt;/pages&gt;&lt;volume&gt;44&lt;/volume&gt;&lt;section&gt;607&lt;/section&gt;&lt;dates&gt;&lt;year&gt;2004&lt;/year&gt;&lt;/dates&gt;&lt;urls&gt;&lt;/urls&gt;&lt;/record&gt;&lt;/Cite&gt;&lt;/EndNote&gt;</w:instrText>
      </w:r>
      <w:r w:rsidRPr="00BC2AA1">
        <w:rPr>
          <w:rFonts w:cs="Times New Roman"/>
        </w:rPr>
        <w:fldChar w:fldCharType="separate"/>
      </w:r>
      <w:r w:rsidRPr="00BC2AA1">
        <w:rPr>
          <w:rFonts w:cs="Times New Roman"/>
          <w:noProof/>
        </w:rPr>
        <w:t>(</w:t>
      </w:r>
      <w:hyperlink w:anchor="_ENREF_89" w:tooltip="Smart, 2004 #200" w:history="1">
        <w:r w:rsidR="00FB5014" w:rsidRPr="00BC2AA1">
          <w:rPr>
            <w:rFonts w:cs="Times New Roman"/>
            <w:noProof/>
          </w:rPr>
          <w:t>Smart et al., 2004</w:t>
        </w:r>
      </w:hyperlink>
      <w:r w:rsidRPr="00BC2AA1">
        <w:rPr>
          <w:rFonts w:cs="Times New Roman"/>
          <w:noProof/>
        </w:rPr>
        <w:t>)</w:t>
      </w:r>
      <w:r w:rsidRPr="00BC2AA1">
        <w:rPr>
          <w:rFonts w:cs="Times New Roman"/>
        </w:rPr>
        <w:fldChar w:fldCharType="end"/>
      </w:r>
      <w:r w:rsidRPr="00BC2AA1">
        <w:rPr>
          <w:rFonts w:cs="Times New Roman"/>
        </w:rPr>
        <w:t xml:space="preserve">. </w:t>
      </w:r>
      <w:r w:rsidR="00A370D1">
        <w:rPr>
          <w:rFonts w:cs="Times New Roman"/>
        </w:rPr>
        <w:t>Significant c</w:t>
      </w:r>
      <w:r w:rsidRPr="00BC2AA1">
        <w:rPr>
          <w:rFonts w:cs="Times New Roman"/>
        </w:rPr>
        <w:t xml:space="preserve">orrelations </w:t>
      </w:r>
      <w:r w:rsidR="00A370D1">
        <w:rPr>
          <w:rFonts w:cs="Times New Roman"/>
        </w:rPr>
        <w:t>of morphological and yield traits between juvenile and mature plants have been observed</w:t>
      </w:r>
      <w:r w:rsidRPr="00BC2AA1">
        <w:rPr>
          <w:rFonts w:cs="Times New Roman"/>
        </w:rPr>
        <w:t xml:space="preserve"> in Italian ryegrass (</w:t>
      </w:r>
      <w:r w:rsidRPr="00BC2AA1">
        <w:rPr>
          <w:rFonts w:cs="Times New Roman"/>
          <w:i/>
        </w:rPr>
        <w:t xml:space="preserve">Lolium multiflorum </w:t>
      </w:r>
      <w:r w:rsidRPr="00BC2AA1">
        <w:rPr>
          <w:rFonts w:cs="Times New Roman"/>
        </w:rPr>
        <w:t>Lam.) and perennial rygrass (</w:t>
      </w:r>
      <w:r w:rsidRPr="00BC2AA1">
        <w:rPr>
          <w:rFonts w:cs="Times New Roman"/>
          <w:i/>
        </w:rPr>
        <w:t xml:space="preserve">Lolium perenne </w:t>
      </w:r>
      <w:r w:rsidRPr="00BC2AA1">
        <w:rPr>
          <w:rFonts w:cs="Times New Roman"/>
        </w:rPr>
        <w:t xml:space="preserve">L.) with measurements of leaf length, </w:t>
      </w:r>
      <w:r w:rsidR="00B8390A">
        <w:rPr>
          <w:rFonts w:cs="Times New Roman"/>
        </w:rPr>
        <w:lastRenderedPageBreak/>
        <w:t>leaf width</w:t>
      </w:r>
      <w:r w:rsidRPr="00BC2AA1">
        <w:rPr>
          <w:rFonts w:cs="Times New Roman"/>
        </w:rPr>
        <w:t xml:space="preserve">, tiller number, and tiller weight </w:t>
      </w:r>
      <w:r w:rsidRPr="00BC2AA1">
        <w:rPr>
          <w:rFonts w:cs="Times New Roman"/>
        </w:rPr>
        <w:fldChar w:fldCharType="begin"/>
      </w:r>
      <w:r w:rsidR="00E20B7A">
        <w:rPr>
          <w:rFonts w:cs="Times New Roman"/>
        </w:rPr>
        <w:instrText xml:space="preserve"> ADDIN EN.CITE &lt;EndNote&gt;&lt;Cite&gt;&lt;Author&gt;Edwards&lt;/Author&gt;&lt;Year&gt;1963&lt;/Year&gt;&lt;RecNum&gt;240&lt;/RecNum&gt;&lt;DisplayText&gt;(Edwards and Cooper, 1963)&lt;/DisplayText&gt;&lt;record&gt;&lt;rec-number&gt;240&lt;/rec-number&gt;&lt;foreign-keys&gt;&lt;key app="EN" db-id="9zfxt259rawwvce0pfa5efeuatdw0pz5va5z" timestamp="1320084935"&gt;240&lt;/key&gt;&lt;/foreign-keys&gt;&lt;ref-type name="Journal Article"&gt;17&lt;/ref-type&gt;&lt;contributors&gt;&lt;authors&gt;&lt;author&gt;Edwards, K.J.R.&lt;/author&gt;&lt;author&gt;Cooper, J.P.&lt;/author&gt;&lt;/authors&gt;&lt;/contributors&gt;&lt;titles&gt;&lt;title&gt;&lt;style face="normal" font="default" size="100%"&gt;The genetic control of leaf development in &lt;/style&gt;&lt;style face="italic" font="default" size="100%"&gt;Lolium&lt;/style&gt;&lt;style face="normal" font="default" size="100%"&gt;. II. Response to selection&lt;/style&gt;&lt;/title&gt;&lt;secondary-title&gt;Heredity&lt;/secondary-title&gt;&lt;/titles&gt;&lt;periodical&gt;&lt;full-title&gt;Heredity&lt;/full-title&gt;&lt;/periodical&gt;&lt;pages&gt;307-317&lt;/pages&gt;&lt;volume&gt;18&lt;/volume&gt;&lt;dates&gt;&lt;year&gt;1963&lt;/year&gt;&lt;/dates&gt;&lt;urls&gt;&lt;/urls&gt;&lt;/record&gt;&lt;/Cite&gt;&lt;/EndNote&gt;</w:instrText>
      </w:r>
      <w:r w:rsidRPr="00BC2AA1">
        <w:rPr>
          <w:rFonts w:cs="Times New Roman"/>
        </w:rPr>
        <w:fldChar w:fldCharType="separate"/>
      </w:r>
      <w:r w:rsidRPr="00BC2AA1">
        <w:rPr>
          <w:rFonts w:cs="Times New Roman"/>
          <w:noProof/>
        </w:rPr>
        <w:t>(</w:t>
      </w:r>
      <w:hyperlink w:anchor="_ENREF_33" w:tooltip="Edwards, 1963 #240" w:history="1">
        <w:r w:rsidR="00FB5014" w:rsidRPr="00BC2AA1">
          <w:rPr>
            <w:rFonts w:cs="Times New Roman"/>
            <w:noProof/>
          </w:rPr>
          <w:t>Edwards and Cooper, 1963</w:t>
        </w:r>
      </w:hyperlink>
      <w:r w:rsidRPr="00BC2AA1">
        <w:rPr>
          <w:rFonts w:cs="Times New Roman"/>
          <w:noProof/>
        </w:rPr>
        <w:t>)</w:t>
      </w:r>
      <w:r w:rsidRPr="00BC2AA1">
        <w:rPr>
          <w:rFonts w:cs="Times New Roman"/>
        </w:rPr>
        <w:fldChar w:fldCharType="end"/>
      </w:r>
      <w:r w:rsidRPr="00BC2AA1">
        <w:rPr>
          <w:rFonts w:cs="Times New Roman"/>
        </w:rPr>
        <w:t xml:space="preserve"> and in tall fescue with selection for yield tiller</w:t>
      </w:r>
      <w:r w:rsidRPr="00BC2AA1">
        <w:rPr>
          <w:rFonts w:cs="Times New Roman"/>
          <w:vertAlign w:val="superscript"/>
        </w:rPr>
        <w:t>-1</w:t>
      </w:r>
      <w:r w:rsidRPr="00BC2AA1">
        <w:rPr>
          <w:rFonts w:cs="Times New Roman"/>
        </w:rPr>
        <w:t xml:space="preserve"> and leaf expansion rate </w:t>
      </w:r>
      <w:r w:rsidRPr="00BC2AA1">
        <w:rPr>
          <w:rFonts w:cs="Times New Roman"/>
        </w:rPr>
        <w:fldChar w:fldCharType="begin"/>
      </w:r>
      <w:r>
        <w:rPr>
          <w:rFonts w:cs="Times New Roman"/>
        </w:rPr>
        <w:instrText xml:space="preserve"> ADDIN EN.CITE &lt;EndNote&gt;&lt;Cite&gt;&lt;Author&gt;Jones&lt;/Author&gt;&lt;Year&gt;1979&lt;/Year&gt;&lt;RecNum&gt;241&lt;/RecNum&gt;&lt;DisplayText&gt;(Jones et al., 1979)&lt;/DisplayText&gt;&lt;record&gt;&lt;rec-number&gt;241&lt;/rec-number&gt;&lt;foreign-keys&gt;&lt;key app="EN" db-id="9zfxt259rawwvce0pfa5efeuatdw0pz5va5z" timestamp="1320084998"&gt;241&lt;/key&gt;&lt;/foreign-keys&gt;&lt;ref-type name="Journal Article"&gt;17&lt;/ref-type&gt;&lt;contributors&gt;&lt;authors&gt;&lt;author&gt;Jones, R.J.&lt;/author&gt;&lt;author&gt;Nelson, C.J.&lt;/author&gt;&lt;author&gt;Sleper, D.A.&lt;/author&gt;&lt;/authors&gt;&lt;/contributors&gt;&lt;titles&gt;&lt;title&gt;Seedling selection for morphological characters associated with yield of tall fescue&lt;/title&gt;&lt;secondary-title&gt;Crop Sci.&lt;/secondary-title&gt;&lt;/titles&gt;&lt;periodical&gt;&lt;full-title&gt;Crop Sci.&lt;/full-title&gt;&lt;/periodical&gt;&lt;pages&gt;631-634&lt;/pages&gt;&lt;volume&gt;19&lt;/volume&gt;&lt;dates&gt;&lt;year&gt;1979&lt;/year&gt;&lt;/dates&gt;&lt;urls&gt;&lt;/urls&gt;&lt;/record&gt;&lt;/Cite&gt;&lt;/EndNote&gt;</w:instrText>
      </w:r>
      <w:r w:rsidRPr="00BC2AA1">
        <w:rPr>
          <w:rFonts w:cs="Times New Roman"/>
        </w:rPr>
        <w:fldChar w:fldCharType="separate"/>
      </w:r>
      <w:r w:rsidRPr="00BC2AA1">
        <w:rPr>
          <w:rFonts w:cs="Times New Roman"/>
          <w:noProof/>
        </w:rPr>
        <w:t>(</w:t>
      </w:r>
      <w:hyperlink w:anchor="_ENREF_52" w:tooltip="Jones, 1979 #241" w:history="1">
        <w:r w:rsidR="00FB5014" w:rsidRPr="00BC2AA1">
          <w:rPr>
            <w:rFonts w:cs="Times New Roman"/>
            <w:noProof/>
          </w:rPr>
          <w:t>Jones et al., 1979</w:t>
        </w:r>
      </w:hyperlink>
      <w:r w:rsidRPr="00BC2AA1">
        <w:rPr>
          <w:rFonts w:cs="Times New Roman"/>
          <w:noProof/>
        </w:rPr>
        <w:t>)</w:t>
      </w:r>
      <w:r w:rsidRPr="00BC2AA1">
        <w:rPr>
          <w:rFonts w:cs="Times New Roman"/>
        </w:rPr>
        <w:fldChar w:fldCharType="end"/>
      </w:r>
      <w:r w:rsidRPr="00BC2AA1">
        <w:rPr>
          <w:rFonts w:cs="Times New Roman"/>
        </w:rPr>
        <w:t>.</w:t>
      </w:r>
    </w:p>
    <w:p w14:paraId="70E03672" w14:textId="77777777" w:rsidR="004C7D65" w:rsidRPr="00BC2AA1" w:rsidRDefault="004C7D65" w:rsidP="009B24A0">
      <w:pPr>
        <w:pStyle w:val="Heading2"/>
      </w:pPr>
      <w:bookmarkStart w:id="19" w:name="_Toc314748462"/>
      <w:bookmarkStart w:id="20" w:name="_Toc317593660"/>
      <w:bookmarkStart w:id="21" w:name="_Toc404069816"/>
      <w:r w:rsidRPr="00BC2AA1">
        <w:t>Planting Density</w:t>
      </w:r>
      <w:bookmarkEnd w:id="19"/>
      <w:bookmarkEnd w:id="20"/>
      <w:bookmarkEnd w:id="21"/>
      <w:r w:rsidRPr="00BC2AA1">
        <w:t xml:space="preserve"> </w:t>
      </w:r>
    </w:p>
    <w:p w14:paraId="649596C4" w14:textId="636A75C6" w:rsidR="004C7D65" w:rsidRPr="00BC2AA1" w:rsidRDefault="004C7D65" w:rsidP="00F95441">
      <w:pPr>
        <w:ind w:firstLine="720"/>
        <w:rPr>
          <w:rFonts w:cs="Times New Roman"/>
        </w:rPr>
      </w:pPr>
      <w:r w:rsidRPr="00BC2AA1">
        <w:rPr>
          <w:rFonts w:cs="Times New Roman"/>
        </w:rPr>
        <w:t xml:space="preserve">Most switchgrass evaluations are performed on plants grown in space planted nurseries; however, switchgrass is produced under sward conditions. This discrepancy in evaluation and selection planting conditions versus production planting conditions may lead to less effective or ineffective selection due to differences in plant performance under varying degrees of competition. In switchgrass, this has been observed in evaluations of heterosis, while in tall fescue grown for forage, this been observed in selections for yield and nutritional quality. When evaluating </w:t>
      </w:r>
      <w:r w:rsidR="00D71A47">
        <w:rPr>
          <w:rFonts w:cs="Times New Roman"/>
        </w:rPr>
        <w:t>‘</w:t>
      </w:r>
      <w:r w:rsidRPr="00BC2AA1">
        <w:rPr>
          <w:rFonts w:cs="Times New Roman"/>
        </w:rPr>
        <w:t>Kanlow</w:t>
      </w:r>
      <w:r w:rsidR="00D71A47">
        <w:rPr>
          <w:rFonts w:cs="Times New Roman"/>
        </w:rPr>
        <w:t>’</w:t>
      </w:r>
      <w:r w:rsidRPr="00BC2AA1">
        <w:rPr>
          <w:rFonts w:cs="Times New Roman"/>
        </w:rPr>
        <w:t xml:space="preserve"> (lowland) and </w:t>
      </w:r>
      <w:r w:rsidR="00D71A47">
        <w:rPr>
          <w:rFonts w:cs="Times New Roman"/>
        </w:rPr>
        <w:t>‘</w:t>
      </w:r>
      <w:r w:rsidRPr="00BC2AA1">
        <w:rPr>
          <w:rFonts w:cs="Times New Roman"/>
        </w:rPr>
        <w:t>Summer</w:t>
      </w:r>
      <w:r w:rsidR="00D71A47">
        <w:rPr>
          <w:rFonts w:cs="Times New Roman"/>
        </w:rPr>
        <w:t>’</w:t>
      </w:r>
      <w:r w:rsidRPr="00BC2AA1">
        <w:rPr>
          <w:rFonts w:cs="Times New Roman"/>
        </w:rPr>
        <w:t xml:space="preserve"> (upland), Vogel et al. </w:t>
      </w:r>
      <w:r w:rsidR="00301182" w:rsidRPr="00BC2AA1">
        <w:rPr>
          <w:rFonts w:cs="Times New Roman"/>
        </w:rPr>
        <w:fldChar w:fldCharType="begin"/>
      </w:r>
      <w:r w:rsidR="00382C84">
        <w:rPr>
          <w:rFonts w:cs="Times New Roman"/>
        </w:rPr>
        <w:instrText xml:space="preserve"> ADDIN EN.CITE &lt;EndNote&gt;&lt;Cite ExcludeAuth="1"&gt;&lt;Author&gt;Vogel&lt;/Author&gt;&lt;Year&gt;2008&lt;/Year&gt;&lt;RecNum&gt;258&lt;/RecNum&gt;&lt;DisplayText&gt;(2008)&lt;/DisplayText&gt;&lt;record&gt;&lt;rec-number&gt;258&lt;/rec-number&gt;&lt;foreign-keys&gt;&lt;key app="EN" db-id="9zfxt259rawwvce0pfa5efeuatdw0pz5va5z" timestamp="1323887732"&gt;258&lt;/key&gt;&lt;/foreign-keys&gt;&lt;ref-type name="Journal Article"&gt;17&lt;/ref-type&gt;&lt;contributors&gt;&lt;authors&gt;&lt;author&gt;Vogel, K.P.&lt;/author&gt;&lt;author&gt;Mitchell, R.B.&lt;/author&gt;&lt;/authors&gt;&lt;/contributors&gt;&lt;titles&gt;&lt;title&gt;Heterosis in switchgrass:  Biomass yield in swards&lt;/title&gt;&lt;secondary-title&gt;Crop Sci.&lt;/secondary-title&gt;&lt;/titles&gt;&lt;periodical&gt;&lt;full-title&gt;Crop Sci.&lt;/full-title&gt;&lt;/periodical&gt;&lt;pages&gt;2159-2164&lt;/pages&gt;&lt;volume&gt;48&lt;/volume&gt;&lt;section&gt;2159&lt;/section&gt;&lt;dates&gt;&lt;year&gt;2008&lt;/year&gt;&lt;/dates&gt;&lt;urls&gt;&lt;/urls&gt;&lt;/record&gt;&lt;/Cite&gt;&lt;/EndNote&gt;</w:instrText>
      </w:r>
      <w:r w:rsidR="00301182" w:rsidRPr="00BC2AA1">
        <w:rPr>
          <w:rFonts w:cs="Times New Roman"/>
        </w:rPr>
        <w:fldChar w:fldCharType="separate"/>
      </w:r>
      <w:r w:rsidRPr="00BC2AA1">
        <w:rPr>
          <w:rFonts w:cs="Times New Roman"/>
          <w:noProof/>
        </w:rPr>
        <w:t>(</w:t>
      </w:r>
      <w:hyperlink w:anchor="_ENREF_100" w:tooltip="Vogel, 2008 #258" w:history="1">
        <w:r w:rsidR="00FB5014" w:rsidRPr="00BC2AA1">
          <w:rPr>
            <w:rFonts w:cs="Times New Roman"/>
            <w:noProof/>
          </w:rPr>
          <w:t>2008</w:t>
        </w:r>
      </w:hyperlink>
      <w:r w:rsidRPr="00BC2AA1">
        <w:rPr>
          <w:rFonts w:cs="Times New Roman"/>
          <w:noProof/>
        </w:rPr>
        <w:t>)</w:t>
      </w:r>
      <w:r w:rsidR="00301182" w:rsidRPr="00BC2AA1">
        <w:rPr>
          <w:rFonts w:cs="Times New Roman"/>
        </w:rPr>
        <w:fldChar w:fldCharType="end"/>
      </w:r>
      <w:r w:rsidRPr="00BC2AA1">
        <w:rPr>
          <w:rFonts w:cs="Times New Roman"/>
        </w:rPr>
        <w:t xml:space="preserve"> found high parent heterosis for yield between these two groups when evaluating switchgrass planted in simulated sward conditions</w:t>
      </w:r>
      <w:r w:rsidR="00954DB7">
        <w:rPr>
          <w:rFonts w:cs="Times New Roman"/>
        </w:rPr>
        <w:t xml:space="preserve">. </w:t>
      </w:r>
      <w:r w:rsidRPr="00BC2AA1">
        <w:rPr>
          <w:rFonts w:cs="Times New Roman"/>
        </w:rPr>
        <w:t xml:space="preserve">However, high parent heterosis for yield was not observed between these two groups when evaluated in space-planted conditions </w:t>
      </w:r>
      <w:r w:rsidR="00301182" w:rsidRPr="00BC2AA1">
        <w:rPr>
          <w:rFonts w:cs="Times New Roman"/>
        </w:rPr>
        <w:fldChar w:fldCharType="begin"/>
      </w:r>
      <w:r w:rsidR="00382C84">
        <w:rPr>
          <w:rFonts w:cs="Times New Roman"/>
        </w:rPr>
        <w:instrText xml:space="preserve"> ADDIN EN.CITE &lt;EndNote&gt;&lt;Cite&gt;&lt;Author&gt;Martinez-Reyna&lt;/Author&gt;&lt;Year&gt;2008&lt;/Year&gt;&lt;RecNum&gt;259&lt;/RecNum&gt;&lt;DisplayText&gt;(Martinez-Reyna and Vogel, 2008)&lt;/DisplayText&gt;&lt;record&gt;&lt;rec-number&gt;259&lt;/rec-number&gt;&lt;foreign-keys&gt;&lt;key app="EN" db-id="9zfxt259rawwvce0pfa5efeuatdw0pz5va5z" timestamp="1323887732"&gt;259&lt;/key&gt;&lt;/foreign-keys&gt;&lt;ref-type name="Journal Article"&gt;17&lt;/ref-type&gt;&lt;contributors&gt;&lt;authors&gt;&lt;author&gt;Martinez-Reyna, J.M.&lt;/author&gt;&lt;author&gt;Vogel, K.P.&lt;/author&gt;&lt;/authors&gt;&lt;/contributors&gt;&lt;titles&gt;&lt;title&gt;Heterosis in switchgrass:  Spaced plants&lt;/title&gt;&lt;secondary-title&gt;Crop Sci.&lt;/secondary-title&gt;&lt;/titles&gt;&lt;periodical&gt;&lt;full-title&gt;Crop Sci.&lt;/full-title&gt;&lt;/periodical&gt;&lt;pages&gt;1312-1320&lt;/pages&gt;&lt;volume&gt;48&lt;/volume&gt;&lt;section&gt;1312&lt;/section&gt;&lt;dates&gt;&lt;year&gt;2008&lt;/year&gt;&lt;/dates&gt;&lt;urls&gt;&lt;/urls&gt;&lt;/record&gt;&lt;/Cite&gt;&lt;/EndNote&gt;</w:instrText>
      </w:r>
      <w:r w:rsidR="00301182" w:rsidRPr="00BC2AA1">
        <w:rPr>
          <w:rFonts w:cs="Times New Roman"/>
        </w:rPr>
        <w:fldChar w:fldCharType="separate"/>
      </w:r>
      <w:r w:rsidRPr="00BC2AA1">
        <w:rPr>
          <w:rFonts w:cs="Times New Roman"/>
          <w:noProof/>
        </w:rPr>
        <w:t>(</w:t>
      </w:r>
      <w:hyperlink w:anchor="_ENREF_68" w:tooltip="Martinez-Reyna, 2008 #259" w:history="1">
        <w:r w:rsidR="00FB5014" w:rsidRPr="00BC2AA1">
          <w:rPr>
            <w:rFonts w:cs="Times New Roman"/>
            <w:noProof/>
          </w:rPr>
          <w:t>Martinez-Reyna and Vogel, 2008</w:t>
        </w:r>
      </w:hyperlink>
      <w:r w:rsidRPr="00BC2AA1">
        <w:rPr>
          <w:rFonts w:cs="Times New Roman"/>
          <w:noProof/>
        </w:rPr>
        <w:t>)</w:t>
      </w:r>
      <w:r w:rsidR="00301182" w:rsidRPr="00BC2AA1">
        <w:rPr>
          <w:rFonts w:cs="Times New Roman"/>
        </w:rPr>
        <w:fldChar w:fldCharType="end"/>
      </w:r>
      <w:r w:rsidRPr="00BC2AA1">
        <w:rPr>
          <w:rFonts w:cs="Times New Roman"/>
        </w:rPr>
        <w:t>. In tall fescue, values of yield, crude protein, NDF, and IVDMD were significantly different between plants evaluated in sward versus space-planted conditions, with sward plants having higher yield but lower nutritional quality</w:t>
      </w:r>
      <w:r>
        <w:rPr>
          <w:rFonts w:cs="Times New Roman"/>
        </w:rPr>
        <w:t xml:space="preserve"> </w:t>
      </w:r>
      <w:r w:rsidR="00301182">
        <w:rPr>
          <w:rFonts w:cs="Times New Roman"/>
        </w:rPr>
        <w:fldChar w:fldCharType="begin"/>
      </w:r>
      <w:r>
        <w:rPr>
          <w:rFonts w:cs="Times New Roman"/>
        </w:rPr>
        <w:instrText xml:space="preserve"> ADDIN EN.CITE &lt;EndNote&gt;&lt;Cite&gt;&lt;Author&gt;Waldron&lt;/Author&gt;&lt;Year&gt;2008&lt;/Year&gt;&lt;RecNum&gt;313&lt;/RecNum&gt;&lt;DisplayText&gt;(Waldron, 2008)&lt;/DisplayText&gt;&lt;record&gt;&lt;rec-number&gt;313&lt;/rec-number&gt;&lt;foreign-keys&gt;&lt;key app="EN" db-id="0exw5xewdaszzqewzac5p9000ep0p9etvr0t"&gt;313&lt;/key&gt;&lt;/foreign-keys&gt;&lt;ref-type name="Journal Article"&gt;17&lt;/ref-type&gt;&lt;contributors&gt;&lt;authors&gt;&lt;author&gt;Waldron, B.L., Robins, J.G., Peel, M.D., Jensen, K.B.&lt;/author&gt;&lt;/authors&gt;&lt;/contributors&gt;&lt;titles&gt;&lt;title&gt;Predicted efficiency of spaced-plant selection to indireclty improve tall fescue sward yield and quality&lt;/title&gt;&lt;secondary-title&gt;Crop Sci. &lt;/secondary-title&gt;&lt;/titles&gt;&lt;periodical&gt;&lt;full-title&gt;Crop Sci.&lt;/full-title&gt;&lt;/periodical&gt;&lt;pages&gt;443-449&lt;/pages&gt;&lt;volume&gt;48&lt;/volume&gt;&lt;section&gt;443&lt;/section&gt;&lt;dates&gt;&lt;year&gt;2008&lt;/year&gt;&lt;/dates&gt;&lt;urls&gt;&lt;/urls&gt;&lt;/record&gt;&lt;/Cite&gt;&lt;/EndNote&gt;</w:instrText>
      </w:r>
      <w:r w:rsidR="00301182">
        <w:rPr>
          <w:rFonts w:cs="Times New Roman"/>
        </w:rPr>
        <w:fldChar w:fldCharType="separate"/>
      </w:r>
      <w:r>
        <w:rPr>
          <w:rFonts w:cs="Times New Roman"/>
          <w:noProof/>
        </w:rPr>
        <w:t>(</w:t>
      </w:r>
      <w:hyperlink w:anchor="_ENREF_102" w:tooltip="Waldron, 2008 #313" w:history="1">
        <w:r w:rsidR="00FB5014">
          <w:rPr>
            <w:rFonts w:cs="Times New Roman"/>
            <w:noProof/>
          </w:rPr>
          <w:t>Waldron, 2008</w:t>
        </w:r>
      </w:hyperlink>
      <w:r>
        <w:rPr>
          <w:rFonts w:cs="Times New Roman"/>
          <w:noProof/>
        </w:rPr>
        <w:t>)</w:t>
      </w:r>
      <w:r w:rsidR="00301182">
        <w:rPr>
          <w:rFonts w:cs="Times New Roman"/>
        </w:rPr>
        <w:fldChar w:fldCharType="end"/>
      </w:r>
      <w:r w:rsidRPr="00BC2AA1">
        <w:rPr>
          <w:rFonts w:cs="Times New Roman"/>
        </w:rPr>
        <w:t>. While heritability values were similar under both conditions, family ranks were inconsistent</w:t>
      </w:r>
      <w:r w:rsidR="00954DB7">
        <w:rPr>
          <w:rFonts w:cs="Times New Roman"/>
        </w:rPr>
        <w:t xml:space="preserve">. </w:t>
      </w:r>
      <w:r w:rsidRPr="00BC2AA1">
        <w:rPr>
          <w:rFonts w:cs="Times New Roman"/>
        </w:rPr>
        <w:t>Similar inconsistencies have been observed in other species including white clover (</w:t>
      </w:r>
      <w:r w:rsidRPr="00BC2AA1">
        <w:rPr>
          <w:rFonts w:cs="Times New Roman"/>
          <w:i/>
        </w:rPr>
        <w:t xml:space="preserve">Trifolium repens </w:t>
      </w:r>
      <w:r w:rsidRPr="00BC2AA1">
        <w:rPr>
          <w:rFonts w:cs="Times New Roman"/>
        </w:rPr>
        <w:t>L.)</w:t>
      </w:r>
      <w:r w:rsidR="0092781B">
        <w:rPr>
          <w:rFonts w:cs="Times New Roman"/>
        </w:rPr>
        <w:t xml:space="preserve"> </w:t>
      </w:r>
      <w:r w:rsidR="00301182" w:rsidRPr="00BC2AA1">
        <w:rPr>
          <w:rFonts w:cs="Times New Roman"/>
        </w:rPr>
        <w:fldChar w:fldCharType="begin"/>
      </w:r>
      <w:r w:rsidR="00382C84">
        <w:rPr>
          <w:rFonts w:cs="Times New Roman"/>
        </w:rPr>
        <w:instrText xml:space="preserve"> ADDIN EN.CITE &lt;EndNote&gt;&lt;Cite&gt;&lt;Author&gt;Atwood&lt;/Author&gt;&lt;Year&gt;1942&lt;/Year&gt;&lt;RecNum&gt;219&lt;/RecNum&gt;&lt;DisplayText&gt;(Atwood and Garber, 1942)&lt;/DisplayText&gt;&lt;record&gt;&lt;rec-number&gt;219&lt;/rec-number&gt;&lt;foreign-keys&gt;&lt;key app="EN" db-id="9zfxt259rawwvce0pfa5efeuatdw0pz5va5z" timestamp="1319833402"&gt;219&lt;/key&gt;&lt;/foreign-keys&gt;&lt;ref-type name="Journal Article"&gt;17&lt;/ref-type&gt;&lt;contributors&gt;&lt;authors&gt;&lt;author&gt;Atwood, S.S.&lt;/author&gt;&lt;author&gt;Garber, R.J.&lt;/author&gt;&lt;/authors&gt;&lt;/contributors&gt;&lt;titles&gt;&lt;title&gt;The evaluation of individual plants of white clover for yielding ability in association with bluegrass&lt;/title&gt;&lt;secondary-title&gt;Agron. J. &lt;/secondary-title&gt;&lt;/titles&gt;&lt;periodical&gt;&lt;full-title&gt;Agron. J.&lt;/full-title&gt;&lt;/periodical&gt;&lt;pages&gt;1-6&lt;/pages&gt;&lt;volume&gt;34&lt;/volume&gt;&lt;section&gt;1&lt;/section&gt;&lt;dates&gt;&lt;year&gt;1942&lt;/year&gt;&lt;/dates&gt;&lt;urls&gt;&lt;/urls&gt;&lt;/record&gt;&lt;/Cite&gt;&lt;/EndNote&gt;</w:instrText>
      </w:r>
      <w:r w:rsidR="00301182" w:rsidRPr="00BC2AA1">
        <w:rPr>
          <w:rFonts w:cs="Times New Roman"/>
        </w:rPr>
        <w:fldChar w:fldCharType="separate"/>
      </w:r>
      <w:r w:rsidRPr="00BC2AA1">
        <w:rPr>
          <w:rFonts w:cs="Times New Roman"/>
          <w:noProof/>
        </w:rPr>
        <w:t>(</w:t>
      </w:r>
      <w:hyperlink w:anchor="_ENREF_8" w:tooltip="Atwood, 1942 #219" w:history="1">
        <w:r w:rsidR="00FB5014" w:rsidRPr="00BC2AA1">
          <w:rPr>
            <w:rFonts w:cs="Times New Roman"/>
            <w:noProof/>
          </w:rPr>
          <w:t>Atwood and Garber, 1942</w:t>
        </w:r>
      </w:hyperlink>
      <w:r w:rsidRPr="00BC2AA1">
        <w:rPr>
          <w:rFonts w:cs="Times New Roman"/>
          <w:noProof/>
        </w:rPr>
        <w:t>)</w:t>
      </w:r>
      <w:r w:rsidR="00301182" w:rsidRPr="00BC2AA1">
        <w:rPr>
          <w:rFonts w:cs="Times New Roman"/>
        </w:rPr>
        <w:fldChar w:fldCharType="end"/>
      </w:r>
      <w:r w:rsidRPr="00BC2AA1">
        <w:rPr>
          <w:rFonts w:cs="Times New Roman"/>
        </w:rPr>
        <w:t>, Kentucky bluegrass (</w:t>
      </w:r>
      <w:r w:rsidRPr="00BC2AA1">
        <w:rPr>
          <w:rFonts w:cs="Times New Roman"/>
          <w:i/>
        </w:rPr>
        <w:t xml:space="preserve">Poa pratensis </w:t>
      </w:r>
      <w:r w:rsidRPr="00BC2AA1">
        <w:rPr>
          <w:rFonts w:cs="Times New Roman"/>
        </w:rPr>
        <w:t xml:space="preserve">L.) </w:t>
      </w:r>
      <w:r w:rsidR="00301182" w:rsidRPr="00BC2AA1">
        <w:rPr>
          <w:rFonts w:cs="Times New Roman"/>
        </w:rPr>
        <w:fldChar w:fldCharType="begin"/>
      </w:r>
      <w:r w:rsidR="00B7572A">
        <w:rPr>
          <w:rFonts w:cs="Times New Roman"/>
        </w:rPr>
        <w:instrText xml:space="preserve"> ADDIN EN.CITE &lt;EndNote&gt;&lt;Cite&gt;&lt;Author&gt;Ahlgren&lt;/Author&gt;&lt;Year&gt;1945&lt;/Year&gt;&lt;RecNum&gt;220&lt;/RecNum&gt;&lt;DisplayText&gt;(Ahlgren et al., 1945; Kramer, 1947)&lt;/DisplayText&gt;&lt;record&gt;&lt;rec-number&gt;220&lt;/rec-number&gt;&lt;foreign-keys&gt;&lt;key app="EN" db-id="9zfxt259rawwvce0pfa5efeuatdw0pz5va5z" timestamp="1319833541"&gt;220&lt;/key&gt;&lt;/foreign-keys&gt;&lt;ref-type name="Journal Article"&gt;17&lt;/ref-type&gt;&lt;contributors&gt;&lt;authors&gt;&lt;author&gt;Ahlgren, H.L.&lt;/author&gt;&lt;author&gt;Smith, D.C.&lt;/author&gt;&lt;author&gt;Nielsen, E.L.&lt;/author&gt;&lt;/authors&gt;&lt;/contributors&gt;&lt;titles&gt;&lt;title&gt;&lt;style face="normal" font="default" size="100%"&gt;Behavior of various selections of Kentucky bluegrass, &lt;/style&gt;&lt;style face="italic" font="default" size="100%"&gt;Poa pratensis&lt;/style&gt;&lt;style face="normal" font="default" size="100%"&gt; L. when grown as spaced plants and in mass seedings.&lt;/style&gt;&lt;/title&gt;&lt;secondary-title&gt;Agron. J.&lt;/secondary-title&gt;&lt;/titles&gt;&lt;periodical&gt;&lt;full-title&gt;Agron. J.&lt;/full-title&gt;&lt;/periodical&gt;&lt;pages&gt;268-281&lt;/pages&gt;&lt;volume&gt;37&lt;/volume&gt;&lt;section&gt;268&lt;/section&gt;&lt;dates&gt;&lt;year&gt;1945&lt;/year&gt;&lt;/dates&gt;&lt;urls&gt;&lt;/urls&gt;&lt;/record&gt;&lt;/Cite&gt;&lt;Cite&gt;&lt;Author&gt;Kramer&lt;/Author&gt;&lt;Year&gt;1947&lt;/Year&gt;&lt;RecNum&gt;221&lt;/RecNum&gt;&lt;record&gt;&lt;rec-number&gt;221&lt;/rec-number&gt;&lt;foreign-keys&gt;&lt;key app="EN" db-id="9zfxt259rawwvce0pfa5efeuatdw0pz5va5z" timestamp="1319833600"&gt;221&lt;/key&gt;&lt;/foreign-keys&gt;&lt;ref-type name="Journal Article"&gt;17&lt;/ref-type&gt;&lt;contributors&gt;&lt;authors&gt;&lt;author&gt;Kramer, H.&lt;/author&gt;&lt;/authors&gt;&lt;/contributors&gt;&lt;titles&gt;&lt;title&gt;&lt;style face="normal" font="default" size="100%"&gt;Morphological and agronomic variation in &lt;/style&gt;&lt;style face="italic" font="default" size="100%"&gt;Poa pratensis&lt;/style&gt;&lt;style face="normal" font="default" size="100%"&gt; L. relative to chromosome numbers&lt;/style&gt;&lt;/title&gt;&lt;secondary-title&gt;Agron. J. &lt;/secondary-title&gt;&lt;/titles&gt;&lt;periodical&gt;&lt;full-title&gt;Agron. J.&lt;/full-title&gt;&lt;/periodical&gt;&lt;pages&gt;181-191&lt;/pages&gt;&lt;volume&gt;39&lt;/volume&gt;&lt;dates&gt;&lt;year&gt;1947&lt;/year&gt;&lt;/dates&gt;&lt;urls&gt;&lt;/urls&gt;&lt;/record&gt;&lt;/Cite&gt;&lt;/EndNote&gt;</w:instrText>
      </w:r>
      <w:r w:rsidR="00301182" w:rsidRPr="00BC2AA1">
        <w:rPr>
          <w:rFonts w:cs="Times New Roman"/>
        </w:rPr>
        <w:fldChar w:fldCharType="separate"/>
      </w:r>
      <w:r w:rsidR="00B7572A">
        <w:rPr>
          <w:rFonts w:cs="Times New Roman"/>
          <w:noProof/>
        </w:rPr>
        <w:t>(</w:t>
      </w:r>
      <w:hyperlink w:anchor="_ENREF_2" w:tooltip="Ahlgren, 1945 #220" w:history="1">
        <w:r w:rsidR="00FB5014">
          <w:rPr>
            <w:rFonts w:cs="Times New Roman"/>
            <w:noProof/>
          </w:rPr>
          <w:t>Ahlgren et al., 1945</w:t>
        </w:r>
      </w:hyperlink>
      <w:r w:rsidR="00B7572A">
        <w:rPr>
          <w:rFonts w:cs="Times New Roman"/>
          <w:noProof/>
        </w:rPr>
        <w:t xml:space="preserve">; </w:t>
      </w:r>
      <w:hyperlink w:anchor="_ENREF_57" w:tooltip="Kramer, 1947 #221" w:history="1">
        <w:r w:rsidR="00FB5014">
          <w:rPr>
            <w:rFonts w:cs="Times New Roman"/>
            <w:noProof/>
          </w:rPr>
          <w:t>Kramer, 1947</w:t>
        </w:r>
      </w:hyperlink>
      <w:r w:rsidR="00B7572A">
        <w:rPr>
          <w:rFonts w:cs="Times New Roman"/>
          <w:noProof/>
        </w:rPr>
        <w:t>)</w:t>
      </w:r>
      <w:r w:rsidR="00301182" w:rsidRPr="00BC2AA1">
        <w:rPr>
          <w:rFonts w:cs="Times New Roman"/>
        </w:rPr>
        <w:fldChar w:fldCharType="end"/>
      </w:r>
      <w:r w:rsidRPr="00BC2AA1">
        <w:rPr>
          <w:rFonts w:cs="Times New Roman"/>
        </w:rPr>
        <w:t xml:space="preserve">, orchardgrass </w:t>
      </w:r>
      <w:r w:rsidR="00301182" w:rsidRPr="00BC2AA1">
        <w:rPr>
          <w:rFonts w:cs="Times New Roman"/>
        </w:rPr>
        <w:fldChar w:fldCharType="begin"/>
      </w:r>
      <w:r w:rsidR="00B7572A">
        <w:rPr>
          <w:rFonts w:cs="Times New Roman"/>
        </w:rPr>
        <w:instrText xml:space="preserve"> ADDIN EN.CITE &lt;EndNote&gt;&lt;Cite&gt;&lt;Author&gt;Knight&lt;/Author&gt;&lt;Year&gt;1960&lt;/Year&gt;&lt;RecNum&gt;222&lt;/RecNum&gt;&lt;DisplayText&gt;(Knight, 1960; Oldemeyer and Hanson, 1955)&lt;/DisplayText&gt;&lt;record&gt;&lt;rec-number&gt;222&lt;/rec-number&gt;&lt;foreign-keys&gt;&lt;key app="EN" db-id="9zfxt259rawwvce0pfa5efeuatdw0pz5va5z" timestamp="1319833718"&gt;222&lt;/key&gt;&lt;/foreign-keys&gt;&lt;ref-type name="Journal Article"&gt;17&lt;/ref-type&gt;&lt;contributors&gt;&lt;authors&gt;&lt;author&gt;Knight, R. &lt;/author&gt;&lt;/authors&gt;&lt;/contributors&gt;&lt;titles&gt;&lt;title&gt;&lt;style face="normal" font="default" size="100%"&gt;The growth of cocksfoot (&lt;/style&gt;&lt;style face="italic" font="default" size="100%"&gt;Dactylis glomerata &lt;/style&gt;&lt;style face="normal" font="default" size="100%"&gt;L.) under spaced plant and sward conditions&lt;/style&gt;&lt;/title&gt;&lt;secondary-title&gt;Aust. J. Agric. Res. &lt;/secondary-title&gt;&lt;/titles&gt;&lt;periodical&gt;&lt;full-title&gt;Aust. J. Agric. Res.&lt;/full-title&gt;&lt;/periodical&gt;&lt;pages&gt;457-472&lt;/pages&gt;&lt;volume&gt;11&lt;/volume&gt;&lt;dates&gt;&lt;year&gt;1960&lt;/year&gt;&lt;/dates&gt;&lt;urls&gt;&lt;/urls&gt;&lt;/record&gt;&lt;/Cite&gt;&lt;Cite&gt;&lt;Author&gt;Oldemeyer&lt;/Author&gt;&lt;Year&gt;1955&lt;/Year&gt;&lt;RecNum&gt;223&lt;/RecNum&gt;&lt;record&gt;&lt;rec-number&gt;223&lt;/rec-number&gt;&lt;foreign-keys&gt;&lt;key app="EN" db-id="9zfxt259rawwvce0pfa5efeuatdw0pz5va5z" timestamp="1319833787"&gt;223&lt;/key&gt;&lt;/foreign-keys&gt;&lt;ref-type name="Journal Article"&gt;17&lt;/ref-type&gt;&lt;contributors&gt;&lt;authors&gt;&lt;author&gt;Oldemeyer, D.L.&lt;/author&gt;&lt;author&gt;Hanson, A.A.&lt;/author&gt;&lt;/authors&gt;&lt;/contributors&gt;&lt;titles&gt;&lt;title&gt;&lt;style face="normal" font="default" size="100%"&gt;Evaluation of combining ability in orchardgrass &lt;/style&gt;&lt;style face="italic" font="default" size="100%"&gt;Dactylis glomerata &lt;/style&gt;&lt;style face="normal" font="default" size="100%"&gt;L. &lt;/style&gt;&lt;/title&gt;&lt;secondary-title&gt;Agron. J.&lt;/secondary-title&gt;&lt;/titles&gt;&lt;periodical&gt;&lt;full-title&gt;Agron. J.&lt;/full-title&gt;&lt;/periodical&gt;&lt;pages&gt;158-162&lt;/pages&gt;&lt;volume&gt;47&lt;/volume&gt;&lt;dates&gt;&lt;year&gt;1955&lt;/year&gt;&lt;/dates&gt;&lt;urls&gt;&lt;/urls&gt;&lt;/record&gt;&lt;/Cite&gt;&lt;/EndNote&gt;</w:instrText>
      </w:r>
      <w:r w:rsidR="00301182" w:rsidRPr="00BC2AA1">
        <w:rPr>
          <w:rFonts w:cs="Times New Roman"/>
        </w:rPr>
        <w:fldChar w:fldCharType="separate"/>
      </w:r>
      <w:r w:rsidR="00B7572A">
        <w:rPr>
          <w:rFonts w:cs="Times New Roman"/>
          <w:noProof/>
        </w:rPr>
        <w:t>(</w:t>
      </w:r>
      <w:hyperlink w:anchor="_ENREF_56" w:tooltip="Knight, 1960 #222" w:history="1">
        <w:r w:rsidR="00FB5014">
          <w:rPr>
            <w:rFonts w:cs="Times New Roman"/>
            <w:noProof/>
          </w:rPr>
          <w:t>Knight, 1960</w:t>
        </w:r>
      </w:hyperlink>
      <w:r w:rsidR="00B7572A">
        <w:rPr>
          <w:rFonts w:cs="Times New Roman"/>
          <w:noProof/>
        </w:rPr>
        <w:t xml:space="preserve">; </w:t>
      </w:r>
      <w:hyperlink w:anchor="_ENREF_77" w:tooltip="Oldemeyer, 1955 #223" w:history="1">
        <w:r w:rsidR="00FB5014">
          <w:rPr>
            <w:rFonts w:cs="Times New Roman"/>
            <w:noProof/>
          </w:rPr>
          <w:t>Oldemeyer and Hanson, 1955</w:t>
        </w:r>
      </w:hyperlink>
      <w:r w:rsidR="00B7572A">
        <w:rPr>
          <w:rFonts w:cs="Times New Roman"/>
          <w:noProof/>
        </w:rPr>
        <w:t>)</w:t>
      </w:r>
      <w:r w:rsidR="00301182" w:rsidRPr="00BC2AA1">
        <w:rPr>
          <w:rFonts w:cs="Times New Roman"/>
        </w:rPr>
        <w:fldChar w:fldCharType="end"/>
      </w:r>
      <w:r w:rsidRPr="00BC2AA1">
        <w:rPr>
          <w:rFonts w:cs="Times New Roman"/>
        </w:rPr>
        <w:t xml:space="preserve">, perennial ryegrass </w:t>
      </w:r>
      <w:r w:rsidR="00301182" w:rsidRPr="00BC2AA1">
        <w:rPr>
          <w:rFonts w:cs="Times New Roman"/>
        </w:rPr>
        <w:fldChar w:fldCharType="begin">
          <w:fldData xml:space="preserve">PEVuZE5vdGU+PENpdGU+PEF1dGhvcj5IYXl3YXJkPC9BdXRob3I+PFllYXI+MTk4NDwvWWVhcj48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</w:fldData>
        </w:fldChar>
      </w:r>
      <w:r w:rsidR="00B7572A">
        <w:rPr>
          <w:rFonts w:cs="Times New Roman"/>
        </w:rPr>
        <w:instrText xml:space="preserve"> ADDIN EN.CITE </w:instrText>
      </w:r>
      <w:r w:rsidR="00B7572A">
        <w:rPr>
          <w:rFonts w:cs="Times New Roman"/>
        </w:rPr>
        <w:fldChar w:fldCharType="begin">
          <w:fldData xml:space="preserve">PEVuZE5vdGU+PENpdGU+PEF1dGhvcj5IYXl3YXJkPC9BdXRob3I+PFllYXI+MTk4NDwvWWVhcj48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</w:fldData>
        </w:fldChar>
      </w:r>
      <w:r w:rsidR="00B7572A">
        <w:rPr>
          <w:rFonts w:cs="Times New Roman"/>
        </w:rPr>
        <w:instrText xml:space="preserve"> ADDIN EN.CITE.DATA </w:instrText>
      </w:r>
      <w:r w:rsidR="00B7572A">
        <w:rPr>
          <w:rFonts w:cs="Times New Roman"/>
        </w:rPr>
      </w:r>
      <w:r w:rsidR="00B7572A">
        <w:rPr>
          <w:rFonts w:cs="Times New Roman"/>
        </w:rPr>
        <w:fldChar w:fldCharType="end"/>
      </w:r>
      <w:r w:rsidR="00301182" w:rsidRPr="00BC2AA1">
        <w:rPr>
          <w:rFonts w:cs="Times New Roman"/>
        </w:rPr>
      </w:r>
      <w:r w:rsidR="00301182" w:rsidRPr="00BC2AA1">
        <w:rPr>
          <w:rFonts w:cs="Times New Roman"/>
        </w:rPr>
        <w:fldChar w:fldCharType="separate"/>
      </w:r>
      <w:r w:rsidR="00B7572A">
        <w:rPr>
          <w:rFonts w:cs="Times New Roman"/>
          <w:noProof/>
        </w:rPr>
        <w:t>(</w:t>
      </w:r>
      <w:hyperlink w:anchor="_ENREF_46" w:tooltip="Hayward, 1984 #224" w:history="1">
        <w:r w:rsidR="00FB5014">
          <w:rPr>
            <w:rFonts w:cs="Times New Roman"/>
            <w:noProof/>
          </w:rPr>
          <w:t>Hayward and Vivero, 1984</w:t>
        </w:r>
      </w:hyperlink>
      <w:r w:rsidR="00B7572A">
        <w:rPr>
          <w:rFonts w:cs="Times New Roman"/>
          <w:noProof/>
        </w:rPr>
        <w:t xml:space="preserve">; </w:t>
      </w:r>
      <w:hyperlink w:anchor="_ENREF_60" w:tooltip="Lazenby, 1964 #226" w:history="1">
        <w:r w:rsidR="00FB5014">
          <w:rPr>
            <w:rFonts w:cs="Times New Roman"/>
            <w:noProof/>
          </w:rPr>
          <w:t>Lazenby and Rogers, 1964</w:t>
        </w:r>
      </w:hyperlink>
      <w:r w:rsidR="00B7572A">
        <w:rPr>
          <w:rFonts w:cs="Times New Roman"/>
          <w:noProof/>
        </w:rPr>
        <w:t xml:space="preserve">; </w:t>
      </w:r>
      <w:hyperlink w:anchor="_ENREF_61" w:tooltip="Lazenby, 1965 #225" w:history="1">
        <w:r w:rsidR="00FB5014">
          <w:rPr>
            <w:rFonts w:cs="Times New Roman"/>
            <w:noProof/>
          </w:rPr>
          <w:t>Lazenby and Rogers, 1965</w:t>
        </w:r>
      </w:hyperlink>
      <w:r w:rsidR="00B7572A">
        <w:rPr>
          <w:rFonts w:cs="Times New Roman"/>
          <w:noProof/>
        </w:rPr>
        <w:t xml:space="preserve">; </w:t>
      </w:r>
      <w:hyperlink w:anchor="_ENREF_84" w:tooltip="Samuel, 1970 #227" w:history="1">
        <w:r w:rsidR="00FB5014">
          <w:rPr>
            <w:rFonts w:cs="Times New Roman"/>
            <w:noProof/>
          </w:rPr>
          <w:t>Samuel et al., 1970</w:t>
        </w:r>
      </w:hyperlink>
      <w:r w:rsidR="00B7572A">
        <w:rPr>
          <w:rFonts w:cs="Times New Roman"/>
          <w:noProof/>
        </w:rPr>
        <w:t>)</w:t>
      </w:r>
      <w:r w:rsidR="00301182" w:rsidRPr="00BC2AA1">
        <w:rPr>
          <w:rFonts w:cs="Times New Roman"/>
        </w:rPr>
        <w:fldChar w:fldCharType="end"/>
      </w:r>
      <w:r w:rsidR="00A370D1">
        <w:rPr>
          <w:rFonts w:cs="Times New Roman"/>
        </w:rPr>
        <w:t>,</w:t>
      </w:r>
      <w:r w:rsidRPr="00BC2AA1">
        <w:rPr>
          <w:rFonts w:cs="Times New Roman"/>
        </w:rPr>
        <w:t xml:space="preserve"> timothy (</w:t>
      </w:r>
      <w:r w:rsidRPr="00BC2AA1">
        <w:rPr>
          <w:rFonts w:cs="Times New Roman"/>
          <w:i/>
        </w:rPr>
        <w:t xml:space="preserve">Phleum pratense </w:t>
      </w:r>
      <w:r w:rsidRPr="00BC2AA1">
        <w:rPr>
          <w:rFonts w:cs="Times New Roman"/>
        </w:rPr>
        <w:t>L.)</w:t>
      </w:r>
      <w:r w:rsidR="00301182" w:rsidRPr="00BC2AA1">
        <w:rPr>
          <w:rFonts w:cs="Times New Roman"/>
        </w:rPr>
        <w:fldChar w:fldCharType="begin"/>
      </w:r>
      <w:r w:rsidR="00382C84">
        <w:rPr>
          <w:rFonts w:cs="Times New Roman"/>
        </w:rPr>
        <w:instrText xml:space="preserve"> ADDIN EN.CITE &lt;EndNote&gt;&lt;Cite&gt;&lt;Author&gt;Nissen&lt;/Author&gt;&lt;Year&gt;1960&lt;/Year&gt;&lt;RecNum&gt;228&lt;/RecNum&gt;&lt;DisplayText&gt;(Nissen, 1960)&lt;/DisplayText&gt;&lt;record&gt;&lt;rec-number&gt;228&lt;/rec-number&gt;&lt;foreign-keys&gt;&lt;key app="EN" db-id="9zfxt259rawwvce0pfa5efeuatdw0pz5va5z" timestamp="1319834523"&gt;228&lt;/key&gt;&lt;/foreign-keys&gt;&lt;ref-type name="Conference Proceedings"&gt;10&lt;/ref-type&gt;&lt;contributors&gt;&lt;authors&gt;&lt;author&gt;Nissen, O.&lt;/author&gt;&lt;/authors&gt;&lt;/contributors&gt;&lt;titles&gt;&lt;title&gt;Testing hay varieties of grasses as spaced plants, in a pure stand or in a mixture with a legume&lt;/title&gt;&lt;secondary-title&gt;Proc. Int. Grassl. Congr., 8th &lt;/secondary-title&gt;&lt;/titles&gt;&lt;pages&gt;310-313&lt;/pages&gt;&lt;dates&gt;&lt;year&gt;1960&lt;/year&gt;&lt;/dates&gt;&lt;pub-location&gt;Reading, UK&lt;/pub-location&gt;&lt;publisher&gt;Alden Press, Oxford, UK&lt;/publisher&gt;&lt;urls&gt;&lt;/urls&gt;&lt;/record&gt;&lt;/Cite&gt;&lt;/EndNote&gt;</w:instrText>
      </w:r>
      <w:r w:rsidR="00301182" w:rsidRPr="00BC2AA1">
        <w:rPr>
          <w:rFonts w:cs="Times New Roman"/>
        </w:rPr>
        <w:fldChar w:fldCharType="separate"/>
      </w:r>
      <w:r w:rsidRPr="00BC2AA1">
        <w:rPr>
          <w:rFonts w:cs="Times New Roman"/>
          <w:noProof/>
        </w:rPr>
        <w:t>(</w:t>
      </w:r>
      <w:hyperlink w:anchor="_ENREF_76" w:tooltip="Nissen, 1960 #228" w:history="1">
        <w:r w:rsidR="00FB5014" w:rsidRPr="00BC2AA1">
          <w:rPr>
            <w:rFonts w:cs="Times New Roman"/>
            <w:noProof/>
          </w:rPr>
          <w:t>Nissen, 1960</w:t>
        </w:r>
      </w:hyperlink>
      <w:r w:rsidRPr="00BC2AA1">
        <w:rPr>
          <w:rFonts w:cs="Times New Roman"/>
          <w:noProof/>
        </w:rPr>
        <w:t>)</w:t>
      </w:r>
      <w:r w:rsidR="00301182" w:rsidRPr="00BC2AA1">
        <w:rPr>
          <w:rFonts w:cs="Times New Roman"/>
        </w:rPr>
        <w:fldChar w:fldCharType="end"/>
      </w:r>
      <w:r w:rsidR="00A370D1">
        <w:rPr>
          <w:rFonts w:cs="Times New Roman"/>
        </w:rPr>
        <w:t xml:space="preserve">, </w:t>
      </w:r>
      <w:r w:rsidRPr="00BC2AA1">
        <w:rPr>
          <w:rFonts w:cs="Times New Roman"/>
        </w:rPr>
        <w:t>smooth bromegrass (</w:t>
      </w:r>
      <w:r w:rsidRPr="00BC2AA1">
        <w:rPr>
          <w:rFonts w:cs="Times New Roman"/>
          <w:i/>
        </w:rPr>
        <w:t>Bromus inermis</w:t>
      </w:r>
      <w:r w:rsidRPr="00BC2AA1">
        <w:rPr>
          <w:rFonts w:cs="Times New Roman"/>
        </w:rPr>
        <w:t xml:space="preserve"> Leyss.) </w:t>
      </w:r>
      <w:r w:rsidR="00301182" w:rsidRPr="00BC2AA1">
        <w:rPr>
          <w:rFonts w:cs="Times New Roman"/>
        </w:rPr>
        <w:fldChar w:fldCharType="begin"/>
      </w:r>
      <w:r w:rsidR="00B7572A">
        <w:rPr>
          <w:rFonts w:cs="Times New Roman"/>
        </w:rPr>
        <w:instrText xml:space="preserve"> ADDIN EN.CITE &lt;EndNote&gt;&lt;Cite&gt;&lt;Author&gt;Carpenter&lt;/Author&gt;&lt;Year&gt;1990&lt;/Year&gt;&lt;RecNum&gt;229&lt;/RecNum&gt;&lt;DisplayText&gt;(Carpenter and Casler, 1990; Grissom and Kalton, 1956)&lt;/DisplayText&gt;&lt;record&gt;&lt;rec-number&gt;229&lt;/rec-number&gt;&lt;foreign-keys&gt;&lt;key app="EN" db-id="9zfxt259rawwvce0pfa5efeuatdw0pz5va5z" timestamp="1319834577"&gt;229&lt;/key&gt;&lt;/foreign-keys&gt;&lt;ref-type name="Journal Article"&gt;17&lt;/ref-type&gt;&lt;contributors&gt;&lt;authors&gt;&lt;author&gt;Carpenter, J.A.&lt;/author&gt;&lt;author&gt;Casler, MD.&lt;/author&gt;&lt;/authors&gt;&lt;/contributors&gt;&lt;titles&gt;&lt;title&gt;Divergent phenotypic selection response in smooth bromegrass for forage yield and nutritive value&lt;/title&gt;&lt;secondary-title&gt;Crop Sci.&lt;/secondary-title&gt;&lt;/titles&gt;&lt;periodical&gt;&lt;full-title&gt;Crop Sci.&lt;/full-title&gt;&lt;/periodical&gt;&lt;pages&gt;17-22&lt;/pages&gt;&lt;volume&gt;30&lt;/volume&gt;&lt;dates&gt;&lt;year&gt;1990&lt;/year&gt;&lt;/dates&gt;&lt;urls&gt;&lt;/urls&gt;&lt;/record&gt;&lt;/Cite&gt;&lt;Cite&gt;&lt;Author&gt;Grissom&lt;/Author&gt;&lt;Year&gt;1956&lt;/Year&gt;&lt;RecNum&gt;230&lt;/RecNum&gt;&lt;record&gt;&lt;rec-number&gt;230&lt;/rec-number&gt;&lt;foreign-keys&gt;&lt;key app="EN" db-id="9zfxt259rawwvce0pfa5efeuatdw0pz5va5z" timestamp="1319834637"&gt;230&lt;/key&gt;&lt;/foreign-keys&gt;&lt;ref-type name="Journal Article"&gt;17&lt;/ref-type&gt;&lt;contributors&gt;&lt;authors&gt;&lt;author&gt;Grissom, D.B.&lt;/author&gt;&lt;author&gt;Kalton, R.R.&lt;/author&gt;&lt;/authors&gt;&lt;/contributors&gt;&lt;titles&gt;&lt;title&gt;&lt;style face="normal" font="default" size="100%"&gt;Inheritance of combining ability for forage traits in bromegrass (&lt;/style&gt;&lt;style face="italic" font="default" size="100%"&gt;Bromus inermis&lt;/style&gt;&lt;style face="normal" font="default" size="100%"&gt; Leyss)&lt;/style&gt;&lt;/title&gt;&lt;secondary-title&gt;Agron. J.&lt;/secondary-title&gt;&lt;/titles&gt;&lt;periodical&gt;&lt;full-title&gt;Agron. J.&lt;/full-title&gt;&lt;/periodical&gt;&lt;pages&gt;289-293&lt;/pages&gt;&lt;volume&gt;48&lt;/volume&gt;&lt;dates&gt;&lt;year&gt;1956&lt;/year&gt;&lt;/dates&gt;&lt;urls&gt;&lt;/urls&gt;&lt;/record&gt;&lt;/Cite&gt;&lt;/EndNote&gt;</w:instrText>
      </w:r>
      <w:r w:rsidR="00301182" w:rsidRPr="00BC2AA1">
        <w:rPr>
          <w:rFonts w:cs="Times New Roman"/>
        </w:rPr>
        <w:fldChar w:fldCharType="separate"/>
      </w:r>
      <w:r w:rsidR="00B7572A">
        <w:rPr>
          <w:rFonts w:cs="Times New Roman"/>
          <w:noProof/>
        </w:rPr>
        <w:t>(</w:t>
      </w:r>
      <w:hyperlink w:anchor="_ENREF_18" w:tooltip="Carpenter, 1990 #229" w:history="1">
        <w:r w:rsidR="00FB5014">
          <w:rPr>
            <w:rFonts w:cs="Times New Roman"/>
            <w:noProof/>
          </w:rPr>
          <w:t>Carpenter and Casler, 1990</w:t>
        </w:r>
      </w:hyperlink>
      <w:r w:rsidR="00B7572A">
        <w:rPr>
          <w:rFonts w:cs="Times New Roman"/>
          <w:noProof/>
        </w:rPr>
        <w:t xml:space="preserve">; </w:t>
      </w:r>
      <w:hyperlink w:anchor="_ENREF_41" w:tooltip="Grissom, 1956 #230" w:history="1">
        <w:r w:rsidR="00FB5014">
          <w:rPr>
            <w:rFonts w:cs="Times New Roman"/>
            <w:noProof/>
          </w:rPr>
          <w:t>Grissom and Kalton, 1956</w:t>
        </w:r>
      </w:hyperlink>
      <w:r w:rsidR="00B7572A">
        <w:rPr>
          <w:rFonts w:cs="Times New Roman"/>
          <w:noProof/>
        </w:rPr>
        <w:t>)</w:t>
      </w:r>
      <w:r w:rsidR="00301182" w:rsidRPr="00BC2AA1">
        <w:rPr>
          <w:rFonts w:cs="Times New Roman"/>
        </w:rPr>
        <w:fldChar w:fldCharType="end"/>
      </w:r>
      <w:r w:rsidRPr="00BC2AA1">
        <w:rPr>
          <w:rFonts w:cs="Times New Roman"/>
        </w:rPr>
        <w:t>, crested wheatgrass (</w:t>
      </w:r>
      <w:r w:rsidRPr="00BC2AA1">
        <w:rPr>
          <w:rFonts w:cs="Times New Roman"/>
          <w:i/>
        </w:rPr>
        <w:t>Agropyron cristatum</w:t>
      </w:r>
      <w:r w:rsidRPr="00BC2AA1">
        <w:rPr>
          <w:rFonts w:cs="Times New Roman"/>
        </w:rPr>
        <w:t xml:space="preserve"> (L.) Gaertn.) </w:t>
      </w:r>
      <w:r w:rsidR="00301182" w:rsidRPr="00BC2AA1">
        <w:rPr>
          <w:rFonts w:cs="Times New Roman"/>
        </w:rPr>
        <w:fldChar w:fldCharType="begin"/>
      </w:r>
      <w:r w:rsidR="00382C84">
        <w:rPr>
          <w:rFonts w:cs="Times New Roman"/>
        </w:rPr>
        <w:instrText xml:space="preserve"> ADDIN EN.CITE &lt;EndNote&gt;&lt;Cite&gt;&lt;Author&gt;Assay&lt;/Author&gt;&lt;Year&gt;1997&lt;/Year&gt;&lt;RecNum&gt;233&lt;/RecNum&gt;&lt;DisplayText&gt;(Assay and Johnson, 1997)&lt;/DisplayText&gt;&lt;record&gt;&lt;rec-number&gt;233&lt;/rec-number&gt;&lt;foreign-keys&gt;&lt;key app="EN" db-id="9zfxt259rawwvce0pfa5efeuatdw0pz5va5z" timestamp="1319834962"&gt;233&lt;/key&gt;&lt;/foreign-keys&gt;&lt;ref-type name="Journal Article"&gt;17&lt;/ref-type&gt;&lt;contributors&gt;&lt;authors&gt;&lt;author&gt;Assay, K.H.&lt;/author&gt;&lt;author&gt;Johnson, D.A.&lt;/author&gt;&lt;/authors&gt;&lt;/contributors&gt;&lt;titles&gt;&lt;title&gt;&lt;style face="normal" font="default" size="100%"&gt;Genotype by competition level interactions in crested wheatgrass (&lt;/style&gt;&lt;style face="italic" font="default" size="100%"&gt;Agropyron desertorum Poaceae&lt;/style&gt;&lt;style face="normal" font="default" size="100%"&gt;: Triticeae). &lt;/style&gt;&lt;/title&gt;&lt;secondary-title&gt;Int. J. Plant Sci.&lt;/secondary-title&gt;&lt;/titles&gt;&lt;periodical&gt;&lt;full-title&gt;Int. J. Plant Sci.&lt;/full-title&gt;&lt;/periodical&gt;&lt;pages&gt;851-855&lt;/pages&gt;&lt;volume&gt;158&lt;/volume&gt;&lt;dates&gt;&lt;year&gt;1997&lt;/year&gt;&lt;/dates&gt;&lt;urls&gt;&lt;/urls&gt;&lt;/record&gt;&lt;/Cite&gt;&lt;/EndNote&gt;</w:instrText>
      </w:r>
      <w:r w:rsidR="00301182" w:rsidRPr="00BC2AA1">
        <w:rPr>
          <w:rFonts w:cs="Times New Roman"/>
        </w:rPr>
        <w:fldChar w:fldCharType="separate"/>
      </w:r>
      <w:r w:rsidRPr="00BC2AA1">
        <w:rPr>
          <w:rFonts w:cs="Times New Roman"/>
          <w:noProof/>
        </w:rPr>
        <w:t>(</w:t>
      </w:r>
      <w:hyperlink w:anchor="_ENREF_6" w:tooltip="Assay, 1997 #233" w:history="1">
        <w:r w:rsidR="00FB5014" w:rsidRPr="00BC2AA1">
          <w:rPr>
            <w:rFonts w:cs="Times New Roman"/>
            <w:noProof/>
          </w:rPr>
          <w:t>Assay and Johnson, 1997</w:t>
        </w:r>
      </w:hyperlink>
      <w:r w:rsidRPr="00BC2AA1">
        <w:rPr>
          <w:rFonts w:cs="Times New Roman"/>
          <w:noProof/>
        </w:rPr>
        <w:t>)</w:t>
      </w:r>
      <w:r w:rsidR="00301182" w:rsidRPr="00BC2AA1">
        <w:rPr>
          <w:rFonts w:cs="Times New Roman"/>
        </w:rPr>
        <w:fldChar w:fldCharType="end"/>
      </w:r>
      <w:r w:rsidRPr="00BC2AA1">
        <w:rPr>
          <w:rFonts w:cs="Times New Roman"/>
        </w:rPr>
        <w:t>, and alfalfa (</w:t>
      </w:r>
      <w:r w:rsidRPr="00BC2AA1">
        <w:rPr>
          <w:rFonts w:cs="Times New Roman"/>
          <w:i/>
          <w:iCs/>
        </w:rPr>
        <w:t xml:space="preserve">Medicago sativa </w:t>
      </w:r>
      <w:r w:rsidRPr="00BC2AA1">
        <w:rPr>
          <w:rFonts w:cs="Times New Roman"/>
        </w:rPr>
        <w:t>L.)</w:t>
      </w:r>
      <w:r w:rsidR="00301182" w:rsidRPr="00BC2AA1">
        <w:rPr>
          <w:rFonts w:cs="Times New Roman"/>
        </w:rPr>
        <w:fldChar w:fldCharType="begin"/>
      </w:r>
      <w:r w:rsidR="00B7572A">
        <w:rPr>
          <w:rFonts w:cs="Times New Roman"/>
        </w:rPr>
        <w:instrText xml:space="preserve"> ADDIN EN.CITE &lt;EndNote&gt;&lt;Cite&gt;&lt;Author&gt;Assay&lt;/Author&gt;&lt;Year&gt;1999&lt;/Year&gt;&lt;RecNum&gt;231&lt;/RecNum&gt;&lt;DisplayText&gt;(Annicchiarico, 2006; Assay et al., 1999)&lt;/DisplayText&gt;&lt;record&gt;&lt;rec-number&gt;231&lt;/rec-number&gt;&lt;foreign-keys&gt;&lt;key app="EN" db-id="9zfxt259rawwvce0pfa5efeuatdw0pz5va5z" timestamp="1319834702"&gt;231&lt;/key&gt;&lt;/foreign-keys&gt;&lt;ref-type name="Journal Article"&gt;17&lt;/ref-type&gt;&lt;contributors&gt;&lt;authors&gt;&lt;author&gt;Assay, K.H.&lt;/author&gt;&lt;author&gt;Johnson, D.A.&lt;/author&gt;&lt;author&gt;Rumbaugh, M.D.&lt;/author&gt;&lt;/authors&gt;&lt;/contributors&gt;&lt;titles&gt;&lt;title&gt;&lt;style face="normal" font="default" size="100%"&gt;Genotype by competition level interactions in alfalfa (&lt;/style&gt;&lt;style face="italic" font="default" size="100%"&gt;Medicago sativa &lt;/style&gt;&lt;style face="normal" font="default" size="100%"&gt;L.)&lt;/style&gt;&lt;/title&gt;&lt;secondary-title&gt;Int. J. Plant Sci.&lt;/secondary-title&gt;&lt;/titles&gt;&lt;periodical&gt;&lt;full-title&gt;Int. J. Plant Sci.&lt;/full-title&gt;&lt;/periodical&gt;&lt;pages&gt;129-134&lt;/pages&gt;&lt;volume&gt;160&lt;/volume&gt;&lt;dates&gt;&lt;year&gt;1999&lt;/year&gt;&lt;/dates&gt;&lt;urls&gt;&lt;/urls&gt;&lt;/record&gt;&lt;/Cite&gt;&lt;Cite&gt;&lt;Author&gt;Annicchiarico&lt;/Author&gt;&lt;Year&gt;2006&lt;/Year&gt;&lt;RecNum&gt;232&lt;/RecNum&gt;&lt;record&gt;&lt;rec-number&gt;232&lt;/rec-number&gt;&lt;foreign-keys&gt;&lt;key app="EN" db-id="9zfxt259rawwvce0pfa5efeuatdw0pz5va5z" timestamp="1319834880"&gt;232&lt;/key&gt;&lt;/foreign-keys&gt;&lt;ref-type name="Journal Article"&gt;17&lt;/ref-type&gt;&lt;contributors&gt;&lt;authors&gt;&lt;author&gt;Annicchiarico, P.&lt;/author&gt;&lt;/authors&gt;&lt;/contributors&gt;&lt;titles&gt;&lt;title&gt;Prediction of indirect selection for seed and forage yield of lucerne based on evaluation under spaced planting&lt;/title&gt;&lt;secondary-title&gt;Plant Breed. &lt;/secondary-title&gt;&lt;/titles&gt;&lt;periodical&gt;&lt;full-title&gt;Plant Breed.&lt;/full-title&gt;&lt;/periodical&gt;&lt;pages&gt;641-643&lt;/pages&gt;&lt;volume&gt;125&lt;/volume&gt;&lt;dates&gt;&lt;year&gt;2006&lt;/year&gt;&lt;/dates&gt;&lt;urls&gt;&lt;/urls&gt;&lt;/record&gt;&lt;/Cite&gt;&lt;/EndNote&gt;</w:instrText>
      </w:r>
      <w:r w:rsidR="00301182" w:rsidRPr="00BC2AA1">
        <w:rPr>
          <w:rFonts w:cs="Times New Roman"/>
        </w:rPr>
        <w:fldChar w:fldCharType="separate"/>
      </w:r>
      <w:r w:rsidR="00B7572A">
        <w:rPr>
          <w:rFonts w:cs="Times New Roman"/>
          <w:noProof/>
        </w:rPr>
        <w:t>(</w:t>
      </w:r>
      <w:hyperlink w:anchor="_ENREF_4" w:tooltip="Annicchiarico, 2006 #232" w:history="1">
        <w:r w:rsidR="00FB5014">
          <w:rPr>
            <w:rFonts w:cs="Times New Roman"/>
            <w:noProof/>
          </w:rPr>
          <w:t>Annicchiarico, 2006</w:t>
        </w:r>
      </w:hyperlink>
      <w:r w:rsidR="00B7572A">
        <w:rPr>
          <w:rFonts w:cs="Times New Roman"/>
          <w:noProof/>
        </w:rPr>
        <w:t xml:space="preserve">; </w:t>
      </w:r>
      <w:hyperlink w:anchor="_ENREF_7" w:tooltip="Assay, 1999 #231" w:history="1">
        <w:r w:rsidR="00FB5014">
          <w:rPr>
            <w:rFonts w:cs="Times New Roman"/>
            <w:noProof/>
          </w:rPr>
          <w:t>Assay et al., 1999</w:t>
        </w:r>
      </w:hyperlink>
      <w:r w:rsidR="00B7572A">
        <w:rPr>
          <w:rFonts w:cs="Times New Roman"/>
          <w:noProof/>
        </w:rPr>
        <w:t>)</w:t>
      </w:r>
      <w:r w:rsidR="00301182" w:rsidRPr="00BC2AA1">
        <w:rPr>
          <w:rFonts w:cs="Times New Roman"/>
        </w:rPr>
        <w:fldChar w:fldCharType="end"/>
      </w:r>
      <w:r w:rsidRPr="00BC2AA1">
        <w:rPr>
          <w:rFonts w:cs="Times New Roman"/>
        </w:rPr>
        <w:t xml:space="preserve">. In contrast, research with perennial ryegrass evaluated in both space planted and sward conditions showed performance under spaced conditions to be an effective indicator of sward performance </w:t>
      </w:r>
      <w:r w:rsidR="00301182" w:rsidRPr="00BC2AA1">
        <w:rPr>
          <w:rFonts w:cs="Times New Roman"/>
        </w:rPr>
        <w:fldChar w:fldCharType="begin">
          <w:fldData xml:space="preserve">PEVuZE5vdGU+PENpdGU+PEF1dGhvcj5MYXplbmJ5PC9BdXRob3I+PFllYXI+MTk1NzwvWWVhcj48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</w:fldData>
        </w:fldChar>
      </w:r>
      <w:r w:rsidR="00E20B7A">
        <w:rPr>
          <w:rFonts w:cs="Times New Roman"/>
        </w:rPr>
        <w:instrText xml:space="preserve"> ADDIN EN.CITE </w:instrText>
      </w:r>
      <w:r w:rsidR="00E20B7A">
        <w:rPr>
          <w:rFonts w:cs="Times New Roman"/>
        </w:rPr>
        <w:fldChar w:fldCharType="begin">
          <w:fldData xml:space="preserve">PEVuZE5vdGU+PENpdGU+PEF1dGhvcj5MYXplbmJ5PC9BdXRob3I+PFllYXI+MTk1NzwvWWVhcj48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</w:fldData>
        </w:fldChar>
      </w:r>
      <w:r w:rsidR="00E20B7A">
        <w:rPr>
          <w:rFonts w:cs="Times New Roman"/>
        </w:rPr>
        <w:instrText xml:space="preserve"> ADDIN EN.CITE.DATA </w:instrText>
      </w:r>
      <w:r w:rsidR="00E20B7A">
        <w:rPr>
          <w:rFonts w:cs="Times New Roman"/>
        </w:rPr>
      </w:r>
      <w:r w:rsidR="00E20B7A">
        <w:rPr>
          <w:rFonts w:cs="Times New Roman"/>
        </w:rPr>
        <w:fldChar w:fldCharType="end"/>
      </w:r>
      <w:r w:rsidR="00301182" w:rsidRPr="00BC2AA1">
        <w:rPr>
          <w:rFonts w:cs="Times New Roman"/>
        </w:rPr>
      </w:r>
      <w:r w:rsidR="00301182" w:rsidRPr="00BC2AA1">
        <w:rPr>
          <w:rFonts w:cs="Times New Roman"/>
        </w:rPr>
        <w:fldChar w:fldCharType="separate"/>
      </w:r>
      <w:r w:rsidR="00E20B7A">
        <w:rPr>
          <w:rFonts w:cs="Times New Roman"/>
          <w:noProof/>
        </w:rPr>
        <w:t>(</w:t>
      </w:r>
      <w:hyperlink w:anchor="_ENREF_25" w:tooltip="Copeman, 1966 #235" w:history="1">
        <w:r w:rsidR="00FB5014">
          <w:rPr>
            <w:rFonts w:cs="Times New Roman"/>
            <w:noProof/>
          </w:rPr>
          <w:t>Copeman and Swift, 1966</w:t>
        </w:r>
      </w:hyperlink>
      <w:r w:rsidR="00E20B7A">
        <w:rPr>
          <w:rFonts w:cs="Times New Roman"/>
          <w:noProof/>
        </w:rPr>
        <w:t xml:space="preserve">; </w:t>
      </w:r>
      <w:hyperlink w:anchor="_ENREF_50" w:tooltip="Humphreys, 1989 #236" w:history="1">
        <w:r w:rsidR="00FB5014">
          <w:rPr>
            <w:rFonts w:cs="Times New Roman"/>
            <w:noProof/>
          </w:rPr>
          <w:t>Humphreys, 1989</w:t>
        </w:r>
      </w:hyperlink>
      <w:r w:rsidR="00E20B7A">
        <w:rPr>
          <w:rFonts w:cs="Times New Roman"/>
          <w:noProof/>
        </w:rPr>
        <w:t xml:space="preserve">; </w:t>
      </w:r>
      <w:hyperlink w:anchor="_ENREF_59" w:tooltip="Lazenby, 1957 #234" w:history="1">
        <w:r w:rsidR="00FB5014">
          <w:rPr>
            <w:rFonts w:cs="Times New Roman"/>
            <w:noProof/>
          </w:rPr>
          <w:t>Lazenby, 1957</w:t>
        </w:r>
      </w:hyperlink>
      <w:r w:rsidR="00E20B7A">
        <w:rPr>
          <w:rFonts w:cs="Times New Roman"/>
          <w:noProof/>
        </w:rPr>
        <w:t>)</w:t>
      </w:r>
      <w:r w:rsidR="00301182" w:rsidRPr="00BC2AA1">
        <w:rPr>
          <w:rFonts w:cs="Times New Roman"/>
        </w:rPr>
        <w:fldChar w:fldCharType="end"/>
      </w:r>
      <w:r w:rsidRPr="00BC2AA1">
        <w:rPr>
          <w:rFonts w:cs="Times New Roman"/>
        </w:rPr>
        <w:t xml:space="preserve">. </w:t>
      </w:r>
    </w:p>
    <w:p w14:paraId="59C5D802" w14:textId="78A35624" w:rsidR="004C7D65" w:rsidRDefault="004C7D65" w:rsidP="00F95441">
      <w:pPr>
        <w:ind w:firstLine="720"/>
        <w:rPr>
          <w:rFonts w:cs="Times New Roman"/>
        </w:rPr>
      </w:pPr>
      <w:r w:rsidRPr="00BC2AA1">
        <w:rPr>
          <w:rFonts w:cs="Times New Roman"/>
        </w:rPr>
        <w:t>The perceived advantage of certain traits to improved performance may also be skewed when these observations are made under unrealistic production conditions. Several studies of switchgrass under space planted conditions have observed high correlations of tillering with yield</w:t>
      </w:r>
      <w:r w:rsidR="0092781B">
        <w:rPr>
          <w:rFonts w:cs="Times New Roman"/>
        </w:rPr>
        <w:t xml:space="preserve"> </w:t>
      </w:r>
      <w:r w:rsidR="00301182" w:rsidRPr="00BC2AA1">
        <w:rPr>
          <w:rFonts w:cs="Times New Roman"/>
        </w:rPr>
        <w:fldChar w:fldCharType="begin"/>
      </w:r>
      <w:r w:rsidR="00B7572A">
        <w:rPr>
          <w:rFonts w:cs="Times New Roman"/>
        </w:rPr>
        <w:instrText xml:space="preserve"> ADDIN EN.CITE &lt;EndNote&gt;&lt;Cite&gt;&lt;Author&gt;Bhandari&lt;/Author&gt;&lt;Year&gt;2010&lt;/Year&gt;&lt;RecNum&gt;199&lt;/RecNum&gt;&lt;DisplayText&gt;(Bhandari et al., 2010; Das et al., 2004)&lt;/DisplayText&gt;&lt;record&gt;&lt;rec-number&gt;199&lt;/rec-number&gt;&lt;foreign-keys&gt;&lt;key app="EN" db-id="9zfxt259rawwvce0pfa5efeuatdw0pz5va5z" timestamp="1316030756"&gt;199&lt;/key&gt;&lt;/foreign-keys&gt;&lt;ref-type name="Journal Article"&gt;17&lt;/ref-type&gt;&lt;contributors&gt;&lt;authors&gt;&lt;author&gt;Bhandari, H.S.&lt;/author&gt;&lt;author&gt;Saha, M.C.&lt;/author&gt;&lt;author&gt;Mascia, P.N.&lt;/author&gt;&lt;author&gt;Fasoula, V.A.&lt;/author&gt;&lt;author&gt;Bouton, J.H.&lt;/author&gt;&lt;/authors&gt;&lt;/contributors&gt;&lt;titles&gt;&lt;title&gt;&lt;style face="normal" font="default" size="100%"&gt;Variation among half-sib families and heritability for biomass yield and other traits in lowland switchgrass (&lt;/style&gt;&lt;style face="italic" font="default" size="100%"&gt;Panicum virgatum&lt;/style&gt;&lt;style face="normal" font="default" size="100%"&gt; L.)&lt;/style&gt;&lt;/title&gt;&lt;secondary-title&gt;Crop Sci.&lt;/secondary-title&gt;&lt;/titles&gt;&lt;periodical&gt;&lt;full-title&gt;Crop Sci.&lt;/full-title&gt;&lt;/periodical&gt;&lt;pages&gt;2355-2363&lt;/pages&gt;&lt;volume&gt;50&lt;/volume&gt;&lt;section&gt;2355&lt;/section&gt;&lt;dates&gt;&lt;year&gt;2010&lt;/year&gt;&lt;/dates&gt;&lt;urls&gt;&lt;/urls&gt;&lt;/record&gt;&lt;/Cite&gt;&lt;Cite&gt;&lt;Author&gt;Das&lt;/Author&gt;&lt;Year&gt;2004&lt;/Year&gt;&lt;RecNum&gt;254&lt;/RecNum&gt;&lt;record&gt;&lt;rec-number&gt;254&lt;/rec-number&gt;&lt;foreign-keys&gt;&lt;key app="EN" db-id="9zfxt259rawwvce0pfa5efeuatdw0pz5va5z" timestamp="1323887731"&gt;254&lt;/key&gt;&lt;/foreign-keys&gt;&lt;ref-type name="Journal Article"&gt;17&lt;/ref-type&gt;&lt;contributors&gt;&lt;authors&gt;&lt;author&gt;Das, M. K.&lt;/author&gt;&lt;author&gt;Fuentes, R. G.&lt;/author&gt;&lt;author&gt;Taliaferro, C. M.&lt;/author&gt;&lt;/authors&gt;&lt;/contributors&gt;&lt;titles&gt;&lt;title&gt;Genetic variability and trait relationships in switchgrass&lt;/title&gt;&lt;secondary-title&gt;Crop Sci.&lt;/secondary-title&gt;&lt;/titles&gt;&lt;periodical&gt;&lt;full-title&gt;Crop Sci.&lt;/full-title&gt;&lt;/periodical&gt;&lt;pages&gt;443-448&lt;/pages&gt;&lt;volume&gt;44&lt;/volume&gt;&lt;section&gt;443&lt;/section&gt;&lt;dates&gt;&lt;year&gt;2004&lt;/year&gt;&lt;/dates&gt;&lt;urls&gt;&lt;/urls&gt;&lt;/record&gt;&lt;/Cite&gt;&lt;/EndNote&gt;</w:instrText>
      </w:r>
      <w:r w:rsidR="00301182" w:rsidRPr="00BC2AA1">
        <w:rPr>
          <w:rFonts w:cs="Times New Roman"/>
        </w:rPr>
        <w:fldChar w:fldCharType="separate"/>
      </w:r>
      <w:r w:rsidR="00B7572A">
        <w:rPr>
          <w:rFonts w:cs="Times New Roman"/>
          <w:noProof/>
        </w:rPr>
        <w:t>(</w:t>
      </w:r>
      <w:hyperlink w:anchor="_ENREF_12" w:tooltip="Bhandari, 2010 #199" w:history="1">
        <w:r w:rsidR="00FB5014">
          <w:rPr>
            <w:rFonts w:cs="Times New Roman"/>
            <w:noProof/>
          </w:rPr>
          <w:t>Bhandari et al., 2010</w:t>
        </w:r>
      </w:hyperlink>
      <w:r w:rsidR="00B7572A">
        <w:rPr>
          <w:rFonts w:cs="Times New Roman"/>
          <w:noProof/>
        </w:rPr>
        <w:t xml:space="preserve">; </w:t>
      </w:r>
      <w:hyperlink w:anchor="_ENREF_29" w:tooltip="Das, 2004 #254" w:history="1">
        <w:r w:rsidR="00FB5014">
          <w:rPr>
            <w:rFonts w:cs="Times New Roman"/>
            <w:noProof/>
          </w:rPr>
          <w:t>Das et al., 2004</w:t>
        </w:r>
      </w:hyperlink>
      <w:r w:rsidR="00B7572A">
        <w:rPr>
          <w:rFonts w:cs="Times New Roman"/>
          <w:noProof/>
        </w:rPr>
        <w:t>)</w:t>
      </w:r>
      <w:r w:rsidR="00301182" w:rsidRPr="00BC2AA1">
        <w:rPr>
          <w:rFonts w:cs="Times New Roman"/>
        </w:rPr>
        <w:fldChar w:fldCharType="end"/>
      </w:r>
      <w:r w:rsidRPr="00BC2AA1">
        <w:rPr>
          <w:rFonts w:cs="Times New Roman"/>
        </w:rPr>
        <w:t>.</w:t>
      </w:r>
      <w:r w:rsidR="0092781B">
        <w:rPr>
          <w:rFonts w:cs="Times New Roman"/>
        </w:rPr>
        <w:t xml:space="preserve"> U</w:t>
      </w:r>
      <w:r w:rsidRPr="00BC2AA1">
        <w:rPr>
          <w:rFonts w:cs="Times New Roman"/>
        </w:rPr>
        <w:t>nder sward conditions, yield tiller</w:t>
      </w:r>
      <w:r w:rsidRPr="00BC2AA1">
        <w:rPr>
          <w:rFonts w:cs="Times New Roman"/>
          <w:vertAlign w:val="superscript"/>
        </w:rPr>
        <w:t xml:space="preserve">-1 </w:t>
      </w:r>
      <w:r w:rsidRPr="00BC2AA1">
        <w:rPr>
          <w:rFonts w:cs="Times New Roman"/>
        </w:rPr>
        <w:t>as opposed to yield plant</w:t>
      </w:r>
      <w:r w:rsidRPr="00BC2AA1">
        <w:rPr>
          <w:rFonts w:cs="Times New Roman"/>
          <w:vertAlign w:val="superscript"/>
        </w:rPr>
        <w:t>-1</w:t>
      </w:r>
      <w:r w:rsidRPr="00BC2AA1">
        <w:rPr>
          <w:rFonts w:cs="Times New Roman"/>
        </w:rPr>
        <w:t xml:space="preserve"> may be more relevant to overall yield, as was observed by Zarrough et al. </w:t>
      </w:r>
      <w:r w:rsidR="00301182" w:rsidRPr="00BC2AA1">
        <w:rPr>
          <w:rFonts w:cs="Times New Roman"/>
        </w:rPr>
        <w:fldChar w:fldCharType="begin"/>
      </w:r>
      <w:r w:rsidR="00382C84">
        <w:rPr>
          <w:rFonts w:cs="Times New Roman"/>
        </w:rPr>
        <w:instrText xml:space="preserve"> ADDIN EN.CITE &lt;EndNote&gt;&lt;Cite ExcludeAuth="1"&gt;&lt;Author&gt;Zarrough&lt;/Author&gt;&lt;Year&gt;1983&lt;/Year&gt;&lt;RecNum&gt;238&lt;/RecNum&gt;&lt;DisplayText&gt;(1983)&lt;/DisplayText&gt;&lt;record&gt;&lt;rec-number&gt;238&lt;/rec-number&gt;&lt;foreign-keys&gt;&lt;key app="EN" db-id="9zfxt259rawwvce0pfa5efeuatdw0pz5va5z" timestamp="1320084639"&gt;238&lt;/key&gt;&lt;/foreign-keys&gt;&lt;ref-type name="Journal Article"&gt;17&lt;/ref-type&gt;&lt;contributors&gt;&lt;authors&gt;&lt;author&gt;Zarrough, K.M.&lt;/author&gt;&lt;author&gt;Nelson, C.J.&lt;/author&gt;&lt;author&gt;Coutts, J.H.&lt;/author&gt;&lt;/authors&gt;&lt;/contributors&gt;&lt;titles&gt;&lt;title&gt;Relationship between tillering and forage yield of tall fescue. I. Yield&lt;/title&gt;&lt;secondary-title&gt;Crop Sci.&lt;/secondary-title&gt;&lt;/titles&gt;&lt;periodical&gt;&lt;full-title&gt;Crop Sci.&lt;/full-title&gt;&lt;/periodical&gt;&lt;pages&gt;333-337&lt;/pages&gt;&lt;volume&gt;23&lt;/volume&gt;&lt;dates&gt;&lt;year&gt;1983&lt;/year&gt;&lt;/dates&gt;&lt;urls&gt;&lt;/urls&gt;&lt;/record&gt;&lt;/Cite&gt;&lt;/EndNote&gt;</w:instrText>
      </w:r>
      <w:r w:rsidR="00301182" w:rsidRPr="00BC2AA1">
        <w:rPr>
          <w:rFonts w:cs="Times New Roman"/>
        </w:rPr>
        <w:fldChar w:fldCharType="separate"/>
      </w:r>
      <w:r w:rsidRPr="00BC2AA1">
        <w:rPr>
          <w:rFonts w:cs="Times New Roman"/>
          <w:noProof/>
        </w:rPr>
        <w:t>(</w:t>
      </w:r>
      <w:hyperlink w:anchor="_ENREF_108" w:tooltip="Zarrough, 1983 #238" w:history="1">
        <w:r w:rsidR="00FB5014" w:rsidRPr="00BC2AA1">
          <w:rPr>
            <w:rFonts w:cs="Times New Roman"/>
            <w:noProof/>
          </w:rPr>
          <w:t>1983</w:t>
        </w:r>
      </w:hyperlink>
      <w:r w:rsidRPr="00BC2AA1">
        <w:rPr>
          <w:rFonts w:cs="Times New Roman"/>
          <w:noProof/>
        </w:rPr>
        <w:t>)</w:t>
      </w:r>
      <w:r w:rsidR="00301182" w:rsidRPr="00BC2AA1">
        <w:rPr>
          <w:rFonts w:cs="Times New Roman"/>
        </w:rPr>
        <w:fldChar w:fldCharType="end"/>
      </w:r>
      <w:r w:rsidRPr="00BC2AA1">
        <w:rPr>
          <w:rFonts w:cs="Times New Roman"/>
        </w:rPr>
        <w:t xml:space="preserve"> in work with tall fescue. This increase in yield may be </w:t>
      </w:r>
      <w:r w:rsidR="00A370D1">
        <w:rPr>
          <w:rFonts w:cs="Times New Roman"/>
        </w:rPr>
        <w:t>at the cost of reduced quality</w:t>
      </w:r>
      <w:r w:rsidRPr="00BC2AA1">
        <w:rPr>
          <w:rFonts w:cs="Times New Roman"/>
        </w:rPr>
        <w:t xml:space="preserve"> as greater amounts of lignin and other components may be necessary to maintain the structural integrity of larger plants </w:t>
      </w:r>
      <w:r w:rsidR="00301182" w:rsidRPr="00BC2AA1">
        <w:rPr>
          <w:rFonts w:cs="Times New Roman"/>
        </w:rPr>
        <w:fldChar w:fldCharType="begin"/>
      </w:r>
      <w:r w:rsidR="00382C84">
        <w:rPr>
          <w:rFonts w:cs="Times New Roman"/>
        </w:rPr>
        <w:instrText xml:space="preserve"> ADDIN EN.CITE &lt;EndNote&gt;&lt;Cite&gt;&lt;Author&gt;Christensen&lt;/Author&gt;&lt;Year&gt;1984&lt;/Year&gt;&lt;RecNum&gt;239&lt;/RecNum&gt;&lt;DisplayText&gt;(Christensen et al., 1984)&lt;/DisplayText&gt;&lt;record&gt;&lt;rec-number&gt;239&lt;/rec-number&gt;&lt;foreign-keys&gt;&lt;key app="EN" db-id="9zfxt259rawwvce0pfa5efeuatdw0pz5va5z" timestamp="1320084760"&gt;239&lt;/key&gt;&lt;/foreign-keys&gt;&lt;ref-type name="Journal Article"&gt;17&lt;/ref-type&gt;&lt;contributors&gt;&lt;authors&gt;&lt;author&gt;Christensen, D.W.&lt;/author&gt;&lt;author&gt;Stuthman, D.D.&lt;/author&gt;&lt;author&gt;Hovin, A.W.&lt;/author&gt;&lt;/authors&gt;&lt;/contributors&gt;&lt;titles&gt;&lt;title&gt;Associations among morphological and digestibility characters in reed canarygrass&lt;/title&gt;&lt;secondary-title&gt;Crop Sci.&lt;/secondary-title&gt;&lt;/titles&gt;&lt;periodical&gt;&lt;full-title&gt;Crop Sci.&lt;/full-title&gt;&lt;/periodical&gt;&lt;pages&gt;675-678&lt;/pages&gt;&lt;volume&gt;24&lt;/volume&gt;&lt;dates&gt;&lt;year&gt;1984&lt;/year&gt;&lt;/dates&gt;&lt;urls&gt;&lt;/urls&gt;&lt;/record&gt;&lt;/Cite&gt;&lt;/EndNote&gt;</w:instrText>
      </w:r>
      <w:r w:rsidR="00301182" w:rsidRPr="00BC2AA1">
        <w:rPr>
          <w:rFonts w:cs="Times New Roman"/>
        </w:rPr>
        <w:fldChar w:fldCharType="separate"/>
      </w:r>
      <w:r w:rsidRPr="00BC2AA1">
        <w:rPr>
          <w:rFonts w:cs="Times New Roman"/>
          <w:noProof/>
        </w:rPr>
        <w:t>(</w:t>
      </w:r>
      <w:hyperlink w:anchor="_ENREF_24" w:tooltip="Christensen, 1984 #239" w:history="1">
        <w:r w:rsidR="00FB5014" w:rsidRPr="00BC2AA1">
          <w:rPr>
            <w:rFonts w:cs="Times New Roman"/>
            <w:noProof/>
          </w:rPr>
          <w:t>Christensen et al., 1984</w:t>
        </w:r>
      </w:hyperlink>
      <w:r w:rsidRPr="00BC2AA1">
        <w:rPr>
          <w:rFonts w:cs="Times New Roman"/>
          <w:noProof/>
        </w:rPr>
        <w:t>)</w:t>
      </w:r>
      <w:r w:rsidR="00301182" w:rsidRPr="00BC2AA1">
        <w:rPr>
          <w:rFonts w:cs="Times New Roman"/>
        </w:rPr>
        <w:fldChar w:fldCharType="end"/>
      </w:r>
      <w:r w:rsidRPr="00BC2AA1">
        <w:rPr>
          <w:rFonts w:cs="Times New Roman"/>
        </w:rPr>
        <w:t>. In order to assess the true value of certain traits in improving both switchgrass biomass yield and biomass quality, it is necessary to establish the relationship between evaluations observed under space-planted versus the more realistic sward planted conditions</w:t>
      </w:r>
      <w:r w:rsidR="00954DB7">
        <w:rPr>
          <w:rFonts w:cs="Times New Roman"/>
        </w:rPr>
        <w:t xml:space="preserve">. </w:t>
      </w:r>
      <w:r w:rsidRPr="00BC2AA1">
        <w:rPr>
          <w:rFonts w:cs="Times New Roman"/>
        </w:rPr>
        <w:t xml:space="preserve">Determining the relationship between these two conditions could lead to better choices of predicative traits and more effective methods of selection in developing improved biofuels switchgrass varieties. </w:t>
      </w:r>
    </w:p>
    <w:p w14:paraId="1B454009" w14:textId="77777777" w:rsidR="004C7D65" w:rsidRPr="00BC2AA1" w:rsidRDefault="004C7D65" w:rsidP="00DD5AC5">
      <w:pPr>
        <w:ind w:firstLine="720"/>
      </w:pPr>
      <w:r w:rsidRPr="00BC2AA1">
        <w:t xml:space="preserve">Knowledge of the genetic parameters associated with traits beneficial to switchgrass used as a biofuel, awareness of the relationship between juvenile trait expression and trait expression of mature field grown plants, and awareness of the relationship between trait expression under sward conditions used during production and space-planted conditions typically used for trait </w:t>
      </w:r>
      <w:r w:rsidRPr="00BC2AA1">
        <w:lastRenderedPageBreak/>
        <w:t xml:space="preserve">evaluations are all areas in which a broader understanding could greatly improve the efficiency of breeding for improved biofuels switchgrass. </w:t>
      </w:r>
    </w:p>
    <w:p w14:paraId="4AB65609" w14:textId="77777777" w:rsidR="004C7D65" w:rsidRPr="00BC2AA1" w:rsidRDefault="004C7D65" w:rsidP="009B24A0">
      <w:pPr>
        <w:pStyle w:val="Heading2"/>
      </w:pPr>
      <w:bookmarkStart w:id="22" w:name="_Toc314748464"/>
      <w:bookmarkStart w:id="23" w:name="_Toc317593662"/>
      <w:bookmarkStart w:id="24" w:name="_Toc404069817"/>
      <w:r w:rsidRPr="00BC2AA1">
        <w:t>Objectives</w:t>
      </w:r>
      <w:bookmarkEnd w:id="22"/>
      <w:bookmarkEnd w:id="23"/>
      <w:bookmarkEnd w:id="24"/>
    </w:p>
    <w:p w14:paraId="500F7D06" w14:textId="0CB3EC90" w:rsidR="004C7D65" w:rsidRDefault="004C7D65" w:rsidP="00DD5AC5">
      <w:r w:rsidRPr="00BC2AA1">
        <w:t xml:space="preserve">The objectives of this dissertation </w:t>
      </w:r>
      <w:r w:rsidR="009E6A39">
        <w:t xml:space="preserve">research </w:t>
      </w:r>
      <w:r w:rsidRPr="00BC2AA1">
        <w:t>are</w:t>
      </w:r>
      <w:r w:rsidR="009E6A39">
        <w:t xml:space="preserve"> to</w:t>
      </w:r>
      <w:r w:rsidR="003C2DB6">
        <w:t xml:space="preserve"> determine</w:t>
      </w:r>
      <w:r w:rsidRPr="00BC2AA1">
        <w:t xml:space="preserve">:  (1) </w:t>
      </w:r>
      <w:r>
        <w:t xml:space="preserve">the effect of </w:t>
      </w:r>
      <w:r w:rsidR="009C1A48">
        <w:t xml:space="preserve">rust </w:t>
      </w:r>
      <w:r>
        <w:t xml:space="preserve">severity on switchgrass ethanol yield, (2) </w:t>
      </w:r>
      <w:r w:rsidRPr="00BC2AA1">
        <w:t>genetic parameters, including correlations, her</w:t>
      </w:r>
      <w:r w:rsidR="00476CDA">
        <w:t>itability, heterosis, maternal e</w:t>
      </w:r>
      <w:r w:rsidRPr="00BC2AA1">
        <w:t xml:space="preserve">ffects, and general </w:t>
      </w:r>
      <w:r w:rsidR="00DD5AC5">
        <w:t xml:space="preserve">and specific </w:t>
      </w:r>
      <w:r w:rsidRPr="00BC2AA1">
        <w:t>com</w:t>
      </w:r>
      <w:r w:rsidR="00A26E98">
        <w:t>bining ability</w:t>
      </w:r>
      <w:r w:rsidRPr="00BC2AA1">
        <w:t xml:space="preserve"> of switchgrass traits that may be beneficial to its use as</w:t>
      </w:r>
      <w:r>
        <w:t xml:space="preserve"> a lignocellulosic feedstock, (3</w:t>
      </w:r>
      <w:r w:rsidRPr="00BC2AA1">
        <w:t>) correspondence between juvenile and mature traits in switchgrass for the pu</w:t>
      </w:r>
      <w:r>
        <w:t>rpose of early selection, and (4</w:t>
      </w:r>
      <w:r w:rsidRPr="00BC2AA1">
        <w:t>)</w:t>
      </w:r>
      <w:r>
        <w:t xml:space="preserve"> </w:t>
      </w:r>
      <w:r w:rsidRPr="00BC2AA1">
        <w:t xml:space="preserve">interrelationships among traits of interest in switchgrass evaluated under space planted versus sward conditions. </w:t>
      </w:r>
    </w:p>
    <w:p w14:paraId="7D3C1C47" w14:textId="77777777" w:rsidR="00E85EBC" w:rsidRDefault="00E85EBC"/>
    <w:p w14:paraId="0615CC7A" w14:textId="77777777" w:rsidR="00E85EBC" w:rsidRDefault="00E85EBC"/>
    <w:p w14:paraId="0D522164" w14:textId="77777777" w:rsidR="00E85EBC" w:rsidRDefault="00E85EBC"/>
    <w:p w14:paraId="22D7AE3B" w14:textId="77777777" w:rsidR="0040715E" w:rsidRDefault="0040715E"/>
    <w:p w14:paraId="4743CA0D" w14:textId="77777777" w:rsidR="0040715E" w:rsidRDefault="0040715E"/>
    <w:p w14:paraId="0EAB2C8B" w14:textId="77777777" w:rsidR="0040715E" w:rsidRDefault="0040715E"/>
    <w:p w14:paraId="57D87F7A" w14:textId="77777777" w:rsidR="0040715E" w:rsidRDefault="0040715E"/>
    <w:p w14:paraId="279F40E4" w14:textId="77777777" w:rsidR="0040715E" w:rsidRDefault="0040715E"/>
    <w:p w14:paraId="23892EF1" w14:textId="77777777" w:rsidR="0040715E" w:rsidRDefault="0040715E"/>
    <w:p w14:paraId="60DA8B4C" w14:textId="77777777" w:rsidR="0040715E" w:rsidRDefault="0040715E"/>
    <w:p w14:paraId="3B1EC1D8" w14:textId="77777777" w:rsidR="0040715E" w:rsidRDefault="0040715E"/>
    <w:p w14:paraId="25FF5024" w14:textId="77777777" w:rsidR="0040715E" w:rsidRDefault="0040715E"/>
    <w:p w14:paraId="4EB2324B" w14:textId="77777777" w:rsidR="00686D2D" w:rsidRDefault="00686D2D">
      <w:pPr>
        <w:spacing w:line="240" w:lineRule="auto"/>
        <w:rPr>
          <w:b/>
          <w:bCs/>
          <w:caps/>
          <w:sz w:val="28"/>
        </w:rPr>
      </w:pPr>
      <w:r>
        <w:br w:type="page"/>
      </w:r>
    </w:p>
    <w:p w14:paraId="25405073" w14:textId="77777777" w:rsidR="00686D2D" w:rsidRDefault="00D77796" w:rsidP="0099190A">
      <w:pPr>
        <w:pStyle w:val="Heading1"/>
      </w:pPr>
      <w:bookmarkStart w:id="25" w:name="_Toc404069818"/>
      <w:r>
        <w:lastRenderedPageBreak/>
        <w:t xml:space="preserve">CHAPTER </w:t>
      </w:r>
      <w:r w:rsidR="00493F48">
        <w:t>1</w:t>
      </w:r>
      <w:r w:rsidR="00433FC9">
        <w:t xml:space="preserve"> - </w:t>
      </w:r>
      <w:r>
        <w:t xml:space="preserve">REDUCTION OF </w:t>
      </w:r>
      <w:r w:rsidR="0095454C">
        <w:t xml:space="preserve">PREDICTED </w:t>
      </w:r>
      <w:r>
        <w:t xml:space="preserve">ETHANOL YIELD FROM SWITCHGRASS INFECTED WITH </w:t>
      </w:r>
      <w:r w:rsidR="004C212B">
        <w:rPr>
          <w:i/>
        </w:rPr>
        <w:t>PUCCINIA EMACULATA</w:t>
      </w:r>
      <w:bookmarkEnd w:id="25"/>
    </w:p>
    <w:p w14:paraId="2F5B0027" w14:textId="77777777" w:rsidR="00686D2D" w:rsidRDefault="00686D2D">
      <w:pPr>
        <w:spacing w:line="240" w:lineRule="auto"/>
        <w:rPr>
          <w:b/>
          <w:bCs/>
          <w:caps/>
          <w:sz w:val="28"/>
        </w:rPr>
      </w:pPr>
      <w:r>
        <w:br w:type="page"/>
      </w:r>
    </w:p>
    <w:p w14:paraId="5121B0BC" w14:textId="77777777" w:rsidR="00686D2D" w:rsidRDefault="00C159F0" w:rsidP="009B24A0">
      <w:pPr>
        <w:pStyle w:val="Heading2"/>
      </w:pPr>
      <w:bookmarkStart w:id="26" w:name="_Toc404069819"/>
      <w:r>
        <w:lastRenderedPageBreak/>
        <w:t>Abstract</w:t>
      </w:r>
      <w:bookmarkEnd w:id="26"/>
    </w:p>
    <w:p w14:paraId="1485EA9A" w14:textId="149B677E" w:rsidR="00686D2D" w:rsidRDefault="00686D2D" w:rsidP="00686D2D">
      <w:pPr>
        <w:ind w:firstLine="720"/>
        <w:rPr>
          <w:rFonts w:cs="Times New Roman"/>
        </w:rPr>
      </w:pPr>
      <w:r w:rsidRPr="000E7D9F">
        <w:rPr>
          <w:rFonts w:cs="Times New Roman"/>
        </w:rPr>
        <w:t>Switchgrass</w:t>
      </w:r>
      <w:r>
        <w:rPr>
          <w:rFonts w:cs="Times New Roman"/>
        </w:rPr>
        <w:t xml:space="preserve"> </w:t>
      </w:r>
      <w:r w:rsidRPr="00500621">
        <w:rPr>
          <w:rFonts w:cs="Times New Roman"/>
        </w:rPr>
        <w:t>(</w:t>
      </w:r>
      <w:r>
        <w:rPr>
          <w:rFonts w:cs="Times New Roman"/>
          <w:i/>
        </w:rPr>
        <w:t>Panicum virgatum</w:t>
      </w:r>
      <w:r>
        <w:rPr>
          <w:rFonts w:cs="Times New Roman"/>
        </w:rPr>
        <w:t>)</w:t>
      </w:r>
      <w:r w:rsidRPr="000E7D9F">
        <w:rPr>
          <w:rFonts w:cs="Times New Roman"/>
        </w:rPr>
        <w:t xml:space="preserve"> is a</w:t>
      </w:r>
      <w:r>
        <w:rPr>
          <w:rFonts w:cs="Times New Roman"/>
        </w:rPr>
        <w:t xml:space="preserve">n important potential biofuel crop thought to have low disease susceptibility. As switchgrass production becomes more prevalent, monoculture and </w:t>
      </w:r>
      <w:r w:rsidR="00A26E98">
        <w:rPr>
          <w:rFonts w:cs="Times New Roman"/>
        </w:rPr>
        <w:t xml:space="preserve">the </w:t>
      </w:r>
      <w:r>
        <w:rPr>
          <w:rFonts w:cs="Times New Roman"/>
        </w:rPr>
        <w:t xml:space="preserve">close proximity of production fields may increase the spread and severity of diseases such as </w:t>
      </w:r>
      <w:r w:rsidR="009C1A48">
        <w:rPr>
          <w:rFonts w:cs="Times New Roman"/>
        </w:rPr>
        <w:t xml:space="preserve">rust </w:t>
      </w:r>
      <w:r>
        <w:rPr>
          <w:rFonts w:cs="Times New Roman"/>
        </w:rPr>
        <w:t>(</w:t>
      </w:r>
      <w:r>
        <w:rPr>
          <w:rFonts w:cs="Times New Roman"/>
          <w:i/>
        </w:rPr>
        <w:t>Puccinia emaculata</w:t>
      </w:r>
      <w:r>
        <w:rPr>
          <w:rFonts w:cs="Times New Roman"/>
        </w:rPr>
        <w:t xml:space="preserve">). The objective of this research is to examine the impact of </w:t>
      </w:r>
      <w:r w:rsidR="009C1A48">
        <w:rPr>
          <w:rFonts w:cs="Times New Roman"/>
        </w:rPr>
        <w:t xml:space="preserve">rust </w:t>
      </w:r>
      <w:r>
        <w:rPr>
          <w:rFonts w:cs="Times New Roman"/>
        </w:rPr>
        <w:t xml:space="preserve">on </w:t>
      </w:r>
      <w:r w:rsidR="0095454C">
        <w:rPr>
          <w:rFonts w:cs="Times New Roman"/>
        </w:rPr>
        <w:t>predicted ethanol yield</w:t>
      </w:r>
      <w:r>
        <w:rPr>
          <w:rFonts w:cs="Times New Roman"/>
        </w:rPr>
        <w:t xml:space="preserve"> in </w:t>
      </w:r>
      <w:r w:rsidRPr="00E51637">
        <w:rPr>
          <w:rFonts w:cs="Times New Roman"/>
        </w:rPr>
        <w:t xml:space="preserve">switchgrass. </w:t>
      </w:r>
      <w:r>
        <w:rPr>
          <w:rFonts w:cs="Times New Roman"/>
        </w:rPr>
        <w:t>In 2010 and 2012, n</w:t>
      </w:r>
      <w:r w:rsidRPr="00E51637">
        <w:rPr>
          <w:rFonts w:cs="Times New Roman"/>
        </w:rPr>
        <w:t xml:space="preserve">aturally infected leaves from field-grown </w:t>
      </w:r>
      <w:r w:rsidR="00B96220">
        <w:rPr>
          <w:rFonts w:cs="Times New Roman"/>
        </w:rPr>
        <w:t>‘</w:t>
      </w:r>
      <w:r w:rsidRPr="00E51637">
        <w:rPr>
          <w:rFonts w:cs="Times New Roman"/>
        </w:rPr>
        <w:t>Alamo</w:t>
      </w:r>
      <w:r w:rsidR="00B96220">
        <w:rPr>
          <w:rFonts w:cs="Times New Roman"/>
        </w:rPr>
        <w:t>’</w:t>
      </w:r>
      <w:r w:rsidRPr="00E51637">
        <w:rPr>
          <w:rFonts w:cs="Times New Roman"/>
        </w:rPr>
        <w:t xml:space="preserve"> and </w:t>
      </w:r>
      <w:r w:rsidR="00B96220">
        <w:rPr>
          <w:rFonts w:cs="Times New Roman"/>
        </w:rPr>
        <w:t>‘</w:t>
      </w:r>
      <w:r w:rsidRPr="00E51637">
        <w:rPr>
          <w:rFonts w:cs="Times New Roman"/>
        </w:rPr>
        <w:t>Kanlow</w:t>
      </w:r>
      <w:r w:rsidR="00B96220">
        <w:rPr>
          <w:rFonts w:cs="Times New Roman"/>
        </w:rPr>
        <w:t>’</w:t>
      </w:r>
      <w:r w:rsidRPr="00E51637">
        <w:rPr>
          <w:rFonts w:cs="Times New Roman"/>
        </w:rPr>
        <w:t xml:space="preserve"> in Knoxville, TN</w:t>
      </w:r>
      <w:r>
        <w:rPr>
          <w:rFonts w:cs="Times New Roman"/>
        </w:rPr>
        <w:t xml:space="preserve"> (2010, 2012) and Crossville, TN (2012)</w:t>
      </w:r>
      <w:r w:rsidRPr="00E51637">
        <w:rPr>
          <w:rFonts w:cs="Times New Roman"/>
        </w:rPr>
        <w:t xml:space="preserve"> were </w:t>
      </w:r>
      <w:r>
        <w:rPr>
          <w:rFonts w:cs="Times New Roman"/>
        </w:rPr>
        <w:t>visually categorized as low, medium, or high</w:t>
      </w:r>
      <w:r w:rsidRPr="00E51637">
        <w:rPr>
          <w:rFonts w:cs="Times New Roman"/>
        </w:rPr>
        <w:t xml:space="preserve"> disease based on degree of chlorosis, necrosis, and sporulation. </w:t>
      </w:r>
      <w:r w:rsidR="009C1A48">
        <w:rPr>
          <w:rFonts w:cs="Times New Roman"/>
        </w:rPr>
        <w:t xml:space="preserve">Rust </w:t>
      </w:r>
      <w:r w:rsidRPr="00E51637">
        <w:rPr>
          <w:rFonts w:cs="Times New Roman"/>
        </w:rPr>
        <w:t xml:space="preserve">was isolated from </w:t>
      </w:r>
      <w:r>
        <w:rPr>
          <w:rFonts w:cs="Times New Roman"/>
        </w:rPr>
        <w:t>each disease range</w:t>
      </w:r>
      <w:r w:rsidRPr="00E51637">
        <w:rPr>
          <w:rFonts w:cs="Times New Roman"/>
        </w:rPr>
        <w:t xml:space="preserve"> to confirm infection.</w:t>
      </w:r>
      <w:r>
        <w:rPr>
          <w:rFonts w:cs="Times New Roman"/>
        </w:rPr>
        <w:t xml:space="preserve"> Samples from 2010 were acid/heat pretreated and</w:t>
      </w:r>
      <w:r w:rsidRPr="00E51637">
        <w:rPr>
          <w:rFonts w:cs="Times New Roman"/>
        </w:rPr>
        <w:t xml:space="preserve"> subjected to </w:t>
      </w:r>
      <w:r>
        <w:rPr>
          <w:rFonts w:cs="Times New Roman"/>
        </w:rPr>
        <w:t xml:space="preserve">two runs of </w:t>
      </w:r>
      <w:r w:rsidRPr="00E51637">
        <w:rPr>
          <w:rFonts w:cs="Times New Roman"/>
        </w:rPr>
        <w:t xml:space="preserve">simultaneous saccharification and fermentation with </w:t>
      </w:r>
      <w:r w:rsidRPr="00E51637">
        <w:rPr>
          <w:rFonts w:cs="Times New Roman"/>
          <w:i/>
          <w:iCs/>
        </w:rPr>
        <w:t>Saccharomyces</w:t>
      </w:r>
      <w:r w:rsidRPr="00E51637">
        <w:rPr>
          <w:rFonts w:cs="Times New Roman"/>
        </w:rPr>
        <w:t xml:space="preserve"> </w:t>
      </w:r>
      <w:r w:rsidRPr="00E51637">
        <w:rPr>
          <w:rFonts w:cs="Times New Roman"/>
          <w:i/>
          <w:iCs/>
        </w:rPr>
        <w:t xml:space="preserve">cerevisiae </w:t>
      </w:r>
      <w:r w:rsidRPr="00E51637">
        <w:rPr>
          <w:rFonts w:cs="Times New Roman"/>
        </w:rPr>
        <w:t>D</w:t>
      </w:r>
      <w:r w:rsidRPr="00E51637">
        <w:rPr>
          <w:rFonts w:cs="Times New Roman"/>
          <w:vertAlign w:val="subscript"/>
        </w:rPr>
        <w:t>5</w:t>
      </w:r>
      <w:r>
        <w:rPr>
          <w:rFonts w:cs="Times New Roman"/>
        </w:rPr>
        <w:t xml:space="preserve">A (SSF) to measure ethanol yield. NIRS was used to estimate </w:t>
      </w:r>
      <w:r w:rsidR="0095454C">
        <w:rPr>
          <w:rFonts w:cs="Times New Roman"/>
        </w:rPr>
        <w:t>predicted ethanol yield</w:t>
      </w:r>
      <w:r>
        <w:rPr>
          <w:rFonts w:cs="Times New Roman"/>
        </w:rPr>
        <w:t xml:space="preserve"> for 2012 samples. SSF and NIRS data were analyzed se</w:t>
      </w:r>
      <w:r w:rsidR="00A26E98">
        <w:rPr>
          <w:rFonts w:cs="Times New Roman"/>
        </w:rPr>
        <w:t>parately using ANOVA in SAS</w:t>
      </w:r>
      <w:r>
        <w:rPr>
          <w:rFonts w:cs="Times New Roman"/>
        </w:rPr>
        <w:t>. Disease level was significant for both models (SSF: p</w:t>
      </w:r>
      <w:r w:rsidR="000C5370">
        <w:rPr>
          <w:rFonts w:cs="Times New Roman"/>
        </w:rPr>
        <w:t xml:space="preserve"> </w:t>
      </w:r>
      <w:r>
        <w:rPr>
          <w:rFonts w:cs="Times New Roman"/>
        </w:rPr>
        <w:t>=</w:t>
      </w:r>
      <w:r w:rsidR="000C5370">
        <w:rPr>
          <w:rFonts w:cs="Times New Roman"/>
        </w:rPr>
        <w:t xml:space="preserve"> </w:t>
      </w:r>
      <w:r>
        <w:rPr>
          <w:rFonts w:cs="Times New Roman"/>
        </w:rPr>
        <w:t>0.005, NIRS: p</w:t>
      </w:r>
      <w:r w:rsidR="000C5370">
        <w:rPr>
          <w:rFonts w:cs="Times New Roman"/>
        </w:rPr>
        <w:t xml:space="preserve"> </w:t>
      </w:r>
      <w:r>
        <w:rPr>
          <w:rFonts w:cs="Times New Roman"/>
        </w:rPr>
        <w:t>=</w:t>
      </w:r>
      <w:r w:rsidR="000C5370">
        <w:rPr>
          <w:rFonts w:cs="Times New Roman"/>
        </w:rPr>
        <w:t xml:space="preserve"> </w:t>
      </w:r>
      <w:r>
        <w:rPr>
          <w:rFonts w:cs="Times New Roman"/>
        </w:rPr>
        <w:t xml:space="preserve">0.0002). Compared to low disease, SSF samples showed reductions in ethanol of 34% for medium disease and 52% for high disease while NIRS samples showed smaller reductions of 10% for medium disease and 21% for high disease. Results indicate switchgrass </w:t>
      </w:r>
      <w:r w:rsidR="009C1A48">
        <w:rPr>
          <w:rFonts w:cs="Times New Roman"/>
        </w:rPr>
        <w:t xml:space="preserve">rust </w:t>
      </w:r>
      <w:r>
        <w:rPr>
          <w:rFonts w:cs="Times New Roman"/>
        </w:rPr>
        <w:t xml:space="preserve">will likely negatively impact </w:t>
      </w:r>
      <w:r w:rsidR="0095454C">
        <w:rPr>
          <w:rFonts w:cs="Times New Roman"/>
        </w:rPr>
        <w:t xml:space="preserve">ethanol </w:t>
      </w:r>
      <w:r w:rsidR="000C5370">
        <w:rPr>
          <w:rFonts w:cs="Times New Roman"/>
        </w:rPr>
        <w:t>yield</w:t>
      </w:r>
      <w:r>
        <w:rPr>
          <w:rFonts w:cs="Times New Roman"/>
        </w:rPr>
        <w:t xml:space="preserve"> in switchgrass grown as a biofuel crop</w:t>
      </w:r>
      <w:r w:rsidR="00954DB7">
        <w:rPr>
          <w:rFonts w:cs="Times New Roman"/>
        </w:rPr>
        <w:t xml:space="preserve">. </w:t>
      </w:r>
      <w:r>
        <w:rPr>
          <w:rFonts w:cs="Times New Roman"/>
        </w:rPr>
        <w:t xml:space="preserve"> </w:t>
      </w:r>
    </w:p>
    <w:p w14:paraId="7085C24D" w14:textId="77777777" w:rsidR="00686D2D" w:rsidRPr="000E7D9F" w:rsidRDefault="00686D2D" w:rsidP="00686D2D">
      <w:pPr>
        <w:rPr>
          <w:rFonts w:cs="Times New Roman"/>
        </w:rPr>
      </w:pPr>
    </w:p>
    <w:p w14:paraId="567BF231" w14:textId="77777777" w:rsidR="00686D2D" w:rsidRDefault="00686D2D" w:rsidP="00686D2D">
      <w:pPr>
        <w:rPr>
          <w:rFonts w:cs="Times New Roman"/>
        </w:rPr>
      </w:pPr>
    </w:p>
    <w:p w14:paraId="6C072321" w14:textId="77777777" w:rsidR="00686D2D" w:rsidRDefault="00686D2D" w:rsidP="00686D2D">
      <w:pPr>
        <w:rPr>
          <w:rFonts w:cs="Times New Roman"/>
        </w:rPr>
      </w:pPr>
      <w:r>
        <w:rPr>
          <w:rFonts w:cs="Times New Roman"/>
        </w:rPr>
        <w:br w:type="page"/>
      </w:r>
    </w:p>
    <w:p w14:paraId="68DBA751" w14:textId="77777777" w:rsidR="00686D2D" w:rsidRDefault="00686D2D" w:rsidP="009B24A0">
      <w:pPr>
        <w:pStyle w:val="Heading2"/>
      </w:pPr>
      <w:bookmarkStart w:id="27" w:name="_Toc404069820"/>
      <w:r>
        <w:lastRenderedPageBreak/>
        <w:t>Introduction</w:t>
      </w:r>
      <w:bookmarkEnd w:id="27"/>
    </w:p>
    <w:p w14:paraId="4DAEB1DB" w14:textId="31545F06" w:rsidR="00686D2D" w:rsidRPr="000E7D9F" w:rsidRDefault="00686D2D" w:rsidP="00686D2D">
      <w:pPr>
        <w:ind w:firstLine="720"/>
        <w:rPr>
          <w:rFonts w:cs="Times New Roman"/>
        </w:rPr>
      </w:pPr>
      <w:r w:rsidRPr="000E7D9F">
        <w:rPr>
          <w:rFonts w:cs="Times New Roman"/>
        </w:rPr>
        <w:t>Switchgrass is a high yielding, perennial grass, native to N</w:t>
      </w:r>
      <w:r>
        <w:rPr>
          <w:rFonts w:cs="Times New Roman"/>
        </w:rPr>
        <w:t xml:space="preserve">orth America that has received </w:t>
      </w:r>
      <w:r w:rsidRPr="000E7D9F">
        <w:rPr>
          <w:rFonts w:cs="Times New Roman"/>
        </w:rPr>
        <w:t>increas</w:t>
      </w:r>
      <w:r>
        <w:rPr>
          <w:rFonts w:cs="Times New Roman"/>
        </w:rPr>
        <w:t>ed</w:t>
      </w:r>
      <w:r w:rsidRPr="000E7D9F">
        <w:rPr>
          <w:rFonts w:cs="Times New Roman"/>
        </w:rPr>
        <w:t xml:space="preserve"> interest for its potential as a bioenergy crop. Switchgrass was chosen as an ideal herbaceous energy crop, in part, for its production ability under management systems with limited inputs </w:t>
      </w:r>
      <w:r w:rsidR="00301182">
        <w:rPr>
          <w:rFonts w:cs="Times New Roman"/>
        </w:rPr>
        <w:fldChar w:fldCharType="begin"/>
      </w:r>
      <w:r>
        <w:rPr>
          <w:rFonts w:cs="Times New Roman"/>
        </w:rPr>
        <w:instrText xml:space="preserve"> ADDIN EN.CITE &lt;EndNote&gt;&lt;Cite&gt;&lt;Author&gt;McLaughlin&lt;/Author&gt;&lt;Year&gt;2005&lt;/Year&gt;&lt;RecNum&gt;245&lt;/RecNum&gt;&lt;DisplayText&gt;(McLaughlin and Kszos, 2005)&lt;/DisplayText&gt;&lt;record&gt;&lt;rec-number&gt;245&lt;/rec-number&gt;&lt;foreign-keys&gt;&lt;key app="EN" db-id="9zfxt259rawwvce0pfa5efeuatdw0pz5va5z" timestamp="1323887730"&gt;245&lt;/key&gt;&lt;/foreign-keys&gt;&lt;ref-type name="Journal Article"&gt;17&lt;/ref-type&gt;&lt;contributors&gt;&lt;authors&gt;&lt;author&gt;McLaughlin, S.B.&lt;/author&gt;&lt;author&gt;Kszos, L.A.&lt;/author&gt;&lt;/authors&gt;&lt;/contributors&gt;&lt;titles&gt;&lt;title&gt;&lt;style face="normal" font="default" size="100%"&gt;Development of switchgrass (&lt;/style&gt;&lt;style face="italic" font="default" size="100%"&gt;Panicum virgatum&lt;/style&gt;&lt;style face="normal" font="default" size="100%"&gt;) as a bioenergy feedstock in the United States&lt;/style&gt;&lt;/title&gt;&lt;secondary-title&gt;Biomass and Bioenergy&lt;/secondary-title&gt;&lt;/titles&gt;&lt;periodical&gt;&lt;full-title&gt;Biomass and Bioenergy&lt;/full-title&gt;&lt;/periodical&gt;&lt;pages&gt;515-535&lt;/pages&gt;&lt;volume&gt;28&lt;/volume&gt;&lt;dates&gt;&lt;year&gt;2005&lt;/year&gt;&lt;/dates&gt;&lt;urls&gt;&lt;/urls&gt;&lt;/record&gt;&lt;/Cite&gt;&lt;/EndNote&gt;</w:instrText>
      </w:r>
      <w:r w:rsidR="00301182">
        <w:rPr>
          <w:rFonts w:cs="Times New Roman"/>
        </w:rPr>
        <w:fldChar w:fldCharType="separate"/>
      </w:r>
      <w:r>
        <w:rPr>
          <w:rFonts w:cs="Times New Roman"/>
          <w:noProof/>
        </w:rPr>
        <w:t>(</w:t>
      </w:r>
      <w:hyperlink w:anchor="_ENREF_69" w:tooltip="McLaughlin, 2005 #245" w:history="1">
        <w:r w:rsidR="00FB5014">
          <w:rPr>
            <w:rFonts w:cs="Times New Roman"/>
            <w:noProof/>
          </w:rPr>
          <w:t>McLaughlin and Kszos, 2005</w:t>
        </w:r>
      </w:hyperlink>
      <w:r>
        <w:rPr>
          <w:rFonts w:cs="Times New Roman"/>
          <w:noProof/>
        </w:rPr>
        <w:t>)</w:t>
      </w:r>
      <w:r w:rsidR="00301182">
        <w:rPr>
          <w:rFonts w:cs="Times New Roman"/>
        </w:rPr>
        <w:fldChar w:fldCharType="end"/>
      </w:r>
      <w:r w:rsidR="00954DB7">
        <w:rPr>
          <w:rFonts w:cs="Times New Roman"/>
        </w:rPr>
        <w:t xml:space="preserve">. </w:t>
      </w:r>
      <w:r w:rsidRPr="000E7D9F">
        <w:rPr>
          <w:rFonts w:cs="Times New Roman"/>
        </w:rPr>
        <w:t xml:space="preserve">While few reports of switchgrass disease exist prior to the advent of its use as a biofuel crop, concern over potentially significant disease problems resulting from increased acreage and production in monoculture have led to further examination of switchgrass pathogen susceptibility and the impact of that susceptibility on </w:t>
      </w:r>
      <w:r>
        <w:rPr>
          <w:rFonts w:cs="Times New Roman"/>
        </w:rPr>
        <w:t xml:space="preserve">biomass </w:t>
      </w:r>
      <w:r w:rsidRPr="000E7D9F">
        <w:rPr>
          <w:rFonts w:cs="Times New Roman"/>
        </w:rPr>
        <w:t>yield</w:t>
      </w:r>
      <w:r>
        <w:rPr>
          <w:rFonts w:cs="Times New Roman"/>
        </w:rPr>
        <w:t xml:space="preserve"> and </w:t>
      </w:r>
      <w:r w:rsidR="0095454C">
        <w:rPr>
          <w:rFonts w:cs="Times New Roman"/>
        </w:rPr>
        <w:t>predicted ethanol yield</w:t>
      </w:r>
      <w:r w:rsidRPr="000E7D9F">
        <w:rPr>
          <w:rFonts w:cs="Times New Roman"/>
        </w:rPr>
        <w:t>.</w:t>
      </w:r>
    </w:p>
    <w:p w14:paraId="41E9F9D2" w14:textId="6535F2CB" w:rsidR="00686D2D" w:rsidRPr="000E7D9F" w:rsidRDefault="00686D2D" w:rsidP="00686D2D">
      <w:pPr>
        <w:ind w:firstLine="720"/>
        <w:rPr>
          <w:rFonts w:cs="Times New Roman"/>
        </w:rPr>
      </w:pPr>
      <w:r w:rsidRPr="000E7D9F">
        <w:rPr>
          <w:rFonts w:cs="Times New Roman"/>
        </w:rPr>
        <w:t xml:space="preserve">Over forty-two fungal species have been identified as occurring on switchgrass </w:t>
      </w:r>
      <w:r w:rsidR="00301182">
        <w:rPr>
          <w:rFonts w:cs="Times New Roman"/>
        </w:rPr>
        <w:fldChar w:fldCharType="begin"/>
      </w:r>
      <w:r>
        <w:rPr>
          <w:rFonts w:cs="Times New Roman"/>
        </w:rPr>
        <w:instrText xml:space="preserve"> ADDIN EN.CITE &lt;EndNote&gt;&lt;Cite&gt;&lt;Author&gt;Gravert&lt;/Author&gt;&lt;Year&gt;2002&lt;/Year&gt;&lt;RecNum&gt;207&lt;/RecNum&gt;&lt;DisplayText&gt;(Gravert and Munkvold, 2002)&lt;/DisplayText&gt;&lt;record&gt;&lt;rec-number&gt;207&lt;/rec-number&gt;&lt;foreign-keys&gt;&lt;key app="EN" db-id="9zfxt259rawwvce0pfa5efeuatdw0pz5va5z" timestamp="1318345754"&gt;207&lt;/key&gt;&lt;/foreign-keys&gt;&lt;ref-type name="Journal Article"&gt;17&lt;/ref-type&gt;&lt;contributors&gt;&lt;authors&gt;&lt;author&gt;Gravert, C.E.&lt;/author&gt;&lt;author&gt;Munkvold, G.P.&lt;/author&gt;&lt;/authors&gt;&lt;/contributors&gt;&lt;titles&gt;&lt;title&gt;Fungi and diseases associated with cultivated switchgrass in Iowa&lt;/title&gt;&lt;secondary-title&gt;J. Iowa Acad. Sci.&lt;/secondary-title&gt;&lt;/titles&gt;&lt;periodical&gt;&lt;full-title&gt;J. Iowa Acad. Sci.&lt;/full-title&gt;&lt;/periodical&gt;&lt;pages&gt;30-34&lt;/pages&gt;&lt;volume&gt;109&lt;/volume&gt;&lt;number&gt;1,2&lt;/number&gt;&lt;dates&gt;&lt;year&gt;2002&lt;/year&gt;&lt;/dates&gt;&lt;urls&gt;&lt;/urls&gt;&lt;/record&gt;&lt;/Cite&gt;&lt;/EndNote&gt;</w:instrText>
      </w:r>
      <w:r w:rsidR="00301182">
        <w:rPr>
          <w:rFonts w:cs="Times New Roman"/>
        </w:rPr>
        <w:fldChar w:fldCharType="separate"/>
      </w:r>
      <w:r>
        <w:rPr>
          <w:rFonts w:cs="Times New Roman"/>
          <w:noProof/>
        </w:rPr>
        <w:t>(</w:t>
      </w:r>
      <w:hyperlink w:anchor="_ENREF_38" w:tooltip="Gravert, 2002 #207" w:history="1">
        <w:r w:rsidR="00FB5014">
          <w:rPr>
            <w:rFonts w:cs="Times New Roman"/>
            <w:noProof/>
          </w:rPr>
          <w:t>Gravert and Munkvold, 2002</w:t>
        </w:r>
      </w:hyperlink>
      <w:r>
        <w:rPr>
          <w:rFonts w:cs="Times New Roman"/>
          <w:noProof/>
        </w:rPr>
        <w:t>)</w:t>
      </w:r>
      <w:r w:rsidR="00301182">
        <w:rPr>
          <w:rFonts w:cs="Times New Roman"/>
        </w:rPr>
        <w:fldChar w:fldCharType="end"/>
      </w:r>
      <w:r>
        <w:rPr>
          <w:rFonts w:cs="Times New Roman"/>
        </w:rPr>
        <w:t>.</w:t>
      </w:r>
      <w:r w:rsidRPr="000E7D9F">
        <w:rPr>
          <w:rFonts w:cs="Times New Roman"/>
        </w:rPr>
        <w:t xml:space="preserve"> However, most report</w:t>
      </w:r>
      <w:r>
        <w:rPr>
          <w:rFonts w:cs="Times New Roman"/>
        </w:rPr>
        <w:t xml:space="preserve">s of switchgrass disease are reports of </w:t>
      </w:r>
      <w:r w:rsidRPr="000E7D9F">
        <w:rPr>
          <w:rFonts w:cs="Times New Roman"/>
        </w:rPr>
        <w:t>incidence</w:t>
      </w:r>
      <w:r>
        <w:rPr>
          <w:rFonts w:cs="Times New Roman"/>
        </w:rPr>
        <w:t xml:space="preserve"> alone</w:t>
      </w:r>
      <w:r w:rsidRPr="000E7D9F">
        <w:rPr>
          <w:rFonts w:cs="Times New Roman"/>
        </w:rPr>
        <w:t xml:space="preserve"> with limited information on economic impact</w:t>
      </w:r>
      <w:r w:rsidR="00954DB7">
        <w:rPr>
          <w:rFonts w:cs="Times New Roman"/>
        </w:rPr>
        <w:t xml:space="preserve">. </w:t>
      </w:r>
      <w:r w:rsidR="009C1A48">
        <w:rPr>
          <w:rFonts w:cs="Times New Roman"/>
        </w:rPr>
        <w:t xml:space="preserve">Rust </w:t>
      </w:r>
      <w:r w:rsidRPr="000E7D9F">
        <w:rPr>
          <w:rFonts w:cs="Times New Roman"/>
        </w:rPr>
        <w:t>is one of the most frequ</w:t>
      </w:r>
      <w:r w:rsidR="00B96220">
        <w:rPr>
          <w:rFonts w:cs="Times New Roman"/>
        </w:rPr>
        <w:t>ently cited switchgrass disease</w:t>
      </w:r>
      <w:r w:rsidRPr="000E7D9F">
        <w:rPr>
          <w:rFonts w:cs="Times New Roman"/>
        </w:rPr>
        <w:t xml:space="preserve"> in terms of prevalence. A number of causal agents have been identified for switchgrass </w:t>
      </w:r>
      <w:r w:rsidR="009C1A48">
        <w:rPr>
          <w:rFonts w:cs="Times New Roman"/>
        </w:rPr>
        <w:t>rust</w:t>
      </w:r>
      <w:r w:rsidRPr="000E7D9F">
        <w:rPr>
          <w:rFonts w:cs="Times New Roman"/>
        </w:rPr>
        <w:t xml:space="preserve">, including </w:t>
      </w:r>
      <w:r w:rsidRPr="00EA270E">
        <w:rPr>
          <w:rFonts w:cs="Times New Roman"/>
          <w:i/>
        </w:rPr>
        <w:t>Puccinia emaculata</w:t>
      </w:r>
      <w:r w:rsidRPr="000E7D9F">
        <w:rPr>
          <w:rFonts w:cs="Times New Roman"/>
        </w:rPr>
        <w:t xml:space="preserve"> Schwein </w:t>
      </w:r>
      <w:r w:rsidR="00301182">
        <w:rPr>
          <w:rFonts w:cs="Times New Roman"/>
        </w:rPr>
        <w:fldChar w:fldCharType="begin">
          <w:fldData xml:space="preserve">PEVuZE5vdGU+PENpdGU+PEF1dGhvcj5aYWxlPC9BdXRob3I+PFllYXI+MjAwODwvWWVhcj48UmVj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</w:fldData>
        </w:fldChar>
      </w:r>
      <w:r w:rsidR="00E20B7A">
        <w:rPr>
          <w:rFonts w:cs="Times New Roman"/>
        </w:rPr>
        <w:instrText xml:space="preserve"> ADDIN EN.CITE </w:instrText>
      </w:r>
      <w:r w:rsidR="00E20B7A">
        <w:rPr>
          <w:rFonts w:cs="Times New Roman"/>
        </w:rPr>
        <w:fldChar w:fldCharType="begin">
          <w:fldData xml:space="preserve">PEVuZE5vdGU+PENpdGU+PEF1dGhvcj5aYWxlPC9BdXRob3I+PFllYXI+MjAwODwvWWVhcj48UmVj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</w:fldData>
        </w:fldChar>
      </w:r>
      <w:r w:rsidR="00E20B7A">
        <w:rPr>
          <w:rFonts w:cs="Times New Roman"/>
        </w:rPr>
        <w:instrText xml:space="preserve"> ADDIN EN.CITE.DATA </w:instrText>
      </w:r>
      <w:r w:rsidR="00E20B7A">
        <w:rPr>
          <w:rFonts w:cs="Times New Roman"/>
        </w:rPr>
      </w:r>
      <w:r w:rsidR="00E20B7A">
        <w:rPr>
          <w:rFonts w:cs="Times New Roman"/>
        </w:rPr>
        <w:fldChar w:fldCharType="end"/>
      </w:r>
      <w:r w:rsidR="00301182">
        <w:rPr>
          <w:rFonts w:cs="Times New Roman"/>
        </w:rPr>
      </w:r>
      <w:r w:rsidR="00301182">
        <w:rPr>
          <w:rFonts w:cs="Times New Roman"/>
        </w:rPr>
        <w:fldChar w:fldCharType="separate"/>
      </w:r>
      <w:r w:rsidR="00B7572A">
        <w:rPr>
          <w:rFonts w:cs="Times New Roman"/>
          <w:noProof/>
        </w:rPr>
        <w:t>(</w:t>
      </w:r>
      <w:hyperlink w:anchor="_ENREF_26" w:tooltip="Cornelius, 1941 #217" w:history="1">
        <w:r w:rsidR="00FB5014">
          <w:rPr>
            <w:rFonts w:cs="Times New Roman"/>
            <w:noProof/>
          </w:rPr>
          <w:t>Cornelius and Johnston, 1941</w:t>
        </w:r>
      </w:hyperlink>
      <w:r w:rsidR="00B7572A">
        <w:rPr>
          <w:rFonts w:cs="Times New Roman"/>
          <w:noProof/>
        </w:rPr>
        <w:t xml:space="preserve">; </w:t>
      </w:r>
      <w:hyperlink w:anchor="_ENREF_38" w:tooltip="Gravert, 2002 #207" w:history="1">
        <w:r w:rsidR="00FB5014">
          <w:rPr>
            <w:rFonts w:cs="Times New Roman"/>
            <w:noProof/>
          </w:rPr>
          <w:t>Gravert and Munkvold, 2002</w:t>
        </w:r>
      </w:hyperlink>
      <w:r w:rsidR="00B7572A">
        <w:rPr>
          <w:rFonts w:cs="Times New Roman"/>
          <w:noProof/>
        </w:rPr>
        <w:t xml:space="preserve">; </w:t>
      </w:r>
      <w:hyperlink w:anchor="_ENREF_49" w:tooltip="Hopkins, 1995 #264" w:history="1">
        <w:r w:rsidR="00FB5014">
          <w:rPr>
            <w:rFonts w:cs="Times New Roman"/>
            <w:noProof/>
          </w:rPr>
          <w:t>Hopkins et al., 1995</w:t>
        </w:r>
      </w:hyperlink>
      <w:r w:rsidR="00B7572A">
        <w:rPr>
          <w:rFonts w:cs="Times New Roman"/>
          <w:noProof/>
        </w:rPr>
        <w:t xml:space="preserve">; </w:t>
      </w:r>
      <w:hyperlink w:anchor="_ENREF_107" w:tooltip="Zale, 2008 #265" w:history="1">
        <w:r w:rsidR="00FB5014">
          <w:rPr>
            <w:rFonts w:cs="Times New Roman"/>
            <w:noProof/>
          </w:rPr>
          <w:t>Zale et al., 2008</w:t>
        </w:r>
      </w:hyperlink>
      <w:r w:rsidR="00B7572A">
        <w:rPr>
          <w:rFonts w:cs="Times New Roman"/>
          <w:noProof/>
        </w:rPr>
        <w:t>)</w:t>
      </w:r>
      <w:r w:rsidR="00301182">
        <w:rPr>
          <w:rFonts w:cs="Times New Roman"/>
        </w:rPr>
        <w:fldChar w:fldCharType="end"/>
      </w:r>
      <w:r>
        <w:rPr>
          <w:rFonts w:cs="Times New Roman"/>
        </w:rPr>
        <w:t xml:space="preserve">, </w:t>
      </w:r>
      <w:r w:rsidRPr="00EA270E">
        <w:rPr>
          <w:rFonts w:cs="Times New Roman"/>
          <w:i/>
        </w:rPr>
        <w:t>P. virgata</w:t>
      </w:r>
      <w:r w:rsidRPr="000E7D9F">
        <w:rPr>
          <w:rFonts w:cs="Times New Roman"/>
        </w:rPr>
        <w:t xml:space="preserve"> Ellis &amp; Everh., </w:t>
      </w:r>
      <w:r w:rsidRPr="00EA270E">
        <w:rPr>
          <w:rFonts w:cs="Times New Roman"/>
          <w:i/>
        </w:rPr>
        <w:t>P. graminis</w:t>
      </w:r>
      <w:r w:rsidRPr="000E7D9F">
        <w:rPr>
          <w:rFonts w:cs="Times New Roman"/>
        </w:rPr>
        <w:t xml:space="preserve"> Pers:Pers </w:t>
      </w:r>
      <w:r w:rsidR="00301182">
        <w:rPr>
          <w:rFonts w:cs="Times New Roman"/>
        </w:rPr>
        <w:fldChar w:fldCharType="begin">
          <w:fldData xml:space="preserve">PEVuZE5vdGU+PENpdGU+PEF1dGhvcj5GYXJyPC9BdXRob3I+PFllYXI+MTk5NTwvWWVhcj48UmVj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</w:fldData>
        </w:fldChar>
      </w:r>
      <w:r w:rsidR="00E20B7A">
        <w:rPr>
          <w:rFonts w:cs="Times New Roman"/>
        </w:rPr>
        <w:instrText xml:space="preserve"> ADDIN EN.CITE </w:instrText>
      </w:r>
      <w:r w:rsidR="00E20B7A">
        <w:rPr>
          <w:rFonts w:cs="Times New Roman"/>
        </w:rPr>
        <w:fldChar w:fldCharType="begin">
          <w:fldData xml:space="preserve">PEVuZE5vdGU+PENpdGU+PEF1dGhvcj5GYXJyPC9BdXRob3I+PFllYXI+MTk5NTwvWWVhcj48UmVj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</w:fldData>
        </w:fldChar>
      </w:r>
      <w:r w:rsidR="00E20B7A">
        <w:rPr>
          <w:rFonts w:cs="Times New Roman"/>
        </w:rPr>
        <w:instrText xml:space="preserve"> ADDIN EN.CITE.DATA </w:instrText>
      </w:r>
      <w:r w:rsidR="00E20B7A">
        <w:rPr>
          <w:rFonts w:cs="Times New Roman"/>
        </w:rPr>
      </w:r>
      <w:r w:rsidR="00E20B7A">
        <w:rPr>
          <w:rFonts w:cs="Times New Roman"/>
        </w:rPr>
        <w:fldChar w:fldCharType="end"/>
      </w:r>
      <w:r w:rsidR="00301182">
        <w:rPr>
          <w:rFonts w:cs="Times New Roman"/>
        </w:rPr>
      </w:r>
      <w:r w:rsidR="00301182">
        <w:rPr>
          <w:rFonts w:cs="Times New Roman"/>
        </w:rPr>
        <w:fldChar w:fldCharType="separate"/>
      </w:r>
      <w:r w:rsidR="00B7572A">
        <w:rPr>
          <w:rFonts w:cs="Times New Roman"/>
          <w:noProof/>
        </w:rPr>
        <w:t>(</w:t>
      </w:r>
      <w:hyperlink w:anchor="_ENREF_28" w:tooltip="Cummins, 1971 #278" w:history="1">
        <w:r w:rsidR="00FB5014">
          <w:rPr>
            <w:rFonts w:cs="Times New Roman"/>
            <w:noProof/>
          </w:rPr>
          <w:t>Cummins, 1971</w:t>
        </w:r>
      </w:hyperlink>
      <w:r w:rsidR="00B7572A">
        <w:rPr>
          <w:rFonts w:cs="Times New Roman"/>
          <w:noProof/>
        </w:rPr>
        <w:t xml:space="preserve">; </w:t>
      </w:r>
      <w:hyperlink w:anchor="_ENREF_34" w:tooltip="Farr, 1995 #211" w:history="1">
        <w:r w:rsidR="00FB5014">
          <w:rPr>
            <w:rFonts w:cs="Times New Roman"/>
            <w:noProof/>
          </w:rPr>
          <w:t>Farr et al., 1995</w:t>
        </w:r>
      </w:hyperlink>
      <w:r w:rsidR="00B7572A">
        <w:rPr>
          <w:rFonts w:cs="Times New Roman"/>
          <w:noProof/>
        </w:rPr>
        <w:t xml:space="preserve">; </w:t>
      </w:r>
      <w:hyperlink w:anchor="_ENREF_37" w:tooltip="Gilman, 1929 #277" w:history="1">
        <w:r w:rsidR="00FB5014">
          <w:rPr>
            <w:rFonts w:cs="Times New Roman"/>
            <w:noProof/>
          </w:rPr>
          <w:t>Gilman and Archer, 1929</w:t>
        </w:r>
      </w:hyperlink>
      <w:r w:rsidR="00B7572A">
        <w:rPr>
          <w:rFonts w:cs="Times New Roman"/>
          <w:noProof/>
        </w:rPr>
        <w:t xml:space="preserve">; </w:t>
      </w:r>
      <w:hyperlink w:anchor="_ENREF_95" w:tooltip="Tiffany, 1985 #276" w:history="1">
        <w:r w:rsidR="00FB5014">
          <w:rPr>
            <w:rFonts w:cs="Times New Roman"/>
            <w:noProof/>
          </w:rPr>
          <w:t>Tiffany and Knaphus, 1985</w:t>
        </w:r>
      </w:hyperlink>
      <w:r w:rsidR="00B7572A">
        <w:rPr>
          <w:rFonts w:cs="Times New Roman"/>
          <w:noProof/>
        </w:rPr>
        <w:t>)</w:t>
      </w:r>
      <w:r w:rsidR="00301182">
        <w:rPr>
          <w:rFonts w:cs="Times New Roman"/>
        </w:rPr>
        <w:fldChar w:fldCharType="end"/>
      </w:r>
      <w:r w:rsidRPr="000E7D9F">
        <w:rPr>
          <w:rFonts w:cs="Times New Roman"/>
        </w:rPr>
        <w:t xml:space="preserve">, and </w:t>
      </w:r>
      <w:r w:rsidRPr="00EA270E">
        <w:rPr>
          <w:rFonts w:cs="Times New Roman"/>
          <w:i/>
        </w:rPr>
        <w:t>Uromyces graminicola</w:t>
      </w:r>
      <w:r>
        <w:rPr>
          <w:rFonts w:cs="Times New Roman"/>
        </w:rPr>
        <w:t xml:space="preserve"> </w:t>
      </w:r>
      <w:r w:rsidR="00301182">
        <w:rPr>
          <w:rFonts w:cs="Times New Roman"/>
        </w:rPr>
        <w:fldChar w:fldCharType="begin"/>
      </w:r>
      <w:r>
        <w:rPr>
          <w:rFonts w:cs="Times New Roman"/>
        </w:rPr>
        <w:instrText xml:space="preserve"> ADDIN EN.CITE &lt;EndNote&gt;&lt;Cite&gt;&lt;Author&gt;Cornelius&lt;/Author&gt;&lt;Year&gt;1941&lt;/Year&gt;&lt;RecNum&gt;217&lt;/RecNum&gt;&lt;DisplayText&gt;(Cornelius and Johnston, 1941)&lt;/DisplayText&gt;&lt;record&gt;&lt;rec-number&gt;217&lt;/rec-number&gt;&lt;foreign-keys&gt;&lt;key app="EN" db-id="9zfxt259rawwvce0pfa5efeuatdw0pz5va5z" timestamp="1318348538"&gt;217&lt;/key&gt;&lt;/foreign-keys&gt;&lt;ref-type name="Journal Article"&gt;17&lt;/ref-type&gt;&lt;contributors&gt;&lt;authors&gt;&lt;author&gt;Cornelius, D.R.&lt;/author&gt;&lt;author&gt;Johnston, C.O.&lt;/author&gt;&lt;/authors&gt;&lt;/contributors&gt;&lt;titles&gt;&lt;title&gt;&lt;style face="normal" font="default" size="100%"&gt;Differences in plant type and reaction to rust among several collections of &lt;/style&gt;&lt;style face="italic" font="default" size="100%"&gt;Panicum virgatum&lt;/style&gt;&lt;/title&gt;&lt;secondary-title&gt;Agron. J. &lt;/secondary-title&gt;&lt;/titles&gt;&lt;periodical&gt;&lt;full-title&gt;Agron. J.&lt;/full-title&gt;&lt;/periodical&gt;&lt;pages&gt;115-124&lt;/pages&gt;&lt;volume&gt;33&lt;/volume&gt;&lt;dates&gt;&lt;year&gt;1941&lt;/year&gt;&lt;/dates&gt;&lt;urls&gt;&lt;/urls&gt;&lt;/record&gt;&lt;/Cite&gt;&lt;/EndNote&gt;</w:instrText>
      </w:r>
      <w:r w:rsidR="00301182">
        <w:rPr>
          <w:rFonts w:cs="Times New Roman"/>
        </w:rPr>
        <w:fldChar w:fldCharType="separate"/>
      </w:r>
      <w:r>
        <w:rPr>
          <w:rFonts w:cs="Times New Roman"/>
          <w:noProof/>
        </w:rPr>
        <w:t>(</w:t>
      </w:r>
      <w:hyperlink w:anchor="_ENREF_26" w:tooltip="Cornelius, 1941 #217" w:history="1">
        <w:r w:rsidR="00FB5014">
          <w:rPr>
            <w:rFonts w:cs="Times New Roman"/>
            <w:noProof/>
          </w:rPr>
          <w:t>Cornelius and Johnston, 1941</w:t>
        </w:r>
      </w:hyperlink>
      <w:r>
        <w:rPr>
          <w:rFonts w:cs="Times New Roman"/>
          <w:noProof/>
        </w:rPr>
        <w:t>)</w:t>
      </w:r>
      <w:r w:rsidR="00301182">
        <w:rPr>
          <w:rFonts w:cs="Times New Roman"/>
        </w:rPr>
        <w:fldChar w:fldCharType="end"/>
      </w:r>
      <w:r w:rsidRPr="000E7D9F">
        <w:rPr>
          <w:rFonts w:cs="Times New Roman"/>
        </w:rPr>
        <w:t xml:space="preserve">. The probable motility of this disease with the introduction of increased monoculture production and the high damage observed in </w:t>
      </w:r>
      <w:r w:rsidR="009C1A48">
        <w:rPr>
          <w:rFonts w:cs="Times New Roman"/>
        </w:rPr>
        <w:t>rust</w:t>
      </w:r>
      <w:r w:rsidR="00B7572A">
        <w:rPr>
          <w:rFonts w:cs="Times New Roman"/>
        </w:rPr>
        <w:t>s</w:t>
      </w:r>
      <w:r w:rsidR="009C1A48">
        <w:rPr>
          <w:rFonts w:cs="Times New Roman"/>
        </w:rPr>
        <w:t xml:space="preserve"> </w:t>
      </w:r>
      <w:r w:rsidRPr="000E7D9F">
        <w:rPr>
          <w:rFonts w:cs="Times New Roman"/>
        </w:rPr>
        <w:t xml:space="preserve">associated with other important agronomic crops make this disease a potential economic concern for switchgrass production. </w:t>
      </w:r>
    </w:p>
    <w:p w14:paraId="4821D045" w14:textId="7B4FE1C4" w:rsidR="00686D2D" w:rsidRPr="000E7D9F" w:rsidRDefault="00686D2D" w:rsidP="00686D2D">
      <w:pPr>
        <w:ind w:firstLine="720"/>
        <w:rPr>
          <w:rFonts w:cs="Times New Roman"/>
        </w:rPr>
      </w:pPr>
      <w:r w:rsidRPr="000E7D9F">
        <w:rPr>
          <w:rFonts w:cs="Times New Roman"/>
        </w:rPr>
        <w:t xml:space="preserve">While a pathogenic relationship between </w:t>
      </w:r>
      <w:r w:rsidR="009C1A48">
        <w:rPr>
          <w:rFonts w:cs="Times New Roman"/>
        </w:rPr>
        <w:t xml:space="preserve">rust </w:t>
      </w:r>
      <w:r w:rsidRPr="000E7D9F">
        <w:rPr>
          <w:rFonts w:cs="Times New Roman"/>
        </w:rPr>
        <w:t xml:space="preserve">and switchgrass clearly exists, impact on yield is still somewhat unclear. Weak, but significant, correlations between disease and biomass yield have been reported by </w:t>
      </w:r>
      <w:hyperlink w:anchor="_ENREF_49" w:tooltip="Hopkins, 1995 #264" w:history="1">
        <w:r w:rsidR="00FB5014">
          <w:rPr>
            <w:rFonts w:cs="Times New Roman"/>
          </w:rPr>
          <w:fldChar w:fldCharType="begin"/>
        </w:r>
        <w:r w:rsidR="00FB5014">
          <w:rPr>
            <w:rFonts w:cs="Times New Roman"/>
          </w:rPr>
          <w:instrText xml:space="preserve"> ADDIN EN.CITE &lt;EndNote&gt;&lt;Cite AuthorYear="1"&gt;&lt;Author&gt;Hopkins&lt;/Author&gt;&lt;Year&gt;1995&lt;/Year&gt;&lt;RecNum&gt;264&lt;/RecNum&gt;&lt;DisplayText&gt;Hopkins et al. (1995)&lt;/DisplayText&gt;&lt;record&gt;&lt;rec-number&gt;264&lt;/rec-number&gt;&lt;foreign-keys&gt;&lt;key app="EN" db-id="9zfxt259rawwvce0pfa5efeuatdw0pz5va5z" timestamp="1327076549"&gt;264&lt;/key&gt;&lt;/foreign-keys&gt;&lt;ref-type name="Journal Article"&gt;17&lt;/ref-type&gt;&lt;contributors&gt;&lt;authors&gt;&lt;author&gt;Hopkins, A.A.&lt;/author&gt;&lt;author&gt;Vogel, K.P.&lt;/author&gt;&lt;author&gt;Moore, K.J.&lt;/author&gt;&lt;author&gt;Johnson, K.D.&lt;/author&gt;&lt;author&gt;Carlson, I.T.&lt;/author&gt;&lt;/authors&gt;&lt;/contributors&gt;&lt;titles&gt;&lt;title&gt;Genotypic variability and genotype x environment interactions among switchgrass accessions from the Midwestern USA&lt;/title&gt;&lt;secondary-title&gt;Crop Sci.&lt;/secondary-title&gt;&lt;/titles&gt;&lt;periodical&gt;&lt;full-title&gt;Crop Sci.&lt;/full-title&gt;&lt;/periodical&gt;&lt;pages&gt;565-571&lt;/pages&gt;&lt;volume&gt;35&lt;/volume&gt;&lt;dates&gt;&lt;year&gt;1995&lt;/year&gt;&lt;/dates&gt;&lt;urls&gt;&lt;/urls&gt;&lt;/record&gt;&lt;/Cite&gt;&lt;/EndNote&gt;</w:instrText>
        </w:r>
        <w:r w:rsidR="00FB5014">
          <w:rPr>
            <w:rFonts w:cs="Times New Roman"/>
          </w:rPr>
          <w:fldChar w:fldCharType="separate"/>
        </w:r>
        <w:r w:rsidR="00FB5014">
          <w:rPr>
            <w:rFonts w:cs="Times New Roman"/>
            <w:noProof/>
          </w:rPr>
          <w:t>Hopkins et al. (1995)</w:t>
        </w:r>
        <w:r w:rsidR="00FB5014">
          <w:rPr>
            <w:rFonts w:cs="Times New Roman"/>
          </w:rPr>
          <w:fldChar w:fldCharType="end"/>
        </w:r>
      </w:hyperlink>
      <w:r w:rsidRPr="000E7D9F">
        <w:rPr>
          <w:rFonts w:cs="Times New Roman"/>
        </w:rPr>
        <w:t xml:space="preserve"> in observations of twenty-three switchgrass </w:t>
      </w:r>
      <w:r w:rsidRPr="000E7D9F">
        <w:rPr>
          <w:rFonts w:cs="Times New Roman"/>
        </w:rPr>
        <w:lastRenderedPageBreak/>
        <w:t xml:space="preserve">accessions in NE, IA, and IN (r = -0.12, </w:t>
      </w:r>
      <w:r w:rsidR="00B7572A">
        <w:rPr>
          <w:rFonts w:cs="Times New Roman"/>
        </w:rPr>
        <w:t xml:space="preserve">P </w:t>
      </w:r>
      <w:r w:rsidR="009021A8">
        <w:rPr>
          <w:rFonts w:cs="Times New Roman"/>
        </w:rPr>
        <w:t xml:space="preserve">&lt; </w:t>
      </w:r>
      <w:r w:rsidRPr="000E7D9F">
        <w:rPr>
          <w:rFonts w:cs="Times New Roman"/>
        </w:rPr>
        <w:t>0.05) and by Sykes (unpublished) in observations of a lowland half-sib population in TN (r</w:t>
      </w:r>
      <w:r w:rsidR="00B7572A">
        <w:rPr>
          <w:rFonts w:cs="Times New Roman"/>
        </w:rPr>
        <w:t xml:space="preserve"> </w:t>
      </w:r>
      <w:r w:rsidRPr="000E7D9F">
        <w:rPr>
          <w:rFonts w:cs="Times New Roman"/>
        </w:rPr>
        <w:t>=</w:t>
      </w:r>
      <w:r w:rsidR="00B7572A">
        <w:rPr>
          <w:rFonts w:cs="Times New Roman"/>
        </w:rPr>
        <w:t xml:space="preserve"> </w:t>
      </w:r>
      <w:r w:rsidRPr="000E7D9F">
        <w:rPr>
          <w:rFonts w:cs="Times New Roman"/>
        </w:rPr>
        <w:t xml:space="preserve">-0.15, </w:t>
      </w:r>
      <w:r w:rsidR="00B7572A">
        <w:rPr>
          <w:rFonts w:cs="Times New Roman"/>
        </w:rPr>
        <w:t xml:space="preserve">P </w:t>
      </w:r>
      <w:r w:rsidR="009021A8">
        <w:rPr>
          <w:rFonts w:cs="Times New Roman"/>
        </w:rPr>
        <w:t xml:space="preserve">&lt; </w:t>
      </w:r>
      <w:r w:rsidRPr="000E7D9F">
        <w:rPr>
          <w:rFonts w:cs="Times New Roman"/>
        </w:rPr>
        <w:t xml:space="preserve">0.05). In both studies, while </w:t>
      </w:r>
      <w:r w:rsidR="009C1A48">
        <w:rPr>
          <w:rFonts w:cs="Times New Roman"/>
        </w:rPr>
        <w:t xml:space="preserve">rust </w:t>
      </w:r>
      <w:r w:rsidRPr="000E7D9F">
        <w:rPr>
          <w:rFonts w:cs="Times New Roman"/>
        </w:rPr>
        <w:t xml:space="preserve">was the </w:t>
      </w:r>
      <w:r w:rsidR="00B96220">
        <w:rPr>
          <w:rFonts w:cs="Times New Roman"/>
        </w:rPr>
        <w:t>pre</w:t>
      </w:r>
      <w:r w:rsidRPr="000E7D9F">
        <w:rPr>
          <w:rFonts w:cs="Times New Roman"/>
        </w:rPr>
        <w:t xml:space="preserve">dominant pathogen observed, other diseases were also present in disease ratings. </w:t>
      </w:r>
    </w:p>
    <w:p w14:paraId="543FBEE2" w14:textId="45A94D6F" w:rsidR="00686D2D" w:rsidRDefault="00686D2D" w:rsidP="00686D2D">
      <w:pPr>
        <w:ind w:firstLine="720"/>
        <w:rPr>
          <w:rFonts w:cs="Times New Roman"/>
        </w:rPr>
      </w:pPr>
      <w:r w:rsidRPr="000E7D9F">
        <w:rPr>
          <w:rFonts w:cs="Times New Roman"/>
        </w:rPr>
        <w:t xml:space="preserve">Although the impact on biomass yield from </w:t>
      </w:r>
      <w:r w:rsidR="009C1A48">
        <w:rPr>
          <w:rFonts w:cs="Times New Roman"/>
        </w:rPr>
        <w:t xml:space="preserve">rust </w:t>
      </w:r>
      <w:r w:rsidRPr="000E7D9F">
        <w:rPr>
          <w:rFonts w:cs="Times New Roman"/>
        </w:rPr>
        <w:t>appears minor, these studies do not examine the impact of these infections on ethanol production potential</w:t>
      </w:r>
      <w:r w:rsidR="00954DB7">
        <w:rPr>
          <w:rFonts w:cs="Times New Roman"/>
        </w:rPr>
        <w:t xml:space="preserve">. </w:t>
      </w:r>
      <w:r w:rsidRPr="000E7D9F">
        <w:rPr>
          <w:rFonts w:cs="Times New Roman"/>
        </w:rPr>
        <w:t xml:space="preserve">As a biofuel crop, two components contribute to </w:t>
      </w:r>
      <w:r w:rsidR="00B96220">
        <w:rPr>
          <w:rFonts w:cs="Times New Roman"/>
        </w:rPr>
        <w:t>total biofuel</w:t>
      </w:r>
      <w:r w:rsidRPr="000E7D9F">
        <w:rPr>
          <w:rFonts w:cs="Times New Roman"/>
        </w:rPr>
        <w:t xml:space="preserve"> yield: biomass and the ethanol production potential of that biomass</w:t>
      </w:r>
      <w:r w:rsidR="00954DB7">
        <w:rPr>
          <w:rFonts w:cs="Times New Roman"/>
        </w:rPr>
        <w:t xml:space="preserve">. </w:t>
      </w:r>
      <w:r w:rsidRPr="000E7D9F">
        <w:rPr>
          <w:rFonts w:cs="Times New Roman"/>
        </w:rPr>
        <w:t xml:space="preserve">While a pathogen infection may not cause significant loss in biomass, the potential reduction in </w:t>
      </w:r>
      <w:r w:rsidR="000C5370">
        <w:rPr>
          <w:rFonts w:cs="Times New Roman"/>
        </w:rPr>
        <w:t xml:space="preserve">the </w:t>
      </w:r>
      <w:r w:rsidRPr="000E7D9F">
        <w:rPr>
          <w:rFonts w:cs="Times New Roman"/>
        </w:rPr>
        <w:t xml:space="preserve">quality of that biomass and the resulting reduction in ethanol production potential may lead to a loss in total </w:t>
      </w:r>
      <w:r w:rsidR="000C5370">
        <w:rPr>
          <w:rFonts w:cs="Times New Roman"/>
        </w:rPr>
        <w:t xml:space="preserve">biofuels </w:t>
      </w:r>
      <w:r w:rsidRPr="000E7D9F">
        <w:rPr>
          <w:rFonts w:cs="Times New Roman"/>
        </w:rPr>
        <w:t xml:space="preserve">yield that is unaccounted for. Further examination of the interaction of a pathogen infection on the ethanol production potential of switchgrass is essential to understanding the true potential threat these pathogens impose in switchgrass production systems. </w:t>
      </w:r>
      <w:r>
        <w:rPr>
          <w:rFonts w:cs="Times New Roman"/>
        </w:rPr>
        <w:t xml:space="preserve">The </w:t>
      </w:r>
      <w:r w:rsidR="00412B11">
        <w:rPr>
          <w:rFonts w:cs="Times New Roman"/>
        </w:rPr>
        <w:t>objective of this research is</w:t>
      </w:r>
      <w:r>
        <w:rPr>
          <w:rFonts w:cs="Times New Roman"/>
        </w:rPr>
        <w:t xml:space="preserve"> to examine the impact of </w:t>
      </w:r>
      <w:r w:rsidR="009C1A48">
        <w:rPr>
          <w:rFonts w:cs="Times New Roman"/>
        </w:rPr>
        <w:t>rust severity</w:t>
      </w:r>
      <w:r>
        <w:rPr>
          <w:rFonts w:cs="Times New Roman"/>
        </w:rPr>
        <w:t xml:space="preserve"> on </w:t>
      </w:r>
      <w:r w:rsidR="0095454C">
        <w:rPr>
          <w:rFonts w:cs="Times New Roman"/>
        </w:rPr>
        <w:t>predicted ethanol yield</w:t>
      </w:r>
      <w:r>
        <w:rPr>
          <w:rFonts w:cs="Times New Roman"/>
        </w:rPr>
        <w:t xml:space="preserve"> from switchgrass.</w:t>
      </w:r>
    </w:p>
    <w:p w14:paraId="2C8AB972" w14:textId="77777777" w:rsidR="00686D2D" w:rsidRPr="000E7D9F" w:rsidRDefault="00382C84" w:rsidP="009B24A0">
      <w:pPr>
        <w:pStyle w:val="Heading2"/>
      </w:pPr>
      <w:bookmarkStart w:id="28" w:name="_Toc404069821"/>
      <w:r>
        <w:t>Materials and Methods</w:t>
      </w:r>
      <w:bookmarkEnd w:id="28"/>
    </w:p>
    <w:p w14:paraId="60F91FFB" w14:textId="77777777" w:rsidR="00686D2D" w:rsidRPr="000E7D9F" w:rsidRDefault="00686D2D" w:rsidP="00686D2D">
      <w:pPr>
        <w:pStyle w:val="Heading3"/>
      </w:pPr>
      <w:bookmarkStart w:id="29" w:name="_Toc404069822"/>
      <w:r>
        <w:t>Plant</w:t>
      </w:r>
      <w:r w:rsidRPr="000E7D9F">
        <w:t xml:space="preserve"> Material</w:t>
      </w:r>
      <w:bookmarkEnd w:id="29"/>
    </w:p>
    <w:p w14:paraId="504CCAA8" w14:textId="35259C5D" w:rsidR="00686D2D" w:rsidRDefault="00686D2D" w:rsidP="00686D2D">
      <w:pPr>
        <w:ind w:firstLine="720"/>
        <w:rPr>
          <w:rFonts w:cs="Times New Roman"/>
        </w:rPr>
      </w:pPr>
      <w:r w:rsidRPr="000E7D9F">
        <w:rPr>
          <w:rFonts w:cs="Times New Roman"/>
        </w:rPr>
        <w:t xml:space="preserve">On 27 August 2010, </w:t>
      </w:r>
      <w:r>
        <w:rPr>
          <w:rFonts w:cs="Times New Roman"/>
        </w:rPr>
        <w:t xml:space="preserve">switchgrass </w:t>
      </w:r>
      <w:r w:rsidRPr="000E7D9F">
        <w:rPr>
          <w:rFonts w:cs="Times New Roman"/>
        </w:rPr>
        <w:t xml:space="preserve">leaves, ranging in level of </w:t>
      </w:r>
      <w:r w:rsidR="00D231A4">
        <w:rPr>
          <w:rFonts w:cs="Times New Roman"/>
        </w:rPr>
        <w:t>rust</w:t>
      </w:r>
      <w:r w:rsidRPr="000E7D9F">
        <w:rPr>
          <w:rFonts w:cs="Times New Roman"/>
        </w:rPr>
        <w:t xml:space="preserve"> </w:t>
      </w:r>
      <w:r>
        <w:rPr>
          <w:rFonts w:cs="Times New Roman"/>
        </w:rPr>
        <w:t>severity, were collected from ten</w:t>
      </w:r>
      <w:r w:rsidRPr="000E7D9F">
        <w:rPr>
          <w:rFonts w:cs="Times New Roman"/>
        </w:rPr>
        <w:t xml:space="preserve"> plants of </w:t>
      </w:r>
      <w:r w:rsidR="00B96220">
        <w:rPr>
          <w:rFonts w:cs="Times New Roman"/>
        </w:rPr>
        <w:t xml:space="preserve">‘Alamo’ </w:t>
      </w:r>
      <w:r w:rsidRPr="000E7D9F">
        <w:rPr>
          <w:rFonts w:cs="Times New Roman"/>
        </w:rPr>
        <w:t xml:space="preserve">and </w:t>
      </w:r>
      <w:r>
        <w:rPr>
          <w:rFonts w:cs="Times New Roman"/>
        </w:rPr>
        <w:t>ten</w:t>
      </w:r>
      <w:r w:rsidRPr="000E7D9F">
        <w:rPr>
          <w:rFonts w:cs="Times New Roman"/>
        </w:rPr>
        <w:t xml:space="preserve"> plants of </w:t>
      </w:r>
      <w:r w:rsidR="00B96220">
        <w:rPr>
          <w:rFonts w:cs="Times New Roman"/>
        </w:rPr>
        <w:t>‘</w:t>
      </w:r>
      <w:r w:rsidRPr="000E7D9F">
        <w:rPr>
          <w:rFonts w:cs="Times New Roman"/>
        </w:rPr>
        <w:t>Kanlow</w:t>
      </w:r>
      <w:r w:rsidR="00B96220">
        <w:rPr>
          <w:rFonts w:cs="Times New Roman"/>
        </w:rPr>
        <w:t>’</w:t>
      </w:r>
      <w:r w:rsidRPr="000E7D9F">
        <w:rPr>
          <w:rFonts w:cs="Times New Roman"/>
        </w:rPr>
        <w:t xml:space="preserve"> grown in a space planted nursery at the Holston Unit of the </w:t>
      </w:r>
      <w:r w:rsidRPr="00585822">
        <w:rPr>
          <w:rFonts w:cs="Times New Roman"/>
        </w:rPr>
        <w:t>University of Tennessee</w:t>
      </w:r>
      <w:r>
        <w:rPr>
          <w:rFonts w:cs="Times New Roman"/>
        </w:rPr>
        <w:t xml:space="preserve">, </w:t>
      </w:r>
      <w:r w:rsidRPr="000E7D9F">
        <w:rPr>
          <w:rFonts w:cs="Times New Roman"/>
        </w:rPr>
        <w:t>East Tennessee Research and Education Center in Knoxville, TN</w:t>
      </w:r>
      <w:r w:rsidR="00D231A4">
        <w:rPr>
          <w:rFonts w:cs="Times New Roman"/>
        </w:rPr>
        <w:t xml:space="preserve"> (</w:t>
      </w:r>
      <w:r w:rsidR="00E12E27">
        <w:rPr>
          <w:rFonts w:cs="Times New Roman"/>
        </w:rPr>
        <w:t>35º58’11.3”N 83º51’08.7”W</w:t>
      </w:r>
      <w:r w:rsidR="008B2F15">
        <w:rPr>
          <w:rFonts w:cs="Times New Roman"/>
        </w:rPr>
        <w:t>, soil type: Shady-Whitewell complex</w:t>
      </w:r>
      <w:r w:rsidR="00D231A4">
        <w:rPr>
          <w:rFonts w:cs="Times New Roman"/>
        </w:rPr>
        <w:t>)</w:t>
      </w:r>
      <w:r w:rsidR="00954DB7">
        <w:rPr>
          <w:rFonts w:cs="Times New Roman"/>
        </w:rPr>
        <w:t xml:space="preserve">. </w:t>
      </w:r>
      <w:r>
        <w:rPr>
          <w:rFonts w:cs="Times New Roman"/>
        </w:rPr>
        <w:t>This was repeated on 1 August 2012 with samples collected again from the space planted nursery in Knoxville, TN and also from swards of Alamo and Kanlow grown in Crossville, TN</w:t>
      </w:r>
      <w:r w:rsidR="009021A8">
        <w:rPr>
          <w:rFonts w:cs="Times New Roman"/>
        </w:rPr>
        <w:t xml:space="preserve"> </w:t>
      </w:r>
      <w:r w:rsidR="009021A8">
        <w:rPr>
          <w:rFonts w:cs="Times New Roman"/>
        </w:rPr>
        <w:lastRenderedPageBreak/>
        <w:t>(36º00’49.7”N 85º07’57.7”W, soil type: Lonewood loam)</w:t>
      </w:r>
      <w:r w:rsidR="009021A8" w:rsidRPr="00BB185F">
        <w:rPr>
          <w:rFonts w:eastAsiaTheme="minorHAnsi"/>
          <w:szCs w:val="22"/>
        </w:rPr>
        <w:t>.</w:t>
      </w:r>
      <w:r w:rsidR="000A49CD">
        <w:rPr>
          <w:rFonts w:eastAsiaTheme="minorHAnsi"/>
          <w:szCs w:val="22"/>
        </w:rPr>
        <w:t xml:space="preserve"> Leaves were classified by disease range and aggregated into a single sample per disease range</w:t>
      </w:r>
      <w:r w:rsidR="00954DB7">
        <w:rPr>
          <w:rFonts w:eastAsiaTheme="minorHAnsi"/>
          <w:szCs w:val="22"/>
        </w:rPr>
        <w:t xml:space="preserve">. </w:t>
      </w:r>
    </w:p>
    <w:p w14:paraId="2D076D25" w14:textId="4E3F1D6A" w:rsidR="00686D2D" w:rsidRPr="000E7D9F" w:rsidRDefault="00686D2D" w:rsidP="00686D2D">
      <w:pPr>
        <w:ind w:firstLine="720"/>
        <w:rPr>
          <w:rFonts w:cs="Times New Roman"/>
        </w:rPr>
      </w:pPr>
      <w:r w:rsidRPr="000E7D9F">
        <w:rPr>
          <w:rFonts w:cs="Times New Roman"/>
        </w:rPr>
        <w:t>Three disease ranges</w:t>
      </w:r>
      <w:r>
        <w:rPr>
          <w:rFonts w:cs="Times New Roman"/>
        </w:rPr>
        <w:t xml:space="preserve"> (</w:t>
      </w:r>
      <w:r w:rsidRPr="000E7D9F">
        <w:rPr>
          <w:rFonts w:cs="Times New Roman"/>
        </w:rPr>
        <w:t>low, medium, and high</w:t>
      </w:r>
      <w:r>
        <w:rPr>
          <w:rFonts w:cs="Times New Roman"/>
        </w:rPr>
        <w:t>)</w:t>
      </w:r>
      <w:r w:rsidRPr="000E7D9F">
        <w:rPr>
          <w:rFonts w:cs="Times New Roman"/>
        </w:rPr>
        <w:t xml:space="preserve"> were collected from each plant</w:t>
      </w:r>
      <w:r w:rsidR="00954DB7">
        <w:rPr>
          <w:rFonts w:cs="Times New Roman"/>
        </w:rPr>
        <w:t xml:space="preserve">. </w:t>
      </w:r>
      <w:r w:rsidRPr="000E7D9F">
        <w:rPr>
          <w:rFonts w:cs="Times New Roman"/>
        </w:rPr>
        <w:t xml:space="preserve">Low disease leaves were </w:t>
      </w:r>
      <w:r>
        <w:rPr>
          <w:rFonts w:cs="Times New Roman"/>
        </w:rPr>
        <w:t>classified</w:t>
      </w:r>
      <w:r w:rsidRPr="000E7D9F">
        <w:rPr>
          <w:rFonts w:cs="Times New Roman"/>
        </w:rPr>
        <w:t xml:space="preserve"> as having no sporulation and little to no visible chlorosis or necrosis (Fig</w:t>
      </w:r>
      <w:r w:rsidR="001E4731">
        <w:rPr>
          <w:rFonts w:cs="Times New Roman"/>
        </w:rPr>
        <w:t>ure</w:t>
      </w:r>
      <w:r>
        <w:rPr>
          <w:rFonts w:cs="Times New Roman"/>
        </w:rPr>
        <w:t xml:space="preserve"> 1</w:t>
      </w:r>
      <w:r w:rsidR="001E4731">
        <w:rPr>
          <w:rFonts w:cs="Times New Roman"/>
        </w:rPr>
        <w:t xml:space="preserve">-1 </w:t>
      </w:r>
      <w:r>
        <w:rPr>
          <w:rFonts w:cs="Times New Roman"/>
        </w:rPr>
        <w:t>A</w:t>
      </w:r>
      <w:r w:rsidR="001E4731">
        <w:rPr>
          <w:rFonts w:cs="Times New Roman"/>
        </w:rPr>
        <w:t>, B</w:t>
      </w:r>
      <w:r w:rsidRPr="000E7D9F">
        <w:rPr>
          <w:rFonts w:cs="Times New Roman"/>
        </w:rPr>
        <w:t>)</w:t>
      </w:r>
      <w:r w:rsidR="00382C84">
        <w:rPr>
          <w:rFonts w:cs="Times New Roman"/>
        </w:rPr>
        <w:t xml:space="preserve"> (All tables and figures are located in </w:t>
      </w:r>
      <w:r w:rsidR="005C423F">
        <w:rPr>
          <w:rFonts w:cs="Times New Roman"/>
        </w:rPr>
        <w:t>A</w:t>
      </w:r>
      <w:r w:rsidR="00382C84">
        <w:rPr>
          <w:rFonts w:cs="Times New Roman"/>
        </w:rPr>
        <w:t>ppendix</w:t>
      </w:r>
      <w:r w:rsidR="005C423F">
        <w:rPr>
          <w:rFonts w:cs="Times New Roman"/>
        </w:rPr>
        <w:t xml:space="preserve"> I</w:t>
      </w:r>
      <w:r w:rsidR="00382C84">
        <w:rPr>
          <w:rFonts w:cs="Times New Roman"/>
        </w:rPr>
        <w:t>)</w:t>
      </w:r>
      <w:r w:rsidR="00954DB7">
        <w:rPr>
          <w:rFonts w:cs="Times New Roman"/>
        </w:rPr>
        <w:t xml:space="preserve">. </w:t>
      </w:r>
      <w:r w:rsidRPr="000E7D9F">
        <w:rPr>
          <w:rFonts w:cs="Times New Roman"/>
        </w:rPr>
        <w:t xml:space="preserve">Medium disease leaves were </w:t>
      </w:r>
      <w:r>
        <w:rPr>
          <w:rFonts w:cs="Times New Roman"/>
        </w:rPr>
        <w:t>classified</w:t>
      </w:r>
      <w:r w:rsidRPr="000E7D9F">
        <w:rPr>
          <w:rFonts w:cs="Times New Roman"/>
        </w:rPr>
        <w:t xml:space="preserve"> as having light to medium sporulation, heavy chlorosis, some necrosis with minor tip dieback present on some leaves (Fig</w:t>
      </w:r>
      <w:r w:rsidR="001E4731">
        <w:rPr>
          <w:rFonts w:cs="Times New Roman"/>
        </w:rPr>
        <w:t>ure</w:t>
      </w:r>
      <w:r w:rsidRPr="000E7D9F">
        <w:rPr>
          <w:rFonts w:cs="Times New Roman"/>
        </w:rPr>
        <w:t xml:space="preserve"> </w:t>
      </w:r>
      <w:r>
        <w:rPr>
          <w:rFonts w:cs="Times New Roman"/>
        </w:rPr>
        <w:t>1</w:t>
      </w:r>
      <w:r w:rsidR="001E4731">
        <w:rPr>
          <w:rFonts w:cs="Times New Roman"/>
        </w:rPr>
        <w:t xml:space="preserve">-1 C, </w:t>
      </w:r>
      <w:r>
        <w:rPr>
          <w:rFonts w:cs="Times New Roman"/>
        </w:rPr>
        <w:t>D</w:t>
      </w:r>
      <w:r w:rsidRPr="000E7D9F">
        <w:rPr>
          <w:rFonts w:cs="Times New Roman"/>
        </w:rPr>
        <w:t>)</w:t>
      </w:r>
      <w:r w:rsidR="00954DB7">
        <w:rPr>
          <w:rFonts w:cs="Times New Roman"/>
        </w:rPr>
        <w:t xml:space="preserve">. </w:t>
      </w:r>
      <w:r w:rsidRPr="000E7D9F">
        <w:rPr>
          <w:rFonts w:cs="Times New Roman"/>
        </w:rPr>
        <w:t xml:space="preserve">High disease leaves were </w:t>
      </w:r>
      <w:r>
        <w:rPr>
          <w:rFonts w:cs="Times New Roman"/>
        </w:rPr>
        <w:t>classified</w:t>
      </w:r>
      <w:r w:rsidRPr="000E7D9F">
        <w:rPr>
          <w:rFonts w:cs="Times New Roman"/>
        </w:rPr>
        <w:t xml:space="preserve"> as having heavy sporulation and heavy necrosis with tip dieback present but not exceeding 25% of the total leaf area (Fig</w:t>
      </w:r>
      <w:r w:rsidR="001E4731">
        <w:rPr>
          <w:rFonts w:cs="Times New Roman"/>
        </w:rPr>
        <w:t>ure</w:t>
      </w:r>
      <w:r w:rsidRPr="000E7D9F">
        <w:rPr>
          <w:rFonts w:cs="Times New Roman"/>
        </w:rPr>
        <w:t xml:space="preserve"> 1</w:t>
      </w:r>
      <w:r w:rsidR="001E4731">
        <w:rPr>
          <w:rFonts w:cs="Times New Roman"/>
        </w:rPr>
        <w:t>-1 E, F</w:t>
      </w:r>
      <w:r w:rsidRPr="000E7D9F">
        <w:rPr>
          <w:rFonts w:cs="Times New Roman"/>
        </w:rPr>
        <w:t>)</w:t>
      </w:r>
      <w:r w:rsidR="00954DB7">
        <w:rPr>
          <w:rFonts w:cs="Times New Roman"/>
        </w:rPr>
        <w:t xml:space="preserve">. </w:t>
      </w:r>
      <w:r w:rsidRPr="000E7D9F">
        <w:rPr>
          <w:rFonts w:cs="Times New Roman"/>
        </w:rPr>
        <w:t>Leaves with symptoms indicative of infection by o</w:t>
      </w:r>
      <w:r>
        <w:rPr>
          <w:rFonts w:cs="Times New Roman"/>
        </w:rPr>
        <w:t xml:space="preserve">ther pathogens were excluded. </w:t>
      </w:r>
      <w:r w:rsidRPr="000E7D9F">
        <w:rPr>
          <w:rFonts w:cs="Times New Roman"/>
        </w:rPr>
        <w:t>After collection, leaves were placed in mesh bags and dried in an oven at 45 °C for 48 hrs</w:t>
      </w:r>
      <w:r w:rsidR="00954DB7">
        <w:rPr>
          <w:rFonts w:cs="Times New Roman"/>
        </w:rPr>
        <w:t xml:space="preserve">. </w:t>
      </w:r>
      <w:r w:rsidRPr="000E7D9F">
        <w:rPr>
          <w:rFonts w:cs="Times New Roman"/>
        </w:rPr>
        <w:t>Dried leaves were then ground to pass through a 1</w:t>
      </w:r>
      <w:r>
        <w:rPr>
          <w:rFonts w:cs="Times New Roman"/>
        </w:rPr>
        <w:t xml:space="preserve"> </w:t>
      </w:r>
      <w:r w:rsidRPr="000E7D9F">
        <w:rPr>
          <w:rFonts w:cs="Times New Roman"/>
        </w:rPr>
        <w:t>mm mesh using a Cyclone grinder</w:t>
      </w:r>
      <w:r w:rsidR="00954DB7">
        <w:rPr>
          <w:rFonts w:cs="Times New Roman"/>
        </w:rPr>
        <w:t xml:space="preserve">. </w:t>
      </w:r>
    </w:p>
    <w:p w14:paraId="10F2DD51" w14:textId="1406B995" w:rsidR="00686D2D" w:rsidRPr="000E7D9F" w:rsidRDefault="00B96220" w:rsidP="00382C84">
      <w:pPr>
        <w:pStyle w:val="Heading3"/>
      </w:pPr>
      <w:bookmarkStart w:id="30" w:name="_Toc404069823"/>
      <w:r>
        <w:t>Pathogen</w:t>
      </w:r>
      <w:r w:rsidR="00955183">
        <w:t xml:space="preserve"> </w:t>
      </w:r>
      <w:r w:rsidR="00686D2D" w:rsidRPr="000E7D9F">
        <w:t>Isolation</w:t>
      </w:r>
      <w:r w:rsidR="00686D2D">
        <w:t xml:space="preserve"> and Identification</w:t>
      </w:r>
      <w:bookmarkEnd w:id="30"/>
    </w:p>
    <w:p w14:paraId="50211ABB" w14:textId="7FF7C4B8" w:rsidR="00686D2D" w:rsidRPr="000E7D9F" w:rsidRDefault="00686D2D" w:rsidP="00686D2D">
      <w:pPr>
        <w:ind w:firstLine="720"/>
        <w:rPr>
          <w:rFonts w:cs="Times New Roman"/>
        </w:rPr>
      </w:pPr>
      <w:r w:rsidRPr="000E7D9F">
        <w:rPr>
          <w:rFonts w:cs="Times New Roman"/>
        </w:rPr>
        <w:t xml:space="preserve">Prior to drying, </w:t>
      </w:r>
      <w:r w:rsidR="00B96220">
        <w:rPr>
          <w:rFonts w:cs="Times New Roman"/>
          <w:i/>
        </w:rPr>
        <w:t>P. emaculata</w:t>
      </w:r>
      <w:r w:rsidR="009C1A48">
        <w:rPr>
          <w:rFonts w:cs="Times New Roman"/>
        </w:rPr>
        <w:t xml:space="preserve"> </w:t>
      </w:r>
      <w:r w:rsidRPr="000E7D9F">
        <w:rPr>
          <w:rFonts w:cs="Times New Roman"/>
        </w:rPr>
        <w:t xml:space="preserve">was isolated from </w:t>
      </w:r>
      <w:r>
        <w:rPr>
          <w:rFonts w:cs="Times New Roman"/>
        </w:rPr>
        <w:t>a sample of leaves within</w:t>
      </w:r>
      <w:r w:rsidRPr="000E7D9F">
        <w:rPr>
          <w:rFonts w:cs="Times New Roman"/>
        </w:rPr>
        <w:t xml:space="preserve"> each disease stage to confirm infection</w:t>
      </w:r>
      <w:r w:rsidR="00954DB7">
        <w:rPr>
          <w:rFonts w:cs="Times New Roman"/>
        </w:rPr>
        <w:t xml:space="preserve">. </w:t>
      </w:r>
      <w:r w:rsidR="00B96220">
        <w:rPr>
          <w:rFonts w:cs="Times New Roman"/>
        </w:rPr>
        <w:t xml:space="preserve">The pathogen </w:t>
      </w:r>
      <w:r w:rsidRPr="000E7D9F">
        <w:rPr>
          <w:rFonts w:cs="Times New Roman"/>
        </w:rPr>
        <w:t>was isolated by touching a sterile scalpel blade to a single pustule on an infected leaf and then touching the scalpel blade to a drop of distilled water on a cut leaf of Alamo switchgrass</w:t>
      </w:r>
      <w:r w:rsidR="00954DB7">
        <w:rPr>
          <w:rFonts w:cs="Times New Roman"/>
        </w:rPr>
        <w:t xml:space="preserve">. </w:t>
      </w:r>
      <w:r w:rsidRPr="000E7D9F">
        <w:rPr>
          <w:rFonts w:cs="Times New Roman"/>
        </w:rPr>
        <w:t>Cultures were maintained on fresh Alamo leaves placed on moistened filter paper within a petri dish sealed with parafilm</w:t>
      </w:r>
      <w:r w:rsidR="00954DB7">
        <w:rPr>
          <w:rFonts w:cs="Times New Roman"/>
        </w:rPr>
        <w:t xml:space="preserve">. </w:t>
      </w:r>
      <w:r>
        <w:rPr>
          <w:rFonts w:cs="Times New Roman"/>
        </w:rPr>
        <w:t>Naturally infected leaves and cultured isolates were examined visually under a microscope to classify morphology of urediniospores and teliospores</w:t>
      </w:r>
      <w:r w:rsidR="00954DB7">
        <w:rPr>
          <w:rFonts w:cs="Times New Roman"/>
        </w:rPr>
        <w:t xml:space="preserve">. </w:t>
      </w:r>
      <w:r w:rsidRPr="000E7D9F">
        <w:rPr>
          <w:rFonts w:cs="Times New Roman"/>
        </w:rPr>
        <w:t xml:space="preserve">    </w:t>
      </w:r>
    </w:p>
    <w:p w14:paraId="210B5B84" w14:textId="77777777" w:rsidR="00686D2D" w:rsidRPr="000E7D9F" w:rsidRDefault="00686D2D" w:rsidP="00382C84">
      <w:pPr>
        <w:pStyle w:val="Heading3"/>
      </w:pPr>
      <w:bookmarkStart w:id="31" w:name="_Toc404069824"/>
      <w:r>
        <w:lastRenderedPageBreak/>
        <w:t>Ethanol Fermentation</w:t>
      </w:r>
      <w:bookmarkEnd w:id="31"/>
    </w:p>
    <w:p w14:paraId="2DB32492" w14:textId="721DE233" w:rsidR="00116709" w:rsidRDefault="000C5370" w:rsidP="00686D2D">
      <w:pPr>
        <w:ind w:firstLine="720"/>
        <w:rPr>
          <w:rFonts w:cs="Times New Roman"/>
        </w:rPr>
      </w:pPr>
      <w:r>
        <w:rPr>
          <w:rFonts w:cs="Times New Roman"/>
        </w:rPr>
        <w:t>Material collected in 2010 were subjected to ethanol fermentation using simultaneous saccharification and fermentation</w:t>
      </w:r>
      <w:r w:rsidR="00116709">
        <w:rPr>
          <w:rFonts w:cs="Times New Roman"/>
        </w:rPr>
        <w:t xml:space="preserve"> (SSF)</w:t>
      </w:r>
      <w:r>
        <w:rPr>
          <w:rFonts w:cs="Times New Roman"/>
        </w:rPr>
        <w:t xml:space="preserve"> as described by </w:t>
      </w:r>
      <w:hyperlink w:anchor="_ENREF_32" w:tooltip="Dowe, 2001 #268" w:history="1">
        <w:r w:rsidR="00FB5014">
          <w:rPr>
            <w:rFonts w:cs="Times New Roman"/>
          </w:rPr>
          <w:fldChar w:fldCharType="begin"/>
        </w:r>
        <w:r w:rsidR="00FB5014">
          <w:rPr>
            <w:rFonts w:cs="Times New Roman"/>
          </w:rPr>
          <w:instrText xml:space="preserve"> ADDIN EN.CITE &lt;EndNote&gt;&lt;Cite AuthorYear="1"&gt;&lt;Author&gt;Dowe&lt;/Author&gt;&lt;Year&gt;2001&lt;/Year&gt;&lt;RecNum&gt;268&lt;/RecNum&gt;&lt;DisplayText&gt;Dowe and MCMillan (2001)&lt;/DisplayText&gt;&lt;record&gt;&lt;rec-number&gt;268&lt;/rec-number&gt;&lt;foreign-keys&gt;&lt;key app="EN" db-id="9zfxt259rawwvce0pfa5efeuatdw0pz5va5z" timestamp="1328218678"&gt;268&lt;/key&gt;&lt;/foreign-keys&gt;&lt;ref-type name="Standard"&gt;58&lt;/ref-type&gt;&lt;contributors&gt;&lt;authors&gt;&lt;author&gt;Dowe, N.&lt;/author&gt;&lt;author&gt;MCMillan, J.&lt;/author&gt;&lt;/authors&gt;&lt;/contributors&gt;&lt;titles&gt;&lt;title&gt;SSF Experimental Protocols - Lignocellulosic Biomass Hydrolysis and Fermentation&lt;/title&gt;&lt;secondary-title&gt;Laboratory Analytical Procedure&lt;/secondary-title&gt;&lt;/titles&gt;&lt;volume&gt;NREL/TP-510-42630&lt;/volume&gt;&lt;dates&gt;&lt;year&gt;2001&lt;/year&gt;&lt;/dates&gt;&lt;pub-location&gt;National Renewable Energy Laboratory&lt;/pub-location&gt;&lt;urls&gt;&lt;related-urls&gt;&lt;url&gt;http://www.nrel.gov/biomass/pdfs/42630.pdf&lt;/url&gt;&lt;/related-urls&gt;&lt;/urls&gt;&lt;/record&gt;&lt;/Cite&gt;&lt;/EndNote&gt;</w:instrText>
        </w:r>
        <w:r w:rsidR="00FB5014">
          <w:rPr>
            <w:rFonts w:cs="Times New Roman"/>
          </w:rPr>
          <w:fldChar w:fldCharType="separate"/>
        </w:r>
        <w:r w:rsidR="00FB5014">
          <w:rPr>
            <w:rFonts w:cs="Times New Roman"/>
            <w:noProof/>
          </w:rPr>
          <w:t>Dowe and MCMillan (2001)</w:t>
        </w:r>
        <w:r w:rsidR="00FB5014">
          <w:rPr>
            <w:rFonts w:cs="Times New Roman"/>
          </w:rPr>
          <w:fldChar w:fldCharType="end"/>
        </w:r>
      </w:hyperlink>
      <w:r>
        <w:rPr>
          <w:rFonts w:cs="Times New Roman"/>
        </w:rPr>
        <w:t xml:space="preserve"> preceded by pretreatment </w:t>
      </w:r>
      <w:r w:rsidRPr="000E7D9F">
        <w:rPr>
          <w:rFonts w:cs="Times New Roman"/>
        </w:rPr>
        <w:t>as described by</w:t>
      </w:r>
      <w:r>
        <w:rPr>
          <w:rFonts w:cs="Times New Roman"/>
        </w:rPr>
        <w:t xml:space="preserve"> </w:t>
      </w:r>
      <w:hyperlink w:anchor="_ENREF_35" w:tooltip="Fu, 2011 #279" w:history="1">
        <w:r w:rsidR="00FB5014">
          <w:rPr>
            <w:rFonts w:cs="Times New Roman"/>
          </w:rPr>
          <w:fldChar w:fldCharType="begin"/>
        </w:r>
        <w:r w:rsidR="00FB5014">
          <w:rPr>
            <w:rFonts w:cs="Times New Roman"/>
          </w:rPr>
          <w:instrText xml:space="preserve"> ADDIN EN.CITE &lt;EndNote&gt;&lt;Cite AuthorYear="1"&gt;&lt;Author&gt;Fu&lt;/Author&gt;&lt;Year&gt;2011&lt;/Year&gt;&lt;RecNum&gt;279&lt;/RecNum&gt;&lt;DisplayText&gt;Fu et al. (2011)&lt;/DisplayText&gt;&lt;record&gt;&lt;rec-number&gt;279&lt;/rec-number&gt;&lt;foreign-keys&gt;&lt;key app="EN" db-id="9zfxt259rawwvce0pfa5efeuatdw0pz5va5z" timestamp="1393015172"&gt;279&lt;/key&gt;&lt;/foreign-keys&gt;&lt;ref-type name="Journal Article"&gt;17&lt;/ref-type&gt;&lt;contributors&gt;&lt;authors&gt;&lt;author&gt;Fu, C.&lt;/author&gt;&lt;author&gt;Mielenz, J.R.&lt;/author&gt;&lt;author&gt;Xiao, X.&lt;/author&gt;&lt;author&gt;Ge, Y.&lt;/author&gt;&lt;author&gt;Hamilton, C.Y.&lt;/author&gt;&lt;author&gt;Rodriguez, M.&lt;/author&gt;&lt;author&gt;Chen, F.&lt;/author&gt;&lt;author&gt;Foston, M.&lt;/author&gt;&lt;author&gt;Ragauskas, A.&lt;/author&gt;&lt;author&gt;Bouton, J.&lt;/author&gt;&lt;author&gt;Dixon, R.A.&lt;/author&gt;&lt;author&gt;Wang, Z.&lt;/author&gt;&lt;/authors&gt;&lt;/contributors&gt;&lt;titles&gt;&lt;title&gt;Genetic manipulation of lignin reduces recalcitrance and improves ethanol production from switchgrass&lt;/title&gt;&lt;secondary-title&gt;PNAS&lt;/secondary-title&gt;&lt;/titles&gt;&lt;periodical&gt;&lt;full-title&gt;PNAS&lt;/full-title&gt;&lt;/periodical&gt;&lt;pages&gt;3803-3808&lt;/pages&gt;&lt;volume&gt;108&lt;/volume&gt;&lt;number&gt;9&lt;/number&gt;&lt;section&gt;3803&lt;/section&gt;&lt;dates&gt;&lt;year&gt;2011&lt;/year&gt;&lt;/dates&gt;&lt;urls&gt;&lt;/urls&gt;&lt;/record&gt;&lt;/Cite&gt;&lt;/EndNote&gt;</w:instrText>
        </w:r>
        <w:r w:rsidR="00FB5014">
          <w:rPr>
            <w:rFonts w:cs="Times New Roman"/>
          </w:rPr>
          <w:fldChar w:fldCharType="separate"/>
        </w:r>
        <w:r w:rsidR="00FB5014">
          <w:rPr>
            <w:rFonts w:cs="Times New Roman"/>
            <w:noProof/>
          </w:rPr>
          <w:t>Fu et al. (2011)</w:t>
        </w:r>
        <w:r w:rsidR="00FB5014">
          <w:rPr>
            <w:rFonts w:cs="Times New Roman"/>
          </w:rPr>
          <w:fldChar w:fldCharType="end"/>
        </w:r>
      </w:hyperlink>
      <w:r>
        <w:rPr>
          <w:rFonts w:cs="Times New Roman"/>
        </w:rPr>
        <w:t xml:space="preserve">. </w:t>
      </w:r>
      <w:r w:rsidR="00686D2D" w:rsidRPr="000E7D9F">
        <w:rPr>
          <w:rFonts w:cs="Times New Roman"/>
        </w:rPr>
        <w:t>Pretreatment followed by ethanol fermentation was considered a single run and two runs were performed per set of</w:t>
      </w:r>
      <w:r w:rsidR="00686D2D">
        <w:rPr>
          <w:rFonts w:cs="Times New Roman"/>
        </w:rPr>
        <w:t xml:space="preserve"> </w:t>
      </w:r>
      <w:r w:rsidR="00686D2D" w:rsidRPr="000E7D9F">
        <w:rPr>
          <w:rFonts w:cs="Times New Roman"/>
        </w:rPr>
        <w:t>material</w:t>
      </w:r>
      <w:r w:rsidR="00954DB7">
        <w:rPr>
          <w:rFonts w:cs="Times New Roman"/>
        </w:rPr>
        <w:t xml:space="preserve">. </w:t>
      </w:r>
      <w:r w:rsidR="00686D2D" w:rsidRPr="000E7D9F">
        <w:rPr>
          <w:rFonts w:cs="Times New Roman"/>
        </w:rPr>
        <w:t>In addition, ethanol fermentations contained 3 technical replications per treatment within each run</w:t>
      </w:r>
      <w:r w:rsidR="00954DB7">
        <w:rPr>
          <w:rFonts w:cs="Times New Roman"/>
        </w:rPr>
        <w:t xml:space="preserve">. </w:t>
      </w:r>
    </w:p>
    <w:p w14:paraId="4BC299CA" w14:textId="4C8EC3E7" w:rsidR="00686D2D" w:rsidRPr="000E7D9F" w:rsidRDefault="00116709" w:rsidP="00686D2D">
      <w:pPr>
        <w:ind w:firstLine="720"/>
        <w:rPr>
          <w:rFonts w:cs="Times New Roman"/>
        </w:rPr>
      </w:pPr>
      <w:r>
        <w:rPr>
          <w:rFonts w:cs="Times New Roman"/>
        </w:rPr>
        <w:t>To pretreat material, a</w:t>
      </w:r>
      <w:r w:rsidR="00686D2D" w:rsidRPr="000E7D9F">
        <w:rPr>
          <w:rFonts w:cs="Times New Roman"/>
        </w:rPr>
        <w:t xml:space="preserve"> 9/10 ratio of 0.5% H</w:t>
      </w:r>
      <w:r w:rsidR="00686D2D" w:rsidRPr="00EB7606">
        <w:rPr>
          <w:rFonts w:cs="Times New Roman"/>
          <w:vertAlign w:val="subscript"/>
        </w:rPr>
        <w:t>2</w:t>
      </w:r>
      <w:r w:rsidR="00686D2D" w:rsidRPr="000E7D9F">
        <w:rPr>
          <w:rFonts w:cs="Times New Roman"/>
        </w:rPr>
        <w:t>SO</w:t>
      </w:r>
      <w:r w:rsidR="00686D2D" w:rsidRPr="00EB7606">
        <w:rPr>
          <w:rFonts w:cs="Times New Roman"/>
          <w:vertAlign w:val="subscript"/>
        </w:rPr>
        <w:t>4</w:t>
      </w:r>
      <w:r w:rsidR="00686D2D" w:rsidRPr="000E7D9F">
        <w:rPr>
          <w:rFonts w:cs="Times New Roman"/>
        </w:rPr>
        <w:t xml:space="preserve"> to ground biomass was added to 8 g of ground biomass in a Pyrex bottle and allowed to stand at room temperature overnight (~18 hours)</w:t>
      </w:r>
      <w:r w:rsidR="00954DB7">
        <w:rPr>
          <w:rFonts w:cs="Times New Roman"/>
        </w:rPr>
        <w:t xml:space="preserve">. </w:t>
      </w:r>
      <w:r w:rsidR="00686D2D" w:rsidRPr="000E7D9F">
        <w:rPr>
          <w:rFonts w:cs="Times New Roman"/>
        </w:rPr>
        <w:t>The solution was then centrifuged at 7000 rpm for 20 minutes in a 5</w:t>
      </w:r>
      <w:r w:rsidR="00686D2D">
        <w:rPr>
          <w:rFonts w:cs="Times New Roman"/>
        </w:rPr>
        <w:t>0 mL disposable centrifuge tube</w:t>
      </w:r>
      <w:r w:rsidR="00686D2D" w:rsidRPr="000E7D9F">
        <w:rPr>
          <w:rFonts w:cs="Times New Roman"/>
        </w:rPr>
        <w:t xml:space="preserve"> in a Sorvall Legend XTR (Thermo Scientific) centrifuge</w:t>
      </w:r>
      <w:r w:rsidR="00954DB7">
        <w:rPr>
          <w:rFonts w:cs="Times New Roman"/>
        </w:rPr>
        <w:t xml:space="preserve">. </w:t>
      </w:r>
      <w:r w:rsidR="00686D2D" w:rsidRPr="000E7D9F">
        <w:rPr>
          <w:rFonts w:cs="Times New Roman"/>
        </w:rPr>
        <w:t xml:space="preserve">The dilute acid solution was poured off and the remaining </w:t>
      </w:r>
      <w:r w:rsidR="00686D2D">
        <w:rPr>
          <w:rFonts w:cs="Times New Roman"/>
        </w:rPr>
        <w:t>biomass solid was divided into two</w:t>
      </w:r>
      <w:r w:rsidR="00686D2D" w:rsidRPr="000E7D9F">
        <w:rPr>
          <w:rFonts w:cs="Times New Roman"/>
        </w:rPr>
        <w:t xml:space="preserve"> metal react</w:t>
      </w:r>
      <w:r w:rsidR="00686D2D">
        <w:rPr>
          <w:rFonts w:cs="Times New Roman"/>
        </w:rPr>
        <w:t>ors, each holding around 2.5 g dry biomass</w:t>
      </w:r>
      <w:r w:rsidR="00954DB7">
        <w:rPr>
          <w:rFonts w:cs="Times New Roman"/>
        </w:rPr>
        <w:t xml:space="preserve">. </w:t>
      </w:r>
      <w:r w:rsidR="00686D2D" w:rsidRPr="000E7D9F">
        <w:rPr>
          <w:rFonts w:cs="Times New Roman"/>
        </w:rPr>
        <w:t>Reactors we</w:t>
      </w:r>
      <w:r w:rsidR="00686D2D">
        <w:rPr>
          <w:rFonts w:cs="Times New Roman"/>
        </w:rPr>
        <w:t>re heated in boiling water for two</w:t>
      </w:r>
      <w:r w:rsidR="00686D2D" w:rsidRPr="000E7D9F">
        <w:rPr>
          <w:rFonts w:cs="Times New Roman"/>
        </w:rPr>
        <w:t xml:space="preserve"> minutes, placed i</w:t>
      </w:r>
      <w:r w:rsidR="00686D2D">
        <w:rPr>
          <w:rFonts w:cs="Times New Roman"/>
        </w:rPr>
        <w:t>n a sand bath set at 160°C for seven</w:t>
      </w:r>
      <w:r w:rsidR="00686D2D" w:rsidRPr="000E7D9F">
        <w:rPr>
          <w:rFonts w:cs="Times New Roman"/>
        </w:rPr>
        <w:t xml:space="preserve"> minutes, th</w:t>
      </w:r>
      <w:r w:rsidR="00686D2D">
        <w:rPr>
          <w:rFonts w:cs="Times New Roman"/>
        </w:rPr>
        <w:t>en quenched in an ice bath for two</w:t>
      </w:r>
      <w:r w:rsidR="00686D2D" w:rsidRPr="000E7D9F">
        <w:rPr>
          <w:rFonts w:cs="Times New Roman"/>
        </w:rPr>
        <w:t xml:space="preserve"> minutes</w:t>
      </w:r>
      <w:r w:rsidR="00954DB7">
        <w:rPr>
          <w:rFonts w:cs="Times New Roman"/>
        </w:rPr>
        <w:t xml:space="preserve">. </w:t>
      </w:r>
      <w:r w:rsidR="00686D2D" w:rsidRPr="000E7D9F">
        <w:rPr>
          <w:rFonts w:cs="Times New Roman"/>
        </w:rPr>
        <w:t>Biomass from each reactor was washed with 25 ml of distilled water followed by a second wash of 225 ml distilled water</w:t>
      </w:r>
      <w:r w:rsidR="00954DB7">
        <w:rPr>
          <w:rFonts w:cs="Times New Roman"/>
        </w:rPr>
        <w:t xml:space="preserve">. </w:t>
      </w:r>
    </w:p>
    <w:p w14:paraId="0392B520" w14:textId="18D18FD8" w:rsidR="00686D2D" w:rsidRPr="000E7D9F" w:rsidRDefault="0039403F" w:rsidP="00686D2D">
      <w:pPr>
        <w:ind w:firstLine="720"/>
        <w:rPr>
          <w:rFonts w:cs="Times New Roman"/>
        </w:rPr>
      </w:pPr>
      <w:r>
        <w:rPr>
          <w:rFonts w:cs="Times New Roman"/>
        </w:rPr>
        <w:t>Pretreatment was followed by SSF</w:t>
      </w:r>
      <w:r w:rsidR="00116709">
        <w:rPr>
          <w:rFonts w:cs="Times New Roman"/>
        </w:rPr>
        <w:t xml:space="preserve">. </w:t>
      </w:r>
      <w:r w:rsidR="00686D2D">
        <w:rPr>
          <w:rFonts w:cs="Times New Roman"/>
        </w:rPr>
        <w:t>A 0.4 g</w:t>
      </w:r>
      <w:r w:rsidR="00686D2D" w:rsidRPr="000E7D9F">
        <w:rPr>
          <w:rFonts w:cs="Times New Roman"/>
        </w:rPr>
        <w:t xml:space="preserve"> </w:t>
      </w:r>
      <w:r w:rsidR="00686D2D">
        <w:rPr>
          <w:rFonts w:cs="Times New Roman"/>
        </w:rPr>
        <w:t xml:space="preserve">sample </w:t>
      </w:r>
      <w:r w:rsidR="00686D2D" w:rsidRPr="000E7D9F">
        <w:rPr>
          <w:rFonts w:cs="Times New Roman"/>
        </w:rPr>
        <w:t xml:space="preserve">of </w:t>
      </w:r>
      <w:r w:rsidR="00686D2D">
        <w:rPr>
          <w:rFonts w:cs="Times New Roman"/>
        </w:rPr>
        <w:t xml:space="preserve">dried, </w:t>
      </w:r>
      <w:r w:rsidR="00686D2D" w:rsidRPr="000E7D9F">
        <w:rPr>
          <w:rFonts w:cs="Times New Roman"/>
        </w:rPr>
        <w:t>pretreated biomass was added to a sealed 70 mL reusable BBL Septi-Chek bottle</w:t>
      </w:r>
      <w:r w:rsidR="00954DB7">
        <w:rPr>
          <w:rFonts w:cs="Times New Roman"/>
        </w:rPr>
        <w:t xml:space="preserve">. </w:t>
      </w:r>
      <w:r w:rsidR="00686D2D" w:rsidRPr="000E7D9F">
        <w:rPr>
          <w:rFonts w:cs="Times New Roman"/>
        </w:rPr>
        <w:t>S. cerevisiae D5A was grown in YEPD broth to provide fermentation inoculum at 1.5% v/v</w:t>
      </w:r>
      <w:r w:rsidR="00954DB7">
        <w:rPr>
          <w:rFonts w:cs="Times New Roman"/>
        </w:rPr>
        <w:t xml:space="preserve">. </w:t>
      </w:r>
      <w:r w:rsidR="00686D2D" w:rsidRPr="000E7D9F">
        <w:rPr>
          <w:rFonts w:cs="Times New Roman"/>
        </w:rPr>
        <w:t>Biomass and water were added to bottles and autoclaved for 30 minutes on a liquid cycle</w:t>
      </w:r>
      <w:r w:rsidR="00954DB7">
        <w:rPr>
          <w:rFonts w:cs="Times New Roman"/>
        </w:rPr>
        <w:t xml:space="preserve">. </w:t>
      </w:r>
      <w:r w:rsidR="00686D2D" w:rsidRPr="000E7D9F">
        <w:rPr>
          <w:rFonts w:cs="Times New Roman"/>
        </w:rPr>
        <w:t>Upon cooling, SBH, enzymes, yeast cells, and water in amounts required to reach a 5% loading, were added as the medium for S. cerevisiae fermentation</w:t>
      </w:r>
      <w:r w:rsidR="00954DB7">
        <w:rPr>
          <w:rFonts w:cs="Times New Roman"/>
        </w:rPr>
        <w:t xml:space="preserve">. </w:t>
      </w:r>
      <w:r w:rsidR="00686D2D" w:rsidRPr="000E7D9F">
        <w:rPr>
          <w:rFonts w:cs="Times New Roman"/>
        </w:rPr>
        <w:t>Additionally, 50 µg/mL streptomycin was added to each bottle</w:t>
      </w:r>
      <w:r w:rsidR="00954DB7">
        <w:rPr>
          <w:rFonts w:cs="Times New Roman"/>
        </w:rPr>
        <w:t xml:space="preserve">. </w:t>
      </w:r>
      <w:r w:rsidR="00686D2D" w:rsidRPr="000E7D9F">
        <w:rPr>
          <w:rFonts w:cs="Times New Roman"/>
        </w:rPr>
        <w:t>Bottles were sealed, weighed to the nearest 10 mg, and placed in a New Brunswick C24 shaker (New Brunswick Instrument Company, New Brunswick, NJ) at 36°C and 150rpm</w:t>
      </w:r>
      <w:r w:rsidR="00954DB7">
        <w:rPr>
          <w:rFonts w:cs="Times New Roman"/>
        </w:rPr>
        <w:t xml:space="preserve">. </w:t>
      </w:r>
      <w:r w:rsidR="00686D2D" w:rsidRPr="000E7D9F">
        <w:rPr>
          <w:rFonts w:cs="Times New Roman"/>
        </w:rPr>
        <w:t xml:space="preserve">At 14, 24, 36, 60, </w:t>
      </w:r>
      <w:r w:rsidR="00686D2D" w:rsidRPr="000E7D9F">
        <w:rPr>
          <w:rFonts w:cs="Times New Roman"/>
        </w:rPr>
        <w:lastRenderedPageBreak/>
        <w:t>132, 204, and 300 hours after inoculation, bottles were vented with a sterile needle to release CO2 and then weighed</w:t>
      </w:r>
      <w:r w:rsidR="00954DB7">
        <w:rPr>
          <w:rFonts w:cs="Times New Roman"/>
        </w:rPr>
        <w:t xml:space="preserve">. </w:t>
      </w:r>
      <w:r w:rsidR="00686D2D" w:rsidRPr="000E7D9F">
        <w:rPr>
          <w:rFonts w:cs="Times New Roman"/>
        </w:rPr>
        <w:t>After the final weighing period, samples were centrifuged at 13,000 rpm for 20 minutes and the supernatant was filtered through a 0.22 µm syringe tip filter (Fisher Scientific, Atlanta, GA)</w:t>
      </w:r>
      <w:r w:rsidR="00954DB7">
        <w:rPr>
          <w:rFonts w:cs="Times New Roman"/>
        </w:rPr>
        <w:t xml:space="preserve">. </w:t>
      </w:r>
      <w:r w:rsidR="00686D2D" w:rsidRPr="000E7D9F">
        <w:rPr>
          <w:rFonts w:cs="Times New Roman"/>
        </w:rPr>
        <w:t>An HPLC system with a Biorad Aminex HPX-87H 300 x 7.8 mm column was used to measure ethanol (mg g</w:t>
      </w:r>
      <w:r w:rsidR="00686D2D" w:rsidRPr="00500621">
        <w:rPr>
          <w:rFonts w:cs="Times New Roman"/>
          <w:vertAlign w:val="superscript"/>
        </w:rPr>
        <w:t>-1</w:t>
      </w:r>
      <w:r w:rsidR="00686D2D" w:rsidRPr="000E7D9F">
        <w:rPr>
          <w:rFonts w:cs="Times New Roman"/>
        </w:rPr>
        <w:t xml:space="preserve"> dry biomass)</w:t>
      </w:r>
      <w:r w:rsidR="00954DB7">
        <w:rPr>
          <w:rFonts w:cs="Times New Roman"/>
        </w:rPr>
        <w:t xml:space="preserve">. </w:t>
      </w:r>
      <w:r w:rsidR="00686D2D" w:rsidRPr="000E7D9F">
        <w:rPr>
          <w:rFonts w:cs="Times New Roman"/>
        </w:rPr>
        <w:t xml:space="preserve">         </w:t>
      </w:r>
    </w:p>
    <w:p w14:paraId="2E3B3ED4" w14:textId="77777777" w:rsidR="00686D2D" w:rsidRDefault="00686D2D" w:rsidP="00382C84">
      <w:pPr>
        <w:pStyle w:val="Heading3"/>
      </w:pPr>
      <w:bookmarkStart w:id="32" w:name="_Toc404069825"/>
      <w:r>
        <w:t>NIRS Analysis</w:t>
      </w:r>
      <w:bookmarkEnd w:id="32"/>
    </w:p>
    <w:p w14:paraId="31E61951" w14:textId="616BDF1B" w:rsidR="00686D2D" w:rsidRPr="000E7D9F" w:rsidRDefault="00686D2D" w:rsidP="00686D2D">
      <w:pPr>
        <w:ind w:firstLine="720"/>
        <w:rPr>
          <w:rFonts w:cs="Times New Roman"/>
        </w:rPr>
      </w:pPr>
      <w:r>
        <w:rPr>
          <w:rFonts w:cs="Times New Roman"/>
        </w:rPr>
        <w:t xml:space="preserve">Because of the time and expense of the </w:t>
      </w:r>
      <w:r w:rsidR="00116709">
        <w:rPr>
          <w:rFonts w:cs="Times New Roman"/>
        </w:rPr>
        <w:t xml:space="preserve">SSF procedures </w:t>
      </w:r>
      <w:r>
        <w:rPr>
          <w:rFonts w:cs="Times New Roman"/>
        </w:rPr>
        <w:t>described above, 2012 samples were analyzed using near-infrared reflectance spectroscopy (NIRS). Samples were analyzed using a FOSS NIRSystems 4</w:t>
      </w:r>
      <w:r w:rsidRPr="00441ABD">
        <w:rPr>
          <w:rFonts w:cs="Times New Roman"/>
        </w:rPr>
        <w:t xml:space="preserve">500 Feed &amp; Forage Analyzer </w:t>
      </w:r>
      <w:r>
        <w:rPr>
          <w:rFonts w:cs="Times New Roman"/>
        </w:rPr>
        <w:t>(</w:t>
      </w:r>
      <w:r w:rsidRPr="00441ABD">
        <w:rPr>
          <w:rFonts w:cs="Times New Roman"/>
        </w:rPr>
        <w:t>FOSS Analytical, Hilleroed, Denmark)</w:t>
      </w:r>
      <w:r>
        <w:rPr>
          <w:rFonts w:cs="Times New Roman"/>
        </w:rPr>
        <w:t>. WINSI II software, supplied by Infrasoft International LLC (State College, PA) was used for NIRS analysis</w:t>
      </w:r>
      <w:r w:rsidR="00954DB7">
        <w:rPr>
          <w:rFonts w:cs="Times New Roman"/>
        </w:rPr>
        <w:t xml:space="preserve">. </w:t>
      </w:r>
      <w:r>
        <w:rPr>
          <w:rFonts w:cs="Times New Roman"/>
        </w:rPr>
        <w:t xml:space="preserve">A global H statistical test in the WINSI II program was used to check the fit of the spectral profile of the calibration set to the current data </w:t>
      </w:r>
      <w:r w:rsidR="00301182">
        <w:rPr>
          <w:rFonts w:cs="Times New Roman"/>
        </w:rPr>
        <w:fldChar w:fldCharType="begin"/>
      </w:r>
      <w:r>
        <w:rPr>
          <w:rFonts w:cs="Times New Roman"/>
        </w:rPr>
        <w:instrText xml:space="preserve"> ADDIN EN.CITE &lt;EndNote&gt;&lt;Cite&gt;&lt;Author&gt;Murray&lt;/Author&gt;&lt;Year&gt;2004&lt;/Year&gt;&lt;RecNum&gt;302&lt;/RecNum&gt;&lt;DisplayText&gt;(Murray and Cowe, 2004)&lt;/DisplayText&gt;&lt;record&gt;&lt;rec-number&gt;302&lt;/rec-number&gt;&lt;foreign-keys&gt;&lt;key app="EN" db-id="9zfxt259rawwvce0pfa5efeuatdw0pz5va5z" timestamp="1396893591"&gt;302&lt;/key&gt;&lt;/foreign-keys&gt;&lt;ref-type name="Journal Article"&gt;17&lt;/ref-type&gt;&lt;contributors&gt;&lt;authors&gt;&lt;author&gt;Murray, I. &lt;/author&gt;&lt;author&gt;Cowe, I.&lt;/author&gt;&lt;/authors&gt;&lt;/contributors&gt;&lt;titles&gt;&lt;title&gt;Sample preparation. Near-Infrared Spectroscopy in Agriculture&lt;/title&gt;&lt;secondary-title&gt;Near Infrared Spectroscopy&lt;/secondary-title&gt;&lt;/titles&gt;&lt;periodical&gt;&lt;full-title&gt;Near Infrared Spectroscopy&lt;/full-title&gt;&lt;/periodical&gt;&lt;pages&gt;75-112&lt;/pages&gt;&lt;dates&gt;&lt;year&gt;2004&lt;/year&gt;&lt;/dates&gt;&lt;urls&gt;&lt;/urls&gt;&lt;/record&gt;&lt;/Cite&gt;&lt;/EndNote&gt;</w:instrText>
      </w:r>
      <w:r w:rsidR="00301182">
        <w:rPr>
          <w:rFonts w:cs="Times New Roman"/>
        </w:rPr>
        <w:fldChar w:fldCharType="separate"/>
      </w:r>
      <w:r>
        <w:rPr>
          <w:rFonts w:cs="Times New Roman"/>
          <w:noProof/>
        </w:rPr>
        <w:t>(</w:t>
      </w:r>
      <w:hyperlink w:anchor="_ENREF_72" w:tooltip="Murray, 2004 #302" w:history="1">
        <w:r w:rsidR="00FB5014">
          <w:rPr>
            <w:rFonts w:cs="Times New Roman"/>
            <w:noProof/>
          </w:rPr>
          <w:t>Murray and Cowe, 2004</w:t>
        </w:r>
      </w:hyperlink>
      <w:r>
        <w:rPr>
          <w:rFonts w:cs="Times New Roman"/>
          <w:noProof/>
        </w:rPr>
        <w:t>)</w:t>
      </w:r>
      <w:r w:rsidR="00301182">
        <w:rPr>
          <w:rFonts w:cs="Times New Roman"/>
        </w:rPr>
        <w:fldChar w:fldCharType="end"/>
      </w:r>
      <w:r>
        <w:rPr>
          <w:rFonts w:cs="Times New Roman"/>
        </w:rPr>
        <w:t xml:space="preserve"> Although </w:t>
      </w:r>
      <w:hyperlink w:anchor="_ENREF_99" w:tooltip="Vogel, 2011 #256" w:history="1">
        <w:r w:rsidR="00FB5014">
          <w:rPr>
            <w:rFonts w:cs="Times New Roman"/>
          </w:rPr>
          <w:fldChar w:fldCharType="begin"/>
        </w:r>
        <w:r w:rsidR="00FB5014">
          <w:rPr>
            <w:rFonts w:cs="Times New Roman"/>
          </w:rPr>
          <w:instrText xml:space="preserve"> ADDIN EN.CITE &lt;EndNote&gt;&lt;Cite AuthorYear="1"&gt;&lt;Author&gt;Vogel&lt;/Author&gt;&lt;Year&gt;2011&lt;/Year&gt;&lt;RecNum&gt;256&lt;/RecNum&gt;&lt;DisplayText&gt;Vogel et al. (2011)&lt;/DisplayText&gt;&lt;record&gt;&lt;rec-number&gt;256&lt;/rec-number&gt;&lt;foreign-keys&gt;&lt;key app="EN" db-id="9zfxt259rawwvce0pfa5efeuatdw0pz5va5z" timestamp="1323887732"&gt;256&lt;/key&gt;&lt;/foreign-keys&gt;&lt;ref-type name="Journal Article"&gt;17&lt;/ref-type&gt;&lt;contributors&gt;&lt;authors&gt;&lt;author&gt;Vogel, K.P.&lt;/author&gt;&lt;author&gt;Dien, B.S.&lt;/author&gt;&lt;author&gt;Jung, H.G.&lt;/author&gt;&lt;author&gt;Casler, M.D.&lt;/author&gt;&lt;author&gt;Masterson, S.D.&lt;/author&gt;&lt;author&gt;Mitchell, R.B.&lt;/author&gt;&lt;/authors&gt;&lt;/contributors&gt;&lt;titles&gt;&lt;title&gt;Quantifying actual and theoretical ethanol yields for switchgrass strains using NIRS analyses&lt;/title&gt;&lt;secondary-title&gt;Bioenergy Research&lt;/secondary-title&gt;&lt;/titles&gt;&lt;periodical&gt;&lt;full-title&gt;Bioenergy Research&lt;/full-title&gt;&lt;abbr-1&gt;BioEnergy Res.&lt;/abbr-1&gt;&lt;/periodical&gt;&lt;pages&gt;96-110&lt;/pages&gt;&lt;volume&gt;4&lt;/volume&gt;&lt;section&gt;96&lt;/section&gt;&lt;dates&gt;&lt;year&gt;2011&lt;/year&gt;&lt;/dates&gt;&lt;urls&gt;&lt;/urls&gt;&lt;/record&gt;&lt;/Cite&gt;&lt;/EndNote&gt;</w:instrText>
        </w:r>
        <w:r w:rsidR="00FB5014">
          <w:rPr>
            <w:rFonts w:cs="Times New Roman"/>
          </w:rPr>
          <w:fldChar w:fldCharType="separate"/>
        </w:r>
        <w:r w:rsidR="00FB5014">
          <w:rPr>
            <w:rFonts w:cs="Times New Roman"/>
            <w:noProof/>
          </w:rPr>
          <w:t>Vogel et al. (2011)</w:t>
        </w:r>
        <w:r w:rsidR="00FB5014">
          <w:rPr>
            <w:rFonts w:cs="Times New Roman"/>
          </w:rPr>
          <w:fldChar w:fldCharType="end"/>
        </w:r>
      </w:hyperlink>
      <w:r>
        <w:rPr>
          <w:rFonts w:cs="Times New Roman"/>
        </w:rPr>
        <w:t xml:space="preserve"> developed NIRS calibrations specifically for estimating ethanol production from switchgrass, the samples from this </w:t>
      </w:r>
      <w:r w:rsidR="009C1A48">
        <w:rPr>
          <w:rFonts w:cs="Times New Roman"/>
        </w:rPr>
        <w:t>rust severity</w:t>
      </w:r>
      <w:r>
        <w:rPr>
          <w:rFonts w:cs="Times New Roman"/>
        </w:rPr>
        <w:t xml:space="preserve"> experiment were not within the spectral profile of the calibration set for estimating ethanol yield, possibly due to the diseased na</w:t>
      </w:r>
      <w:r w:rsidR="00116709">
        <w:rPr>
          <w:rFonts w:cs="Times New Roman"/>
        </w:rPr>
        <w:t>ture of the material. A</w:t>
      </w:r>
      <w:r>
        <w:rPr>
          <w:rFonts w:cs="Times New Roman"/>
        </w:rPr>
        <w:t>ll samples did fit the 2013 mixed hay equation (H</w:t>
      </w:r>
      <w:r w:rsidR="00116709">
        <w:rPr>
          <w:rFonts w:cs="Times New Roman"/>
        </w:rPr>
        <w:t xml:space="preserve"> </w:t>
      </w:r>
      <w:r>
        <w:rPr>
          <w:rFonts w:cs="Times New Roman"/>
        </w:rPr>
        <w:t>&lt;</w:t>
      </w:r>
      <w:r w:rsidR="00116709">
        <w:rPr>
          <w:rFonts w:cs="Times New Roman"/>
        </w:rPr>
        <w:t xml:space="preserve"> </w:t>
      </w:r>
      <w:r>
        <w:rPr>
          <w:rFonts w:cs="Times New Roman"/>
        </w:rPr>
        <w:t xml:space="preserve">3.0) published by the NIRS Consortium (Hillsboro, WI). Using this equation, values were obtained for protein, acid detergent fiber (ADF), neutral detergent fiber (NDF), lignin, ash, digestible neutral detergent fiber at 48 hours (dNDF48), digestible neutral detergent fiber at 30 hours (dNDF30), </w:t>
      </w:r>
      <w:proofErr w:type="gramStart"/>
      <w:r>
        <w:rPr>
          <w:rFonts w:cs="Times New Roman"/>
        </w:rPr>
        <w:t>neutral</w:t>
      </w:r>
      <w:proofErr w:type="gramEnd"/>
      <w:r>
        <w:rPr>
          <w:rFonts w:cs="Times New Roman"/>
        </w:rPr>
        <w:t xml:space="preserve"> detergent fiber digestibility at 48 hours (NDFD48), sugars, fructan, magnesium and calcium. These values are reported on a dry matter (DM) basis</w:t>
      </w:r>
      <w:r w:rsidR="00954DB7">
        <w:rPr>
          <w:rFonts w:cs="Times New Roman"/>
        </w:rPr>
        <w:t xml:space="preserve">. </w:t>
      </w:r>
      <w:r>
        <w:rPr>
          <w:rFonts w:cs="Times New Roman"/>
        </w:rPr>
        <w:t xml:space="preserve">Values obtained for NDF and NDFD48 were inserted into the regression equation developed by </w:t>
      </w:r>
      <w:hyperlink w:anchor="_ENREF_65" w:tooltip="Lorenz, 2009 #280" w:history="1">
        <w:r w:rsidR="00FB5014">
          <w:rPr>
            <w:rFonts w:cs="Times New Roman"/>
          </w:rPr>
          <w:fldChar w:fldCharType="begin"/>
        </w:r>
        <w:r w:rsidR="00FB5014">
          <w:rPr>
            <w:rFonts w:cs="Times New Roman"/>
          </w:rPr>
          <w:instrText xml:space="preserve"> ADDIN EN.CITE &lt;EndNote&gt;&lt;Cite AuthorYear="1"&gt;&lt;Author&gt;Lorenz&lt;/Author&gt;&lt;Year&gt;2009&lt;/Year&gt;&lt;RecNum&gt;280&lt;/RecNum&gt;&lt;DisplayText&gt;Lorenz et al. (2009)&lt;/DisplayText&gt;&lt;record&gt;&lt;rec-number&gt;280&lt;/rec-number&gt;&lt;foreign-keys&gt;&lt;key app="EN" db-id="9zfxt259rawwvce0pfa5efeuatdw0pz5va5z" timestamp="1393016506"&gt;280&lt;/key&gt;&lt;/foreign-keys&gt;&lt;ref-type name="Journal Article"&gt;17&lt;/ref-type&gt;&lt;contributors&gt;&lt;authors&gt;&lt;author&gt;Lorenz, A.J. &lt;/author&gt;&lt;author&gt;Anex, R.P.&lt;/author&gt;&lt;author&gt;Isci, A.&lt;/author&gt;&lt;author&gt;Coors, J.G.&lt;/author&gt;&lt;author&gt;de Leon, N.&lt;/author&gt;&lt;author&gt;Weimer, P.J.&lt;/author&gt;&lt;/authors&gt;&lt;/contributors&gt;&lt;titles&gt;&lt;title&gt;&lt;style face="normal" font="default" size="100%"&gt;Forage quality and composition measurements as predictors of ethanol yield from maize (&lt;/style&gt;&lt;style face="italic" font="default" size="100%"&gt;Zea mays&lt;/style&gt;&lt;style face="normal" font="default" size="100%"&gt; L.) stover&lt;/style&gt;&lt;/title&gt;&lt;secondary-title&gt;Biotechnology for Biofuels&lt;/secondary-title&gt;&lt;/titles&gt;&lt;periodical&gt;&lt;full-title&gt;Biotechnology for Biofuels&lt;/full-title&gt;&lt;/periodical&gt;&lt;volume&gt;2&lt;/volume&gt;&lt;number&gt;5&lt;/number&gt;&lt;dates&gt;&lt;year&gt;2009&lt;/year&gt;&lt;/dates&gt;&lt;urls&gt;&lt;/urls&gt;&lt;electronic-resource-num&gt;10.1186/1754-6834-2-5&lt;/electronic-resource-num&gt;&lt;/record&gt;&lt;/Cite&gt;&lt;/EndNote&gt;</w:instrText>
        </w:r>
        <w:r w:rsidR="00FB5014">
          <w:rPr>
            <w:rFonts w:cs="Times New Roman"/>
          </w:rPr>
          <w:fldChar w:fldCharType="separate"/>
        </w:r>
        <w:r w:rsidR="00FB5014">
          <w:rPr>
            <w:rFonts w:cs="Times New Roman"/>
            <w:noProof/>
          </w:rPr>
          <w:t>Lorenz et al. (2009)</w:t>
        </w:r>
        <w:r w:rsidR="00FB5014">
          <w:rPr>
            <w:rFonts w:cs="Times New Roman"/>
          </w:rPr>
          <w:fldChar w:fldCharType="end"/>
        </w:r>
      </w:hyperlink>
      <w:r>
        <w:rPr>
          <w:rFonts w:cs="Times New Roman"/>
        </w:rPr>
        <w:t xml:space="preserve"> to estimate </w:t>
      </w:r>
      <w:r w:rsidR="0095454C">
        <w:rPr>
          <w:rFonts w:cs="Times New Roman"/>
        </w:rPr>
        <w:t>predicted ethanol yield</w:t>
      </w:r>
      <w:r>
        <w:rPr>
          <w:rFonts w:cs="Times New Roman"/>
        </w:rPr>
        <w:t xml:space="preserve"> from SSF</w:t>
      </w:r>
      <w:r w:rsidR="00954DB7">
        <w:rPr>
          <w:rFonts w:cs="Times New Roman"/>
        </w:rPr>
        <w:t xml:space="preserve">. </w:t>
      </w:r>
      <w:r>
        <w:rPr>
          <w:rFonts w:cs="Times New Roman"/>
        </w:rPr>
        <w:t xml:space="preserve">Since the published regression equation was </w:t>
      </w:r>
      <w:r>
        <w:rPr>
          <w:rFonts w:cs="Times New Roman"/>
        </w:rPr>
        <w:lastRenderedPageBreak/>
        <w:t xml:space="preserve">developed for corn stover and not switchgrass, samples from 2010 that were subjected to SSF were also analyzed using NIRS. Estimates of </w:t>
      </w:r>
      <w:r w:rsidR="0095454C">
        <w:rPr>
          <w:rFonts w:cs="Times New Roman"/>
        </w:rPr>
        <w:t>predicted ethanol yield</w:t>
      </w:r>
      <w:r>
        <w:rPr>
          <w:rFonts w:cs="Times New Roman"/>
        </w:rPr>
        <w:t xml:space="preserve"> using the equation developed by </w:t>
      </w:r>
      <w:hyperlink w:anchor="_ENREF_65" w:tooltip="Lorenz, 2009 #280" w:history="1">
        <w:r w:rsidR="00FB5014">
          <w:rPr>
            <w:rFonts w:cs="Times New Roman"/>
          </w:rPr>
          <w:fldChar w:fldCharType="begin"/>
        </w:r>
        <w:r w:rsidR="00FB5014">
          <w:rPr>
            <w:rFonts w:cs="Times New Roman"/>
          </w:rPr>
          <w:instrText xml:space="preserve"> ADDIN EN.CITE &lt;EndNote&gt;&lt;Cite AuthorYear="1"&gt;&lt;Author&gt;Lorenz&lt;/Author&gt;&lt;Year&gt;2009&lt;/Year&gt;&lt;RecNum&gt;280&lt;/RecNum&gt;&lt;DisplayText&gt;Lorenz et al. (2009)&lt;/DisplayText&gt;&lt;record&gt;&lt;rec-number&gt;280&lt;/rec-number&gt;&lt;foreign-keys&gt;&lt;key app="EN" db-id="9zfxt259rawwvce0pfa5efeuatdw0pz5va5z" timestamp="1393016506"&gt;280&lt;/key&gt;&lt;/foreign-keys&gt;&lt;ref-type name="Journal Article"&gt;17&lt;/ref-type&gt;&lt;contributors&gt;&lt;authors&gt;&lt;author&gt;Lorenz, A.J. &lt;/author&gt;&lt;author&gt;Anex, R.P.&lt;/author&gt;&lt;author&gt;Isci, A.&lt;/author&gt;&lt;author&gt;Coors, J.G.&lt;/author&gt;&lt;author&gt;de Leon, N.&lt;/author&gt;&lt;author&gt;Weimer, P.J.&lt;/author&gt;&lt;/authors&gt;&lt;/contributors&gt;&lt;titles&gt;&lt;title&gt;&lt;style face="normal" font="default" size="100%"&gt;Forage quality and composition measurements as predictors of ethanol yield from maize (&lt;/style&gt;&lt;style face="italic" font="default" size="100%"&gt;Zea mays&lt;/style&gt;&lt;style face="normal" font="default" size="100%"&gt; L.) stover&lt;/style&gt;&lt;/title&gt;&lt;secondary-title&gt;Biotechnology for Biofuels&lt;/secondary-title&gt;&lt;/titles&gt;&lt;periodical&gt;&lt;full-title&gt;Biotechnology for Biofuels&lt;/full-title&gt;&lt;/periodical&gt;&lt;volume&gt;2&lt;/volume&gt;&lt;number&gt;5&lt;/number&gt;&lt;dates&gt;&lt;year&gt;2009&lt;/year&gt;&lt;/dates&gt;&lt;urls&gt;&lt;/urls&gt;&lt;electronic-resource-num&gt;10.1186/1754-6834-2-5&lt;/electronic-resource-num&gt;&lt;/record&gt;&lt;/Cite&gt;&lt;/EndNote&gt;</w:instrText>
        </w:r>
        <w:r w:rsidR="00FB5014">
          <w:rPr>
            <w:rFonts w:cs="Times New Roman"/>
          </w:rPr>
          <w:fldChar w:fldCharType="separate"/>
        </w:r>
        <w:r w:rsidR="00FB5014">
          <w:rPr>
            <w:rFonts w:cs="Times New Roman"/>
            <w:noProof/>
          </w:rPr>
          <w:t>Lorenz et al. (2009)</w:t>
        </w:r>
        <w:r w:rsidR="00FB5014">
          <w:rPr>
            <w:rFonts w:cs="Times New Roman"/>
          </w:rPr>
          <w:fldChar w:fldCharType="end"/>
        </w:r>
      </w:hyperlink>
      <w:r>
        <w:rPr>
          <w:rFonts w:cs="Times New Roman"/>
        </w:rPr>
        <w:t xml:space="preserve"> were compared to the average ethanol yield across the two SSF runs to determine whether this equation was appropriate for estimating </w:t>
      </w:r>
      <w:r w:rsidR="0095454C">
        <w:rPr>
          <w:rFonts w:cs="Times New Roman"/>
        </w:rPr>
        <w:t>predicted ethanol yield</w:t>
      </w:r>
      <w:r>
        <w:rPr>
          <w:rFonts w:cs="Times New Roman"/>
        </w:rPr>
        <w:t xml:space="preserve"> on the 2012 sample set. The resulting regression equation was significant (P</w:t>
      </w:r>
      <w:r w:rsidR="00116709">
        <w:rPr>
          <w:rFonts w:cs="Times New Roman"/>
        </w:rPr>
        <w:t xml:space="preserve"> </w:t>
      </w:r>
      <w:r>
        <w:rPr>
          <w:rFonts w:cs="Times New Roman"/>
        </w:rPr>
        <w:t>=</w:t>
      </w:r>
      <w:r w:rsidR="00116709">
        <w:rPr>
          <w:rFonts w:cs="Times New Roman"/>
        </w:rPr>
        <w:t xml:space="preserve"> </w:t>
      </w:r>
      <w:r>
        <w:rPr>
          <w:rFonts w:cs="Times New Roman"/>
        </w:rPr>
        <w:t xml:space="preserve">0.002), with the NIRS estimated </w:t>
      </w:r>
      <w:r w:rsidR="0095454C">
        <w:rPr>
          <w:rFonts w:cs="Times New Roman"/>
        </w:rPr>
        <w:t>predicted ethanol yield</w:t>
      </w:r>
      <w:r>
        <w:rPr>
          <w:rFonts w:cs="Times New Roman"/>
        </w:rPr>
        <w:t xml:space="preserve">s explaining 97.5% of the variation in average SSF ethanol yield, indicating this equation would be a good estimate by which the 2012 samples could be evaluated for </w:t>
      </w:r>
      <w:r w:rsidR="0095454C">
        <w:rPr>
          <w:rFonts w:cs="Times New Roman"/>
        </w:rPr>
        <w:t>predicted ethanol yield</w:t>
      </w:r>
      <w:r w:rsidR="00954DB7">
        <w:rPr>
          <w:rFonts w:cs="Times New Roman"/>
        </w:rPr>
        <w:t xml:space="preserve">. </w:t>
      </w:r>
      <w:r>
        <w:rPr>
          <w:rFonts w:cs="Times New Roman"/>
        </w:rPr>
        <w:t>Percent cellulose was calculated as ADF minus lignin. Percent hemicellulose was calculated as NDF minus ADF</w:t>
      </w:r>
      <w:r w:rsidR="00954DB7">
        <w:rPr>
          <w:rFonts w:cs="Times New Roman"/>
        </w:rPr>
        <w:t xml:space="preserve">. </w:t>
      </w:r>
      <w:r>
        <w:rPr>
          <w:rFonts w:cs="Times New Roman"/>
        </w:rPr>
        <w:t xml:space="preserve">     </w:t>
      </w:r>
    </w:p>
    <w:p w14:paraId="63660B25" w14:textId="77777777" w:rsidR="00686D2D" w:rsidRPr="000E7D9F" w:rsidRDefault="00686D2D" w:rsidP="00382C84">
      <w:pPr>
        <w:pStyle w:val="Heading3"/>
      </w:pPr>
      <w:bookmarkStart w:id="33" w:name="_Toc404069826"/>
      <w:r w:rsidRPr="000E7D9F">
        <w:t>Statistical Analysis</w:t>
      </w:r>
      <w:bookmarkEnd w:id="33"/>
    </w:p>
    <w:p w14:paraId="5CC678A9" w14:textId="33773F7D" w:rsidR="00686D2D" w:rsidRDefault="00686D2D" w:rsidP="00686D2D">
      <w:pPr>
        <w:ind w:firstLine="720"/>
        <w:rPr>
          <w:rFonts w:cs="Times New Roman"/>
        </w:rPr>
      </w:pPr>
      <w:r>
        <w:rPr>
          <w:rFonts w:cs="Times New Roman"/>
        </w:rPr>
        <w:t xml:space="preserve">Data were analyzed by year since different analytical methods were used to assess </w:t>
      </w:r>
      <w:r w:rsidR="0095454C">
        <w:rPr>
          <w:rFonts w:cs="Times New Roman"/>
        </w:rPr>
        <w:t>predicted ethanol yield</w:t>
      </w:r>
      <w:r>
        <w:rPr>
          <w:rFonts w:cs="Times New Roman"/>
        </w:rPr>
        <w:t xml:space="preserve"> in 2010 (SSF) compared to 2012 (NIRS). Within each year, a mixed model ANOVA (α</w:t>
      </w:r>
      <w:r w:rsidR="00116709">
        <w:rPr>
          <w:rFonts w:cs="Times New Roman"/>
        </w:rPr>
        <w:t xml:space="preserve"> </w:t>
      </w:r>
      <w:r>
        <w:rPr>
          <w:rFonts w:cs="Times New Roman"/>
        </w:rPr>
        <w:t>=</w:t>
      </w:r>
      <w:r w:rsidR="00116709">
        <w:rPr>
          <w:rFonts w:cs="Times New Roman"/>
        </w:rPr>
        <w:t xml:space="preserve"> </w:t>
      </w:r>
      <w:r>
        <w:rPr>
          <w:rFonts w:cs="Times New Roman"/>
        </w:rPr>
        <w:t xml:space="preserve">0.05) was run in </w:t>
      </w:r>
      <w:r w:rsidR="00301182">
        <w:rPr>
          <w:rFonts w:cs="Times New Roman"/>
        </w:rPr>
        <w:fldChar w:fldCharType="begin"/>
      </w:r>
      <w:r>
        <w:rPr>
          <w:rFonts w:cs="Times New Roman"/>
        </w:rPr>
        <w:instrText xml:space="preserve"> ADDIN EN.CITE &lt;EndNote&gt;&lt;Cite Hidden="1"&gt;&lt;RecNum&gt;281&lt;/RecNum&gt;&lt;record&gt;&lt;rec-number&gt;281&lt;/rec-number&gt;&lt;foreign-keys&gt;&lt;key app="EN" db-id="9zfxt259rawwvce0pfa5efeuatdw0pz5va5z" timestamp="1393016920"&gt;281&lt;/key&gt;&lt;/foreign-keys&gt;&lt;ref-type name="Online Multimedia"&gt;48&lt;/ref-type&gt;&lt;contributors&gt;&lt;/contributors&gt;&lt;titles&gt;&lt;title&gt;SAS 9.3 TS Level 1M2&lt;/title&gt;&lt;/titles&gt;&lt;dates&gt;&lt;/dates&gt;&lt;pub-location&gt;Cary, NC&lt;/pub-location&gt;&lt;publisher&gt;SAS Inst.&lt;/publisher&gt;&lt;urls&gt;&lt;/urls&gt;&lt;/record&gt;&lt;/Cite&gt;&lt;Cite&gt;&lt;RecNum&gt;281&lt;/RecNum&gt;&lt;record&gt;&lt;rec-number&gt;281&lt;/rec-number&gt;&lt;foreign-keys&gt;&lt;key app="EN" db-id="9zfxt259rawwvce0pfa5efeuatdw0pz5va5z" timestamp="1393016920"&gt;281&lt;/key&gt;&lt;/foreign-keys&gt;&lt;ref-type name="Online Multimedia"&gt;48&lt;/ref-type&gt;&lt;contributors&gt;&lt;/contributors&gt;&lt;titles&gt;&lt;title&gt;SAS 9.3 TS Level 1M2&lt;/title&gt;&lt;/titles&gt;&lt;dates&gt;&lt;/dates&gt;&lt;pub-location&gt;Cary, NC&lt;/pub-location&gt;&lt;publisher&gt;SAS Inst.&lt;/publisher&gt;&lt;urls&gt;&lt;/urls&gt;&lt;/record&gt;&lt;/Cite&gt;&lt;/EndNote&gt;</w:instrText>
      </w:r>
      <w:r w:rsidR="00301182">
        <w:rPr>
          <w:rFonts w:cs="Times New Roman"/>
        </w:rPr>
        <w:fldChar w:fldCharType="end"/>
      </w:r>
      <w:r>
        <w:rPr>
          <w:rFonts w:cs="Times New Roman"/>
        </w:rPr>
        <w:t>SAS (v. 9.3, Cary, NC).</w:t>
      </w:r>
      <w:r w:rsidR="00301182">
        <w:rPr>
          <w:rFonts w:cs="Times New Roman"/>
        </w:rPr>
        <w:fldChar w:fldCharType="begin"/>
      </w:r>
      <w:r>
        <w:rPr>
          <w:rFonts w:cs="Times New Roman"/>
        </w:rPr>
        <w:instrText xml:space="preserve"> ADDIN EN.CITE &lt;EndNote&gt;&lt;Cite Hidden="1"&gt;&lt;RecNum&gt;281&lt;/RecNum&gt;&lt;record&gt;&lt;rec-number&gt;281&lt;/rec-number&gt;&lt;foreign-keys&gt;&lt;key app="EN" db-id="9zfxt259rawwvce0pfa5efeuatdw0pz5va5z" timestamp="1393016920"&gt;281&lt;/key&gt;&lt;/foreign-keys&gt;&lt;ref-type name="Online Multimedia"&gt;48&lt;/ref-type&gt;&lt;contributors&gt;&lt;/contributors&gt;&lt;titles&gt;&lt;title&gt;SAS 9.3 TS Level 1M2&lt;/title&gt;&lt;/titles&gt;&lt;dates&gt;&lt;/dates&gt;&lt;pub-location&gt;Cary, NC&lt;/pub-location&gt;&lt;publisher&gt;SAS Inst.&lt;/publisher&gt;&lt;urls&gt;&lt;/urls&gt;&lt;/record&gt;&lt;/Cite&gt;&lt;/EndNote&gt;</w:instrText>
      </w:r>
      <w:r w:rsidR="00301182">
        <w:rPr>
          <w:rFonts w:cs="Times New Roman"/>
        </w:rPr>
        <w:fldChar w:fldCharType="end"/>
      </w:r>
      <w:r>
        <w:rPr>
          <w:rFonts w:cs="Times New Roman"/>
        </w:rPr>
        <w:t xml:space="preserve">  In the SSF model, run was considered random and represents technical replication of each experimental unit. The NIRS model was designed as a split-plot</w:t>
      </w:r>
      <w:r w:rsidR="009021A8">
        <w:rPr>
          <w:rFonts w:cs="Times New Roman"/>
        </w:rPr>
        <w:t>,</w:t>
      </w:r>
      <w:r>
        <w:rPr>
          <w:rFonts w:cs="Times New Roman"/>
        </w:rPr>
        <w:t xml:space="preserve"> replicated by location</w:t>
      </w:r>
      <w:r w:rsidR="009021A8">
        <w:rPr>
          <w:rFonts w:cs="Times New Roman"/>
        </w:rPr>
        <w:t>,</w:t>
      </w:r>
      <w:r>
        <w:rPr>
          <w:rFonts w:cs="Times New Roman"/>
        </w:rPr>
        <w:t xml:space="preserve"> and did not contain technical replication. In the NIRS model, location and cultivar*location were considered random. The SSF and NIRS models are described below:</w:t>
      </w:r>
    </w:p>
    <w:p w14:paraId="450FCCA7" w14:textId="77777777" w:rsidR="00686D2D" w:rsidRPr="00DE1B97" w:rsidRDefault="00686D2D" w:rsidP="00686D2D">
      <w:pPr>
        <w:ind w:firstLine="720"/>
        <w:rPr>
          <w:rFonts w:cs="Times New Roman"/>
        </w:rPr>
      </w:pPr>
      <w:r>
        <w:rPr>
          <w:rFonts w:cs="Times New Roman"/>
        </w:rPr>
        <w:t xml:space="preserve">SSF:  </w:t>
      </w:r>
      <w:proofErr w:type="spellStart"/>
      <w:r>
        <w:rPr>
          <w:rFonts w:cs="Times New Roman"/>
        </w:rPr>
        <w:t>Y</w:t>
      </w:r>
      <w:r>
        <w:rPr>
          <w:rFonts w:cs="Times New Roman"/>
          <w:vertAlign w:val="subscript"/>
        </w:rPr>
        <w:t>ijk</w:t>
      </w:r>
      <w:proofErr w:type="spellEnd"/>
      <w:r>
        <w:rPr>
          <w:rFonts w:cs="Times New Roman"/>
        </w:rPr>
        <w:t xml:space="preserve"> = µ + </w:t>
      </w:r>
      <w:proofErr w:type="spellStart"/>
      <w:r>
        <w:rPr>
          <w:rFonts w:cs="Times New Roman"/>
        </w:rPr>
        <w:t>disease</w:t>
      </w:r>
      <w:r>
        <w:rPr>
          <w:rFonts w:cs="Times New Roman"/>
          <w:vertAlign w:val="subscript"/>
        </w:rPr>
        <w:t>i</w:t>
      </w:r>
      <w:proofErr w:type="spellEnd"/>
      <w:r w:rsidRPr="00164DAD">
        <w:rPr>
          <w:rFonts w:cs="Times New Roman"/>
        </w:rPr>
        <w:t xml:space="preserve"> + </w:t>
      </w:r>
      <w:proofErr w:type="spellStart"/>
      <w:r w:rsidRPr="00164DAD">
        <w:rPr>
          <w:rFonts w:cs="Times New Roman"/>
        </w:rPr>
        <w:t>cultivar</w:t>
      </w:r>
      <w:r>
        <w:rPr>
          <w:rFonts w:cs="Times New Roman"/>
          <w:vertAlign w:val="subscript"/>
        </w:rPr>
        <w:t>j</w:t>
      </w:r>
      <w:proofErr w:type="spellEnd"/>
      <w:r w:rsidRPr="00164DAD">
        <w:rPr>
          <w:rFonts w:cs="Times New Roman"/>
        </w:rPr>
        <w:t xml:space="preserve"> + </w:t>
      </w:r>
      <w:proofErr w:type="spellStart"/>
      <w:r w:rsidRPr="00164DAD">
        <w:rPr>
          <w:rFonts w:cs="Times New Roman"/>
        </w:rPr>
        <w:t>run</w:t>
      </w:r>
      <w:r>
        <w:rPr>
          <w:rFonts w:cs="Times New Roman"/>
          <w:vertAlign w:val="subscript"/>
        </w:rPr>
        <w:t>k</w:t>
      </w:r>
      <w:proofErr w:type="spellEnd"/>
      <w:r>
        <w:rPr>
          <w:rFonts w:cs="Times New Roman"/>
        </w:rPr>
        <w:t xml:space="preserve"> + disease*</w:t>
      </w:r>
      <w:proofErr w:type="spellStart"/>
      <w:r>
        <w:rPr>
          <w:rFonts w:cs="Times New Roman"/>
        </w:rPr>
        <w:t>cultivar</w:t>
      </w:r>
      <w:r>
        <w:rPr>
          <w:rFonts w:cs="Times New Roman"/>
          <w:vertAlign w:val="subscript"/>
        </w:rPr>
        <w:t>ij</w:t>
      </w:r>
      <w:proofErr w:type="spellEnd"/>
      <w:r>
        <w:rPr>
          <w:rFonts w:cs="Times New Roman"/>
        </w:rPr>
        <w:t xml:space="preserve"> + </w:t>
      </w:r>
      <w:proofErr w:type="spellStart"/>
      <w:r>
        <w:rPr>
          <w:rFonts w:cs="Times New Roman"/>
        </w:rPr>
        <w:t>error</w:t>
      </w:r>
      <w:r>
        <w:rPr>
          <w:rFonts w:cs="Times New Roman"/>
          <w:vertAlign w:val="subscript"/>
        </w:rPr>
        <w:t>ijk</w:t>
      </w:r>
      <w:proofErr w:type="spellEnd"/>
      <w:r>
        <w:rPr>
          <w:rFonts w:cs="Times New Roman"/>
        </w:rPr>
        <w:t>.</w:t>
      </w:r>
    </w:p>
    <w:p w14:paraId="0A2AF3AB" w14:textId="1EE64AF1" w:rsidR="00686D2D" w:rsidRPr="00D0748A" w:rsidRDefault="00686D2D" w:rsidP="00686D2D">
      <w:pPr>
        <w:rPr>
          <w:rFonts w:cs="Times New Roman"/>
        </w:rPr>
      </w:pPr>
      <w:r>
        <w:rPr>
          <w:rFonts w:cs="Times New Roman"/>
        </w:rPr>
        <w:t xml:space="preserve">where </w:t>
      </w:r>
      <w:proofErr w:type="spellStart"/>
      <w:r>
        <w:rPr>
          <w:rFonts w:cs="Times New Roman"/>
        </w:rPr>
        <w:t>Y</w:t>
      </w:r>
      <w:r>
        <w:rPr>
          <w:rFonts w:cs="Times New Roman"/>
          <w:vertAlign w:val="subscript"/>
        </w:rPr>
        <w:t>ijk</w:t>
      </w:r>
      <w:proofErr w:type="spellEnd"/>
      <w:r>
        <w:rPr>
          <w:rFonts w:cs="Times New Roman"/>
        </w:rPr>
        <w:t xml:space="preserve"> is the </w:t>
      </w:r>
      <w:r w:rsidR="0095454C">
        <w:rPr>
          <w:rFonts w:cs="Times New Roman"/>
        </w:rPr>
        <w:t>predicted ethanol yield</w:t>
      </w:r>
      <w:r>
        <w:rPr>
          <w:rFonts w:cs="Times New Roman"/>
        </w:rPr>
        <w:t xml:space="preserve"> in the experimental unit from the </w:t>
      </w:r>
      <w:proofErr w:type="spellStart"/>
      <w:r w:rsidRPr="00DE1B97">
        <w:rPr>
          <w:rFonts w:cs="Times New Roman"/>
          <w:i/>
        </w:rPr>
        <w:t>i</w:t>
      </w:r>
      <w:r>
        <w:rPr>
          <w:rFonts w:cs="Times New Roman"/>
        </w:rPr>
        <w:t>th</w:t>
      </w:r>
      <w:proofErr w:type="spellEnd"/>
      <w:r>
        <w:rPr>
          <w:rFonts w:cs="Times New Roman"/>
        </w:rPr>
        <w:t xml:space="preserve"> disease level, </w:t>
      </w:r>
      <w:proofErr w:type="spellStart"/>
      <w:r w:rsidRPr="00DE1B97">
        <w:rPr>
          <w:rFonts w:cs="Times New Roman"/>
          <w:i/>
        </w:rPr>
        <w:t>j</w:t>
      </w:r>
      <w:r>
        <w:rPr>
          <w:rFonts w:cs="Times New Roman"/>
        </w:rPr>
        <w:t>th</w:t>
      </w:r>
      <w:proofErr w:type="spellEnd"/>
      <w:r>
        <w:rPr>
          <w:rFonts w:cs="Times New Roman"/>
        </w:rPr>
        <w:t xml:space="preserve"> cultivar, and </w:t>
      </w:r>
      <w:proofErr w:type="spellStart"/>
      <w:r w:rsidRPr="00DE1B97">
        <w:rPr>
          <w:rFonts w:cs="Times New Roman"/>
          <w:i/>
        </w:rPr>
        <w:t>k</w:t>
      </w:r>
      <w:r>
        <w:rPr>
          <w:rFonts w:cs="Times New Roman"/>
        </w:rPr>
        <w:t>th</w:t>
      </w:r>
      <w:proofErr w:type="spellEnd"/>
      <w:r>
        <w:rPr>
          <w:rFonts w:cs="Times New Roman"/>
        </w:rPr>
        <w:t xml:space="preserve"> run, the overall mean is µ, </w:t>
      </w:r>
      <w:proofErr w:type="spellStart"/>
      <w:r>
        <w:rPr>
          <w:rFonts w:cs="Times New Roman"/>
        </w:rPr>
        <w:t>disease</w:t>
      </w:r>
      <w:r>
        <w:rPr>
          <w:rFonts w:cs="Times New Roman"/>
          <w:vertAlign w:val="subscript"/>
        </w:rPr>
        <w:t>i</w:t>
      </w:r>
      <w:proofErr w:type="spellEnd"/>
      <w:r>
        <w:rPr>
          <w:rFonts w:cs="Times New Roman"/>
        </w:rPr>
        <w:t xml:space="preserve"> is the </w:t>
      </w:r>
      <w:proofErr w:type="spellStart"/>
      <w:r w:rsidRPr="00DE1B97">
        <w:rPr>
          <w:rFonts w:cs="Times New Roman"/>
          <w:i/>
        </w:rPr>
        <w:t>i</w:t>
      </w:r>
      <w:r>
        <w:rPr>
          <w:rFonts w:cs="Times New Roman"/>
        </w:rPr>
        <w:t>th</w:t>
      </w:r>
      <w:proofErr w:type="spellEnd"/>
      <w:r>
        <w:rPr>
          <w:rFonts w:cs="Times New Roman"/>
        </w:rPr>
        <w:t xml:space="preserve"> disease level (high, medium or low), </w:t>
      </w:r>
      <w:proofErr w:type="spellStart"/>
      <w:r>
        <w:rPr>
          <w:rFonts w:cs="Times New Roman"/>
        </w:rPr>
        <w:t>cultivar</w:t>
      </w:r>
      <w:r>
        <w:rPr>
          <w:rFonts w:cs="Times New Roman"/>
          <w:vertAlign w:val="subscript"/>
        </w:rPr>
        <w:t>j</w:t>
      </w:r>
      <w:proofErr w:type="spellEnd"/>
      <w:r>
        <w:rPr>
          <w:rFonts w:cs="Times New Roman"/>
        </w:rPr>
        <w:t xml:space="preserve"> is the </w:t>
      </w:r>
      <w:proofErr w:type="spellStart"/>
      <w:r w:rsidRPr="00DE1B97">
        <w:rPr>
          <w:rFonts w:cs="Times New Roman"/>
          <w:i/>
        </w:rPr>
        <w:t>j</w:t>
      </w:r>
      <w:r w:rsidR="00116709">
        <w:rPr>
          <w:rFonts w:cs="Times New Roman"/>
        </w:rPr>
        <w:t>th</w:t>
      </w:r>
      <w:proofErr w:type="spellEnd"/>
      <w:r w:rsidR="00116709">
        <w:rPr>
          <w:rFonts w:cs="Times New Roman"/>
        </w:rPr>
        <w:t xml:space="preserve"> cultivar (Alamo, </w:t>
      </w:r>
      <w:r>
        <w:rPr>
          <w:rFonts w:cs="Times New Roman"/>
        </w:rPr>
        <w:t xml:space="preserve">Kanlow), </w:t>
      </w:r>
      <w:proofErr w:type="spellStart"/>
      <w:r>
        <w:rPr>
          <w:rFonts w:cs="Times New Roman"/>
        </w:rPr>
        <w:t>run</w:t>
      </w:r>
      <w:r>
        <w:rPr>
          <w:rFonts w:cs="Times New Roman"/>
          <w:vertAlign w:val="subscript"/>
        </w:rPr>
        <w:t>k</w:t>
      </w:r>
      <w:proofErr w:type="spellEnd"/>
      <w:r>
        <w:rPr>
          <w:rFonts w:cs="Times New Roman"/>
        </w:rPr>
        <w:t xml:space="preserve"> is the </w:t>
      </w:r>
      <w:proofErr w:type="spellStart"/>
      <w:r w:rsidRPr="00C46689">
        <w:rPr>
          <w:rFonts w:cs="Times New Roman"/>
          <w:i/>
        </w:rPr>
        <w:t>k</w:t>
      </w:r>
      <w:r>
        <w:rPr>
          <w:rFonts w:cs="Times New Roman"/>
        </w:rPr>
        <w:t>th</w:t>
      </w:r>
      <w:proofErr w:type="spellEnd"/>
      <w:r>
        <w:rPr>
          <w:rFonts w:cs="Times New Roman"/>
        </w:rPr>
        <w:t xml:space="preserve"> run (Run1, Run2), disease*</w:t>
      </w:r>
      <w:proofErr w:type="spellStart"/>
      <w:r>
        <w:rPr>
          <w:rFonts w:cs="Times New Roman"/>
        </w:rPr>
        <w:t>cultivar</w:t>
      </w:r>
      <w:r>
        <w:rPr>
          <w:rFonts w:cs="Times New Roman"/>
          <w:vertAlign w:val="subscript"/>
        </w:rPr>
        <w:t>ij</w:t>
      </w:r>
      <w:proofErr w:type="spellEnd"/>
      <w:r>
        <w:rPr>
          <w:rFonts w:cs="Times New Roman"/>
        </w:rPr>
        <w:t xml:space="preserve"> is the interaction of the </w:t>
      </w:r>
      <w:proofErr w:type="spellStart"/>
      <w:r w:rsidRPr="00DE1B97">
        <w:rPr>
          <w:rFonts w:cs="Times New Roman"/>
          <w:i/>
        </w:rPr>
        <w:t>i</w:t>
      </w:r>
      <w:r>
        <w:rPr>
          <w:rFonts w:cs="Times New Roman"/>
        </w:rPr>
        <w:t>th</w:t>
      </w:r>
      <w:proofErr w:type="spellEnd"/>
      <w:r>
        <w:rPr>
          <w:rFonts w:cs="Times New Roman"/>
        </w:rPr>
        <w:t xml:space="preserve"> disease level and </w:t>
      </w:r>
      <w:proofErr w:type="spellStart"/>
      <w:r w:rsidRPr="00DE1B97">
        <w:rPr>
          <w:rFonts w:cs="Times New Roman"/>
          <w:i/>
        </w:rPr>
        <w:t>j</w:t>
      </w:r>
      <w:r>
        <w:rPr>
          <w:rFonts w:cs="Times New Roman"/>
        </w:rPr>
        <w:t>th</w:t>
      </w:r>
      <w:proofErr w:type="spellEnd"/>
      <w:r>
        <w:rPr>
          <w:rFonts w:cs="Times New Roman"/>
        </w:rPr>
        <w:t xml:space="preserve"> cultivar, and </w:t>
      </w:r>
      <w:proofErr w:type="spellStart"/>
      <w:r>
        <w:rPr>
          <w:rFonts w:cs="Times New Roman"/>
        </w:rPr>
        <w:t>error</w:t>
      </w:r>
      <w:r>
        <w:rPr>
          <w:rFonts w:cs="Times New Roman"/>
          <w:vertAlign w:val="subscript"/>
        </w:rPr>
        <w:t>ijk</w:t>
      </w:r>
      <w:proofErr w:type="spellEnd"/>
      <w:r>
        <w:rPr>
          <w:rFonts w:cs="Times New Roman"/>
        </w:rPr>
        <w:t xml:space="preserve"> is the experimental error from the </w:t>
      </w:r>
      <w:proofErr w:type="spellStart"/>
      <w:r w:rsidRPr="00DE1B97">
        <w:rPr>
          <w:rFonts w:cs="Times New Roman"/>
          <w:i/>
        </w:rPr>
        <w:t>i</w:t>
      </w:r>
      <w:r>
        <w:rPr>
          <w:rFonts w:cs="Times New Roman"/>
        </w:rPr>
        <w:t>th</w:t>
      </w:r>
      <w:proofErr w:type="spellEnd"/>
      <w:r>
        <w:rPr>
          <w:rFonts w:cs="Times New Roman"/>
        </w:rPr>
        <w:t xml:space="preserve"> disease level, </w:t>
      </w:r>
      <w:proofErr w:type="spellStart"/>
      <w:r w:rsidRPr="00DE1B97">
        <w:rPr>
          <w:rFonts w:cs="Times New Roman"/>
          <w:i/>
        </w:rPr>
        <w:t>j</w:t>
      </w:r>
      <w:r>
        <w:rPr>
          <w:rFonts w:cs="Times New Roman"/>
        </w:rPr>
        <w:t>th</w:t>
      </w:r>
      <w:proofErr w:type="spellEnd"/>
      <w:r>
        <w:rPr>
          <w:rFonts w:cs="Times New Roman"/>
        </w:rPr>
        <w:t xml:space="preserve"> cultivar, and </w:t>
      </w:r>
      <w:proofErr w:type="spellStart"/>
      <w:r w:rsidRPr="00DE1B97">
        <w:rPr>
          <w:rFonts w:cs="Times New Roman"/>
          <w:i/>
        </w:rPr>
        <w:t>k</w:t>
      </w:r>
      <w:r>
        <w:rPr>
          <w:rFonts w:cs="Times New Roman"/>
        </w:rPr>
        <w:t>th</w:t>
      </w:r>
      <w:proofErr w:type="spellEnd"/>
      <w:r>
        <w:rPr>
          <w:rFonts w:cs="Times New Roman"/>
        </w:rPr>
        <w:t xml:space="preserve"> run</w:t>
      </w:r>
      <w:r w:rsidR="00954DB7">
        <w:rPr>
          <w:rFonts w:cs="Times New Roman"/>
        </w:rPr>
        <w:t xml:space="preserve">. </w:t>
      </w:r>
    </w:p>
    <w:p w14:paraId="2CD2A829" w14:textId="77777777" w:rsidR="00686D2D" w:rsidRPr="00DE1B97" w:rsidRDefault="00686D2D" w:rsidP="00686D2D">
      <w:pPr>
        <w:rPr>
          <w:rFonts w:cs="Times New Roman"/>
        </w:rPr>
      </w:pPr>
      <w:r>
        <w:rPr>
          <w:rFonts w:cs="Times New Roman"/>
        </w:rPr>
        <w:lastRenderedPageBreak/>
        <w:t xml:space="preserve">NIRS:  </w:t>
      </w:r>
      <w:proofErr w:type="spellStart"/>
      <w:r>
        <w:rPr>
          <w:rFonts w:cs="Times New Roman"/>
        </w:rPr>
        <w:t>Y</w:t>
      </w:r>
      <w:r>
        <w:rPr>
          <w:rFonts w:cs="Times New Roman"/>
          <w:vertAlign w:val="subscript"/>
        </w:rPr>
        <w:t>ijk</w:t>
      </w:r>
      <w:proofErr w:type="spellEnd"/>
      <w:r>
        <w:rPr>
          <w:rFonts w:cs="Times New Roman"/>
        </w:rPr>
        <w:t xml:space="preserve"> = µ + </w:t>
      </w:r>
      <w:proofErr w:type="spellStart"/>
      <w:r>
        <w:rPr>
          <w:rFonts w:cs="Times New Roman"/>
        </w:rPr>
        <w:t>disease</w:t>
      </w:r>
      <w:r>
        <w:rPr>
          <w:rFonts w:cs="Times New Roman"/>
          <w:vertAlign w:val="subscript"/>
        </w:rPr>
        <w:t>i</w:t>
      </w:r>
      <w:proofErr w:type="spellEnd"/>
      <w:r w:rsidRPr="00164DAD">
        <w:rPr>
          <w:rFonts w:cs="Times New Roman"/>
        </w:rPr>
        <w:t xml:space="preserve"> + </w:t>
      </w:r>
      <w:proofErr w:type="spellStart"/>
      <w:r w:rsidRPr="00164DAD">
        <w:rPr>
          <w:rFonts w:cs="Times New Roman"/>
        </w:rPr>
        <w:t>cultivar</w:t>
      </w:r>
      <w:r>
        <w:rPr>
          <w:rFonts w:cs="Times New Roman"/>
          <w:vertAlign w:val="subscript"/>
        </w:rPr>
        <w:t>j</w:t>
      </w:r>
      <w:proofErr w:type="spellEnd"/>
      <w:r w:rsidRPr="00164DAD">
        <w:rPr>
          <w:rFonts w:cs="Times New Roman"/>
        </w:rPr>
        <w:t xml:space="preserve"> + </w:t>
      </w:r>
      <w:proofErr w:type="spellStart"/>
      <w:r>
        <w:rPr>
          <w:rFonts w:cs="Times New Roman"/>
        </w:rPr>
        <w:t>location</w:t>
      </w:r>
      <w:r>
        <w:rPr>
          <w:rFonts w:cs="Times New Roman"/>
          <w:vertAlign w:val="subscript"/>
        </w:rPr>
        <w:t>k</w:t>
      </w:r>
      <w:proofErr w:type="spellEnd"/>
      <w:r>
        <w:rPr>
          <w:rFonts w:cs="Times New Roman"/>
        </w:rPr>
        <w:t xml:space="preserve"> + disease</w:t>
      </w:r>
      <w:r w:rsidRPr="00164DAD">
        <w:rPr>
          <w:rFonts w:cs="Times New Roman"/>
        </w:rPr>
        <w:t>*</w:t>
      </w:r>
      <w:proofErr w:type="spellStart"/>
      <w:r w:rsidRPr="00164DAD">
        <w:rPr>
          <w:rFonts w:cs="Times New Roman"/>
        </w:rPr>
        <w:t>cultivar</w:t>
      </w:r>
      <w:r>
        <w:rPr>
          <w:rFonts w:cs="Times New Roman"/>
          <w:vertAlign w:val="subscript"/>
        </w:rPr>
        <w:t>ij</w:t>
      </w:r>
      <w:proofErr w:type="spellEnd"/>
      <w:r>
        <w:rPr>
          <w:rFonts w:cs="Times New Roman"/>
        </w:rPr>
        <w:t xml:space="preserve"> + cultivar</w:t>
      </w:r>
      <w:r w:rsidRPr="00164DAD">
        <w:rPr>
          <w:rFonts w:cs="Times New Roman"/>
        </w:rPr>
        <w:t>*</w:t>
      </w:r>
      <w:proofErr w:type="spellStart"/>
      <w:r>
        <w:rPr>
          <w:rFonts w:cs="Times New Roman"/>
        </w:rPr>
        <w:t>location</w:t>
      </w:r>
      <w:r>
        <w:rPr>
          <w:rFonts w:cs="Times New Roman"/>
          <w:vertAlign w:val="subscript"/>
        </w:rPr>
        <w:t>ik</w:t>
      </w:r>
      <w:proofErr w:type="spellEnd"/>
      <w:r>
        <w:rPr>
          <w:rFonts w:cs="Times New Roman"/>
        </w:rPr>
        <w:t xml:space="preserve"> + </w:t>
      </w:r>
      <w:proofErr w:type="spellStart"/>
      <w:r>
        <w:rPr>
          <w:rFonts w:cs="Times New Roman"/>
        </w:rPr>
        <w:t>error</w:t>
      </w:r>
      <w:r>
        <w:rPr>
          <w:rFonts w:cs="Times New Roman"/>
          <w:vertAlign w:val="subscript"/>
        </w:rPr>
        <w:t>ijk</w:t>
      </w:r>
      <w:proofErr w:type="spellEnd"/>
    </w:p>
    <w:p w14:paraId="2889F9D9" w14:textId="663B94C3" w:rsidR="00686D2D" w:rsidRDefault="00686D2D" w:rsidP="00686D2D">
      <w:pPr>
        <w:rPr>
          <w:rFonts w:cs="Times New Roman"/>
        </w:rPr>
      </w:pPr>
      <w:proofErr w:type="gramStart"/>
      <w:r>
        <w:rPr>
          <w:rFonts w:cs="Times New Roman"/>
        </w:rPr>
        <w:t>where</w:t>
      </w:r>
      <w:proofErr w:type="gramEnd"/>
      <w:r>
        <w:rPr>
          <w:rFonts w:cs="Times New Roman"/>
        </w:rPr>
        <w:t xml:space="preserve"> all effects are as described above with exception to run which is replaced by the effect location and the addition of the cultivar*location term which accounts for the error term for the main plot, cultivar, in the split-plot design. Means within significant effects were separated using Student’s t-test for tests of two means and Tukey’s HSD for tests of three means</w:t>
      </w:r>
      <w:r w:rsidR="00954DB7">
        <w:rPr>
          <w:rFonts w:cs="Times New Roman"/>
        </w:rPr>
        <w:t xml:space="preserve">. </w:t>
      </w:r>
    </w:p>
    <w:p w14:paraId="5042C236" w14:textId="0625EAD3" w:rsidR="00686D2D" w:rsidRDefault="00686D2D" w:rsidP="00686D2D">
      <w:pPr>
        <w:ind w:firstLine="720"/>
        <w:rPr>
          <w:rFonts w:cs="Times New Roman"/>
        </w:rPr>
      </w:pPr>
      <w:r>
        <w:rPr>
          <w:rFonts w:cs="Times New Roman"/>
        </w:rPr>
        <w:t>NIRS was performed on samples from both years and this combined data set was used to assess the relationship between disease and various compositional elements. NIRS data for compositional elements were analyzed using an ANOVA (α</w:t>
      </w:r>
      <w:r w:rsidR="00116709">
        <w:rPr>
          <w:rFonts w:cs="Times New Roman"/>
        </w:rPr>
        <w:t xml:space="preserve"> </w:t>
      </w:r>
      <w:r>
        <w:rPr>
          <w:rFonts w:cs="Times New Roman"/>
        </w:rPr>
        <w:t>=</w:t>
      </w:r>
      <w:r w:rsidR="00116709">
        <w:rPr>
          <w:rFonts w:cs="Times New Roman"/>
        </w:rPr>
        <w:t xml:space="preserve"> </w:t>
      </w:r>
      <w:r>
        <w:rPr>
          <w:rFonts w:cs="Times New Roman"/>
        </w:rPr>
        <w:t>0.05) in SAS with disease level as the independent variable and each compositional element as the dependent variable within respective models. Within significant models, means were separated using Tukey’s HSD.</w:t>
      </w:r>
    </w:p>
    <w:p w14:paraId="2C217D4A" w14:textId="77777777" w:rsidR="00686D2D" w:rsidRPr="00382C84" w:rsidRDefault="00382C84" w:rsidP="009B24A0">
      <w:pPr>
        <w:pStyle w:val="Heading2"/>
      </w:pPr>
      <w:bookmarkStart w:id="34" w:name="_Toc404069827"/>
      <w:r>
        <w:t>Results</w:t>
      </w:r>
      <w:r w:rsidR="00331751">
        <w:t xml:space="preserve"> and Discussion</w:t>
      </w:r>
      <w:bookmarkEnd w:id="34"/>
    </w:p>
    <w:p w14:paraId="1BD05A66" w14:textId="7560784E" w:rsidR="00686D2D" w:rsidRDefault="0087133D" w:rsidP="00686D2D">
      <w:pPr>
        <w:ind w:firstLine="720"/>
        <w:rPr>
          <w:rFonts w:cs="Times New Roman"/>
        </w:rPr>
      </w:pPr>
      <w:r>
        <w:rPr>
          <w:rFonts w:cs="Times New Roman"/>
          <w:i/>
        </w:rPr>
        <w:t>Puccinia emaculata</w:t>
      </w:r>
      <w:r w:rsidR="003C2DB6">
        <w:rPr>
          <w:rFonts w:cs="Times New Roman"/>
        </w:rPr>
        <w:t xml:space="preserve"> w</w:t>
      </w:r>
      <w:r w:rsidR="00686D2D">
        <w:rPr>
          <w:rFonts w:cs="Times New Roman"/>
        </w:rPr>
        <w:t>as successfully isolated from medium and high disease leaves, but not from low disease leaves</w:t>
      </w:r>
      <w:r w:rsidR="00954DB7">
        <w:rPr>
          <w:rFonts w:cs="Times New Roman"/>
        </w:rPr>
        <w:t xml:space="preserve">. </w:t>
      </w:r>
      <w:r w:rsidR="00686D2D">
        <w:rPr>
          <w:rFonts w:cs="Times New Roman"/>
        </w:rPr>
        <w:t xml:space="preserve">Symptoms presented as yellow flecking that progressed into orange pustules containing urediniospores erupting through the epidermis (Figure </w:t>
      </w:r>
      <w:r w:rsidR="00A33886">
        <w:rPr>
          <w:rFonts w:cs="Times New Roman"/>
        </w:rPr>
        <w:t>1-2 A</w:t>
      </w:r>
      <w:r w:rsidR="00686D2D">
        <w:rPr>
          <w:rFonts w:cs="Times New Roman"/>
        </w:rPr>
        <w:t>). Urediniospores were dark brown, broadly ellipsoid, and, on aver</w:t>
      </w:r>
      <w:r w:rsidR="001E4731">
        <w:rPr>
          <w:rFonts w:cs="Times New Roman"/>
        </w:rPr>
        <w:t>age, 23 µm in diameter (n=20, s</w:t>
      </w:r>
      <w:r w:rsidR="00686D2D">
        <w:rPr>
          <w:rFonts w:cs="Times New Roman"/>
        </w:rPr>
        <w:t xml:space="preserve">=1.7) (Figure </w:t>
      </w:r>
      <w:r w:rsidR="001E4731">
        <w:rPr>
          <w:rFonts w:cs="Times New Roman"/>
        </w:rPr>
        <w:t>1-</w:t>
      </w:r>
      <w:r w:rsidR="00686D2D">
        <w:rPr>
          <w:rFonts w:cs="Times New Roman"/>
        </w:rPr>
        <w:t>2</w:t>
      </w:r>
      <w:r w:rsidR="001E4731">
        <w:rPr>
          <w:rFonts w:cs="Times New Roman"/>
        </w:rPr>
        <w:t xml:space="preserve"> B</w:t>
      </w:r>
      <w:r w:rsidR="00686D2D">
        <w:rPr>
          <w:rFonts w:cs="Times New Roman"/>
        </w:rPr>
        <w:t xml:space="preserve">). Teliospores were light brown, rounded above and narrowed below with a slight constriction at the septum and a brown pedicel approximately one times the length of the spore (Figure </w:t>
      </w:r>
      <w:r w:rsidR="001E4731">
        <w:rPr>
          <w:rFonts w:cs="Times New Roman"/>
        </w:rPr>
        <w:t>1-2 C</w:t>
      </w:r>
      <w:r w:rsidR="00686D2D">
        <w:rPr>
          <w:rFonts w:cs="Times New Roman"/>
        </w:rPr>
        <w:t>)</w:t>
      </w:r>
      <w:r w:rsidR="00954DB7">
        <w:rPr>
          <w:rFonts w:cs="Times New Roman"/>
        </w:rPr>
        <w:t xml:space="preserve">. </w:t>
      </w:r>
      <w:r w:rsidR="00116709">
        <w:rPr>
          <w:rFonts w:cs="Times New Roman"/>
        </w:rPr>
        <w:t xml:space="preserve">The pathogen causing rust disease symptoms </w:t>
      </w:r>
      <w:r w:rsidR="00686D2D">
        <w:rPr>
          <w:rFonts w:cs="Times New Roman"/>
        </w:rPr>
        <w:t xml:space="preserve">was identified as </w:t>
      </w:r>
      <w:r w:rsidR="00686D2D">
        <w:rPr>
          <w:rFonts w:cs="Times New Roman"/>
          <w:i/>
        </w:rPr>
        <w:t>Puccinia emaculata</w:t>
      </w:r>
      <w:r w:rsidR="00686D2D">
        <w:rPr>
          <w:rFonts w:cs="Times New Roman"/>
        </w:rPr>
        <w:t xml:space="preserve"> based on host plant and morphology of urediniospores and teliospores as described by </w:t>
      </w:r>
      <w:hyperlink w:anchor="_ENREF_5" w:tooltip="Arthur, 1934 #282" w:history="1">
        <w:r w:rsidR="00FB5014">
          <w:rPr>
            <w:rFonts w:cs="Times New Roman"/>
          </w:rPr>
          <w:fldChar w:fldCharType="begin"/>
        </w:r>
        <w:r w:rsidR="00FB5014">
          <w:rPr>
            <w:rFonts w:cs="Times New Roman"/>
          </w:rPr>
          <w:instrText xml:space="preserve"> ADDIN EN.CITE &lt;EndNote&gt;&lt;Cite AuthorYear="1"&gt;&lt;Author&gt;Arthur&lt;/Author&gt;&lt;Year&gt;1934&lt;/Year&gt;&lt;RecNum&gt;282&lt;/RecNum&gt;&lt;DisplayText&gt;Arthur (1934)&lt;/DisplayText&gt;&lt;record&gt;&lt;rec-number&gt;282&lt;/rec-number&gt;&lt;foreign-keys&gt;&lt;key app="EN" db-id="9zfxt259rawwvce0pfa5efeuatdw0pz5va5z" timestamp="1393017899"&gt;282&lt;/key&gt;&lt;/foreign-keys&gt;&lt;ref-type name="Book"&gt;6&lt;/ref-type&gt;&lt;contributors&gt;&lt;authors&gt;&lt;author&gt;Arthur, J.C.&lt;/author&gt;&lt;/authors&gt;&lt;/contributors&gt;&lt;titles&gt;&lt;title&gt;Manual of rusts in United States and Canada&lt;/title&gt;&lt;/titles&gt;&lt;dates&gt;&lt;year&gt;1934&lt;/year&gt;&lt;/dates&gt;&lt;pub-location&gt;Lancaster, PA&lt;/pub-location&gt;&lt;publisher&gt;The Science Press Printing Co.&lt;/publisher&gt;&lt;urls&gt;&lt;/urls&gt;&lt;/record&gt;&lt;/Cite&gt;&lt;/EndNote&gt;</w:instrText>
        </w:r>
        <w:r w:rsidR="00FB5014">
          <w:rPr>
            <w:rFonts w:cs="Times New Roman"/>
          </w:rPr>
          <w:fldChar w:fldCharType="separate"/>
        </w:r>
        <w:r w:rsidR="00FB5014">
          <w:rPr>
            <w:rFonts w:cs="Times New Roman"/>
            <w:noProof/>
          </w:rPr>
          <w:t>Arthur (1934)</w:t>
        </w:r>
        <w:r w:rsidR="00FB5014">
          <w:rPr>
            <w:rFonts w:cs="Times New Roman"/>
          </w:rPr>
          <w:fldChar w:fldCharType="end"/>
        </w:r>
      </w:hyperlink>
      <w:r w:rsidR="00686D2D">
        <w:rPr>
          <w:rFonts w:cs="Times New Roman"/>
        </w:rPr>
        <w:t xml:space="preserve">. </w:t>
      </w:r>
    </w:p>
    <w:p w14:paraId="2328BEB8" w14:textId="5926EDF1" w:rsidR="00331751" w:rsidRDefault="00686D2D" w:rsidP="00331751">
      <w:pPr>
        <w:ind w:firstLine="720"/>
        <w:rPr>
          <w:rFonts w:cs="Times New Roman"/>
        </w:rPr>
      </w:pPr>
      <w:r>
        <w:rPr>
          <w:rFonts w:cs="Times New Roman"/>
        </w:rPr>
        <w:lastRenderedPageBreak/>
        <w:t>Within the 201</w:t>
      </w:r>
      <w:r w:rsidR="001E4731">
        <w:rPr>
          <w:rFonts w:cs="Times New Roman"/>
        </w:rPr>
        <w:t>0 model (SSF), disease level (P &lt; 0.001</w:t>
      </w:r>
      <w:r>
        <w:rPr>
          <w:rFonts w:cs="Times New Roman"/>
        </w:rPr>
        <w:t xml:space="preserve">) was significant. </w:t>
      </w:r>
      <w:r w:rsidR="0095454C">
        <w:rPr>
          <w:rFonts w:cs="Times New Roman"/>
        </w:rPr>
        <w:t>Predicted ethanol yield</w:t>
      </w:r>
      <w:r>
        <w:rPr>
          <w:rFonts w:cs="Times New Roman"/>
        </w:rPr>
        <w:t xml:space="preserve"> from medium disease samples (</w:t>
      </w:r>
      <m:oMath>
        <m:bar>
          <m:barPr>
            <m:pos m:val="top"/>
            <m:ctrlPr>
              <w:rPr>
                <w:rFonts w:ascii="Cambria Math" w:hAnsi="Cambria Math" w:cs="Times New Roman"/>
                <w:i/>
              </w:rPr>
            </m:ctrlPr>
          </m:barPr>
          <m:e>
            <m:r>
              <w:rPr>
                <w:rFonts w:ascii="Cambria Math" w:hAnsi="Cambria Math" w:cs="Times New Roman"/>
              </w:rPr>
              <m:t>x</m:t>
            </m:r>
          </m:e>
        </m:bar>
      </m:oMath>
      <w:r>
        <w:rPr>
          <w:rFonts w:cs="Times New Roman"/>
        </w:rPr>
        <w:t xml:space="preserve"> </w:t>
      </w:r>
      <w:r>
        <w:rPr>
          <w:rFonts w:cs="Times New Roman"/>
          <w:vertAlign w:val="subscript"/>
        </w:rPr>
        <w:t xml:space="preserve">DM-10 </w:t>
      </w:r>
      <w:r>
        <w:rPr>
          <w:rFonts w:cs="Times New Roman"/>
        </w:rPr>
        <w:t>= 50 mg/g) and high disease samples (</w:t>
      </w:r>
      <m:oMath>
        <m:bar>
          <m:barPr>
            <m:pos m:val="top"/>
            <m:ctrlPr>
              <w:rPr>
                <w:rFonts w:ascii="Cambria Math" w:hAnsi="Cambria Math" w:cs="Times New Roman"/>
                <w:i/>
              </w:rPr>
            </m:ctrlPr>
          </m:barPr>
          <m:e>
            <m:r>
              <w:rPr>
                <w:rFonts w:ascii="Cambria Math" w:hAnsi="Cambria Math" w:cs="Times New Roman"/>
              </w:rPr>
              <m:t>x</m:t>
            </m:r>
          </m:e>
        </m:bar>
      </m:oMath>
      <w:r>
        <w:rPr>
          <w:rFonts w:cs="Times New Roman"/>
        </w:rPr>
        <w:t xml:space="preserve"> </w:t>
      </w:r>
      <w:r>
        <w:rPr>
          <w:rFonts w:cs="Times New Roman"/>
          <w:vertAlign w:val="subscript"/>
        </w:rPr>
        <w:t xml:space="preserve">DH-10. </w:t>
      </w:r>
      <w:r>
        <w:rPr>
          <w:rFonts w:cs="Times New Roman"/>
        </w:rPr>
        <w:t xml:space="preserve">= 37 mg/g) were significantly lower than </w:t>
      </w:r>
      <w:r w:rsidR="0095454C">
        <w:rPr>
          <w:rFonts w:cs="Times New Roman"/>
        </w:rPr>
        <w:t>predicted ethanol yield</w:t>
      </w:r>
      <w:r>
        <w:rPr>
          <w:rFonts w:cs="Times New Roman"/>
        </w:rPr>
        <w:t xml:space="preserve"> from low disease samples (</w:t>
      </w:r>
      <m:oMath>
        <m:bar>
          <m:barPr>
            <m:pos m:val="top"/>
            <m:ctrlPr>
              <w:rPr>
                <w:rFonts w:ascii="Cambria Math" w:hAnsi="Cambria Math" w:cs="Times New Roman"/>
                <w:i/>
              </w:rPr>
            </m:ctrlPr>
          </m:barPr>
          <m:e>
            <m:r>
              <w:rPr>
                <w:rFonts w:ascii="Cambria Math" w:hAnsi="Cambria Math" w:cs="Times New Roman"/>
              </w:rPr>
              <m:t>x</m:t>
            </m:r>
          </m:e>
        </m:bar>
      </m:oMath>
      <w:r>
        <w:rPr>
          <w:rFonts w:cs="Times New Roman"/>
        </w:rPr>
        <w:t xml:space="preserve"> </w:t>
      </w:r>
      <w:r>
        <w:rPr>
          <w:rFonts w:cs="Times New Roman"/>
          <w:vertAlign w:val="subscript"/>
        </w:rPr>
        <w:t>DL-10</w:t>
      </w:r>
      <w:r>
        <w:rPr>
          <w:rFonts w:cs="Times New Roman"/>
        </w:rPr>
        <w:t>.</w:t>
      </w:r>
      <w:r>
        <w:rPr>
          <w:rFonts w:cs="Times New Roman"/>
          <w:vertAlign w:val="subscript"/>
        </w:rPr>
        <w:t xml:space="preserve"> </w:t>
      </w:r>
      <w:r>
        <w:rPr>
          <w:rFonts w:cs="Times New Roman"/>
        </w:rPr>
        <w:t>= 76 mg/g)</w:t>
      </w:r>
      <w:r w:rsidRPr="0030202C">
        <w:rPr>
          <w:rFonts w:cs="Times New Roman"/>
        </w:rPr>
        <w:t xml:space="preserve"> </w:t>
      </w:r>
      <w:r>
        <w:rPr>
          <w:rFonts w:cs="Times New Roman"/>
        </w:rPr>
        <w:t xml:space="preserve">(Figure </w:t>
      </w:r>
      <w:r w:rsidR="001E4731">
        <w:rPr>
          <w:rFonts w:cs="Times New Roman"/>
        </w:rPr>
        <w:t>1-</w:t>
      </w:r>
      <w:r>
        <w:rPr>
          <w:rFonts w:cs="Times New Roman"/>
        </w:rPr>
        <w:t xml:space="preserve">3). Compared to </w:t>
      </w:r>
      <w:r w:rsidR="0095454C">
        <w:rPr>
          <w:rFonts w:cs="Times New Roman"/>
        </w:rPr>
        <w:t>predicted ethanol yield</w:t>
      </w:r>
      <w:r>
        <w:rPr>
          <w:rFonts w:cs="Times New Roman"/>
        </w:rPr>
        <w:t xml:space="preserve"> from low disease samples, medium disease samples had a 34% reduction in </w:t>
      </w:r>
      <w:r w:rsidR="0095454C">
        <w:rPr>
          <w:rFonts w:cs="Times New Roman"/>
        </w:rPr>
        <w:t>predicted ethanol yield</w:t>
      </w:r>
      <w:r>
        <w:rPr>
          <w:rFonts w:cs="Times New Roman"/>
        </w:rPr>
        <w:t xml:space="preserve"> and high disease samples had a 52% reduction in </w:t>
      </w:r>
      <w:r w:rsidR="0095454C">
        <w:rPr>
          <w:rFonts w:cs="Times New Roman"/>
        </w:rPr>
        <w:t>predicted ethanol yield</w:t>
      </w:r>
      <w:r>
        <w:rPr>
          <w:rFonts w:cs="Times New Roman"/>
        </w:rPr>
        <w:t xml:space="preserve">. Cultivar was not significant and there was no significant interaction between cultivar and disease. </w:t>
      </w:r>
    </w:p>
    <w:p w14:paraId="6D294D24" w14:textId="05B8435D" w:rsidR="00686D2D" w:rsidRDefault="00686D2D" w:rsidP="00686D2D">
      <w:pPr>
        <w:ind w:firstLine="720"/>
        <w:rPr>
          <w:rFonts w:cs="Times New Roman"/>
        </w:rPr>
      </w:pPr>
      <w:r>
        <w:rPr>
          <w:rFonts w:cs="Times New Roman"/>
        </w:rPr>
        <w:t xml:space="preserve">Within the 2012 model (NIRS), disease level </w:t>
      </w:r>
      <w:r w:rsidRPr="00C6109E">
        <w:rPr>
          <w:rFonts w:cs="Times New Roman"/>
        </w:rPr>
        <w:t>(</w:t>
      </w:r>
      <w:r w:rsidR="001E4731">
        <w:rPr>
          <w:rFonts w:cs="Times New Roman"/>
        </w:rPr>
        <w:t>P &lt; 0.001</w:t>
      </w:r>
      <w:r>
        <w:rPr>
          <w:rFonts w:cs="Times New Roman"/>
        </w:rPr>
        <w:t xml:space="preserve">) was significant. </w:t>
      </w:r>
      <w:r w:rsidR="0095454C">
        <w:rPr>
          <w:rFonts w:cs="Times New Roman"/>
        </w:rPr>
        <w:t>Predicted ethanol yield</w:t>
      </w:r>
      <w:r>
        <w:rPr>
          <w:rFonts w:cs="Times New Roman"/>
        </w:rPr>
        <w:t xml:space="preserve"> from medium disease samples (</w:t>
      </w:r>
      <m:oMath>
        <m:bar>
          <m:barPr>
            <m:pos m:val="top"/>
            <m:ctrlPr>
              <w:rPr>
                <w:rFonts w:ascii="Cambria Math" w:hAnsi="Cambria Math" w:cs="Times New Roman"/>
                <w:i/>
              </w:rPr>
            </m:ctrlPr>
          </m:barPr>
          <m:e>
            <m:r>
              <w:rPr>
                <w:rFonts w:ascii="Cambria Math" w:hAnsi="Cambria Math" w:cs="Times New Roman"/>
              </w:rPr>
              <m:t>x</m:t>
            </m:r>
          </m:e>
        </m:bar>
      </m:oMath>
      <w:r>
        <w:rPr>
          <w:rFonts w:cs="Times New Roman"/>
        </w:rPr>
        <w:t xml:space="preserve"> </w:t>
      </w:r>
      <w:r>
        <w:rPr>
          <w:rFonts w:cs="Times New Roman"/>
          <w:vertAlign w:val="subscript"/>
        </w:rPr>
        <w:t xml:space="preserve">DM-12 </w:t>
      </w:r>
      <w:r>
        <w:rPr>
          <w:rFonts w:cs="Times New Roman"/>
        </w:rPr>
        <w:t>= 72 mg/g) and high disease samples (</w:t>
      </w:r>
      <m:oMath>
        <m:bar>
          <m:barPr>
            <m:pos m:val="top"/>
            <m:ctrlPr>
              <w:rPr>
                <w:rFonts w:ascii="Cambria Math" w:hAnsi="Cambria Math" w:cs="Times New Roman"/>
                <w:i/>
              </w:rPr>
            </m:ctrlPr>
          </m:barPr>
          <m:e>
            <m:r>
              <w:rPr>
                <w:rFonts w:ascii="Cambria Math" w:hAnsi="Cambria Math" w:cs="Times New Roman"/>
              </w:rPr>
              <m:t>x</m:t>
            </m:r>
          </m:e>
        </m:bar>
      </m:oMath>
      <w:r>
        <w:rPr>
          <w:rFonts w:cs="Times New Roman"/>
        </w:rPr>
        <w:t xml:space="preserve"> </w:t>
      </w:r>
      <w:r>
        <w:rPr>
          <w:rFonts w:cs="Times New Roman"/>
          <w:vertAlign w:val="subscript"/>
        </w:rPr>
        <w:t xml:space="preserve">DH-12. </w:t>
      </w:r>
      <w:r>
        <w:rPr>
          <w:rFonts w:cs="Times New Roman"/>
        </w:rPr>
        <w:t xml:space="preserve">= 63 mg/g) were significantly lower than </w:t>
      </w:r>
      <w:r w:rsidR="0095454C">
        <w:rPr>
          <w:rFonts w:cs="Times New Roman"/>
        </w:rPr>
        <w:t>predicted ethanol yield</w:t>
      </w:r>
      <w:r>
        <w:rPr>
          <w:rFonts w:cs="Times New Roman"/>
        </w:rPr>
        <w:t xml:space="preserve"> from low disease samples (</w:t>
      </w:r>
      <m:oMath>
        <m:bar>
          <m:barPr>
            <m:pos m:val="top"/>
            <m:ctrlPr>
              <w:rPr>
                <w:rFonts w:ascii="Cambria Math" w:hAnsi="Cambria Math" w:cs="Times New Roman"/>
                <w:i/>
              </w:rPr>
            </m:ctrlPr>
          </m:barPr>
          <m:e>
            <m:r>
              <w:rPr>
                <w:rFonts w:ascii="Cambria Math" w:hAnsi="Cambria Math" w:cs="Times New Roman"/>
              </w:rPr>
              <m:t>x</m:t>
            </m:r>
          </m:e>
        </m:bar>
      </m:oMath>
      <w:r>
        <w:rPr>
          <w:rFonts w:cs="Times New Roman"/>
        </w:rPr>
        <w:t xml:space="preserve"> </w:t>
      </w:r>
      <w:r>
        <w:rPr>
          <w:rFonts w:cs="Times New Roman"/>
          <w:vertAlign w:val="subscript"/>
        </w:rPr>
        <w:t>DL-12</w:t>
      </w:r>
      <w:r>
        <w:rPr>
          <w:rFonts w:cs="Times New Roman"/>
        </w:rPr>
        <w:t>.</w:t>
      </w:r>
      <w:r>
        <w:rPr>
          <w:rFonts w:cs="Times New Roman"/>
          <w:vertAlign w:val="subscript"/>
        </w:rPr>
        <w:t xml:space="preserve"> </w:t>
      </w:r>
      <w:r>
        <w:rPr>
          <w:rFonts w:cs="Times New Roman"/>
        </w:rPr>
        <w:t>= 80 mg/g)</w:t>
      </w:r>
      <w:r w:rsidRPr="0030202C">
        <w:rPr>
          <w:rFonts w:cs="Times New Roman"/>
        </w:rPr>
        <w:t xml:space="preserve"> </w:t>
      </w:r>
      <w:r>
        <w:rPr>
          <w:rFonts w:cs="Times New Roman"/>
        </w:rPr>
        <w:t xml:space="preserve">(Figure </w:t>
      </w:r>
      <w:r w:rsidR="00A33886">
        <w:rPr>
          <w:rFonts w:cs="Times New Roman"/>
        </w:rPr>
        <w:t>1-4</w:t>
      </w:r>
      <w:r>
        <w:rPr>
          <w:rFonts w:cs="Times New Roman"/>
        </w:rPr>
        <w:t xml:space="preserve">). Compared to </w:t>
      </w:r>
      <w:r w:rsidR="0095454C">
        <w:rPr>
          <w:rFonts w:cs="Times New Roman"/>
        </w:rPr>
        <w:t>predicted ethanol yield</w:t>
      </w:r>
      <w:r>
        <w:rPr>
          <w:rFonts w:cs="Times New Roman"/>
        </w:rPr>
        <w:t xml:space="preserve"> from low disease samples, medium disease samples had a 10% reduction in </w:t>
      </w:r>
      <w:r w:rsidR="0095454C">
        <w:rPr>
          <w:rFonts w:cs="Times New Roman"/>
        </w:rPr>
        <w:t>predicted ethanol yield</w:t>
      </w:r>
      <w:r>
        <w:rPr>
          <w:rFonts w:cs="Times New Roman"/>
        </w:rPr>
        <w:t xml:space="preserve"> and high disease samples had a 21% reduction in </w:t>
      </w:r>
      <w:r w:rsidR="0095454C">
        <w:rPr>
          <w:rFonts w:cs="Times New Roman"/>
        </w:rPr>
        <w:t>predicted ethanol yield</w:t>
      </w:r>
      <w:r>
        <w:rPr>
          <w:rFonts w:cs="Times New Roman"/>
        </w:rPr>
        <w:t>. Cultivar was not significant and there was no significant interaction between cultivar and disease</w:t>
      </w:r>
      <w:r w:rsidR="00954DB7">
        <w:rPr>
          <w:rFonts w:cs="Times New Roman"/>
        </w:rPr>
        <w:t xml:space="preserve">. </w:t>
      </w:r>
    </w:p>
    <w:p w14:paraId="64815609" w14:textId="31892034" w:rsidR="00331751" w:rsidRDefault="00686D2D" w:rsidP="00382C84">
      <w:pPr>
        <w:rPr>
          <w:rFonts w:cs="Times New Roman"/>
        </w:rPr>
      </w:pPr>
      <w:r>
        <w:rPr>
          <w:rFonts w:cs="Times New Roman"/>
        </w:rPr>
        <w:tab/>
        <w:t>Compositional elements that differed significantly by disease level included dry matter (R</w:t>
      </w:r>
      <w:r w:rsidRPr="00C6109E">
        <w:rPr>
          <w:rFonts w:cs="Times New Roman"/>
          <w:vertAlign w:val="superscript"/>
        </w:rPr>
        <w:t>2</w:t>
      </w:r>
      <w:r w:rsidR="00116709">
        <w:rPr>
          <w:rFonts w:cs="Times New Roman"/>
          <w:vertAlign w:val="superscript"/>
        </w:rPr>
        <w:t xml:space="preserve"> </w:t>
      </w:r>
      <w:r>
        <w:rPr>
          <w:rFonts w:cs="Times New Roman"/>
        </w:rPr>
        <w:t>=</w:t>
      </w:r>
      <w:r w:rsidR="00116709">
        <w:rPr>
          <w:rFonts w:cs="Times New Roman"/>
        </w:rPr>
        <w:t xml:space="preserve"> </w:t>
      </w:r>
      <w:r>
        <w:rPr>
          <w:rFonts w:cs="Times New Roman"/>
        </w:rPr>
        <w:t>0.71, P</w:t>
      </w:r>
      <w:r w:rsidR="00116709">
        <w:rPr>
          <w:rFonts w:cs="Times New Roman"/>
        </w:rPr>
        <w:t xml:space="preserve"> </w:t>
      </w:r>
      <w:r>
        <w:rPr>
          <w:rFonts w:cs="Times New Roman"/>
        </w:rPr>
        <w:t>=</w:t>
      </w:r>
      <w:r w:rsidR="00116709">
        <w:rPr>
          <w:rFonts w:cs="Times New Roman"/>
        </w:rPr>
        <w:t xml:space="preserve"> </w:t>
      </w:r>
      <w:r>
        <w:rPr>
          <w:rFonts w:cs="Times New Roman"/>
        </w:rPr>
        <w:t>0.0002), cellulose (R</w:t>
      </w:r>
      <w:r w:rsidRPr="005456E1">
        <w:rPr>
          <w:rFonts w:cs="Times New Roman"/>
          <w:vertAlign w:val="superscript"/>
        </w:rPr>
        <w:t>2</w:t>
      </w:r>
      <w:r w:rsidR="00116709">
        <w:rPr>
          <w:rFonts w:cs="Times New Roman"/>
          <w:vertAlign w:val="superscript"/>
        </w:rPr>
        <w:t xml:space="preserve"> </w:t>
      </w:r>
      <w:r>
        <w:rPr>
          <w:rFonts w:cs="Times New Roman"/>
        </w:rPr>
        <w:t>=</w:t>
      </w:r>
      <w:r w:rsidR="00116709">
        <w:rPr>
          <w:rFonts w:cs="Times New Roman"/>
        </w:rPr>
        <w:t xml:space="preserve"> </w:t>
      </w:r>
      <w:r>
        <w:rPr>
          <w:rFonts w:cs="Times New Roman"/>
        </w:rPr>
        <w:t>0.63, p</w:t>
      </w:r>
      <w:r w:rsidR="00116709">
        <w:rPr>
          <w:rFonts w:cs="Times New Roman"/>
        </w:rPr>
        <w:t xml:space="preserve"> </w:t>
      </w:r>
      <w:r>
        <w:rPr>
          <w:rFonts w:cs="Times New Roman"/>
        </w:rPr>
        <w:t>=</w:t>
      </w:r>
      <w:r w:rsidR="00116709">
        <w:rPr>
          <w:rFonts w:cs="Times New Roman"/>
        </w:rPr>
        <w:t xml:space="preserve"> </w:t>
      </w:r>
      <w:r>
        <w:rPr>
          <w:rFonts w:cs="Times New Roman"/>
        </w:rPr>
        <w:t>0.001), hemicellulose (R</w:t>
      </w:r>
      <w:r w:rsidRPr="00C6109E">
        <w:rPr>
          <w:rFonts w:cs="Times New Roman"/>
          <w:vertAlign w:val="superscript"/>
        </w:rPr>
        <w:t>2</w:t>
      </w:r>
      <w:r w:rsidR="00116709">
        <w:rPr>
          <w:rFonts w:cs="Times New Roman"/>
          <w:vertAlign w:val="superscript"/>
        </w:rPr>
        <w:t xml:space="preserve"> </w:t>
      </w:r>
      <w:r>
        <w:rPr>
          <w:rFonts w:cs="Times New Roman"/>
        </w:rPr>
        <w:t>=</w:t>
      </w:r>
      <w:r w:rsidR="00116709">
        <w:rPr>
          <w:rFonts w:cs="Times New Roman"/>
        </w:rPr>
        <w:t xml:space="preserve"> </w:t>
      </w:r>
      <w:r>
        <w:rPr>
          <w:rFonts w:cs="Times New Roman"/>
        </w:rPr>
        <w:t>0.44, p</w:t>
      </w:r>
      <w:r w:rsidR="00116709">
        <w:rPr>
          <w:rFonts w:cs="Times New Roman"/>
        </w:rPr>
        <w:t xml:space="preserve"> </w:t>
      </w:r>
      <w:r>
        <w:rPr>
          <w:rFonts w:cs="Times New Roman"/>
        </w:rPr>
        <w:t>=</w:t>
      </w:r>
      <w:r w:rsidR="00116709">
        <w:rPr>
          <w:rFonts w:cs="Times New Roman"/>
        </w:rPr>
        <w:t xml:space="preserve"> </w:t>
      </w:r>
      <w:r>
        <w:rPr>
          <w:rFonts w:cs="Times New Roman"/>
        </w:rPr>
        <w:t>0.018), dNDF48 (R</w:t>
      </w:r>
      <w:r w:rsidRPr="00C6109E">
        <w:rPr>
          <w:rFonts w:cs="Times New Roman"/>
          <w:vertAlign w:val="superscript"/>
        </w:rPr>
        <w:t>2</w:t>
      </w:r>
      <w:r w:rsidR="00116709">
        <w:rPr>
          <w:rFonts w:cs="Times New Roman"/>
          <w:vertAlign w:val="superscript"/>
        </w:rPr>
        <w:t xml:space="preserve"> </w:t>
      </w:r>
      <w:r>
        <w:rPr>
          <w:rFonts w:cs="Times New Roman"/>
        </w:rPr>
        <w:t>=</w:t>
      </w:r>
      <w:r w:rsidR="00116709">
        <w:rPr>
          <w:rFonts w:cs="Times New Roman"/>
        </w:rPr>
        <w:t xml:space="preserve"> </w:t>
      </w:r>
      <w:r>
        <w:rPr>
          <w:rFonts w:cs="Times New Roman"/>
        </w:rPr>
        <w:t>0.78, p</w:t>
      </w:r>
      <w:r w:rsidR="00116709">
        <w:rPr>
          <w:rFonts w:cs="Times New Roman"/>
        </w:rPr>
        <w:t xml:space="preserve"> </w:t>
      </w:r>
      <w:r>
        <w:rPr>
          <w:rFonts w:cs="Times New Roman"/>
        </w:rPr>
        <w:t>&lt;</w:t>
      </w:r>
      <w:r w:rsidR="00116709">
        <w:rPr>
          <w:rFonts w:cs="Times New Roman"/>
        </w:rPr>
        <w:t xml:space="preserve"> </w:t>
      </w:r>
      <w:r>
        <w:rPr>
          <w:rFonts w:cs="Times New Roman"/>
        </w:rPr>
        <w:t>0.0001), NDFD48 (R</w:t>
      </w:r>
      <w:r w:rsidRPr="00C6109E">
        <w:rPr>
          <w:rFonts w:cs="Times New Roman"/>
          <w:vertAlign w:val="superscript"/>
        </w:rPr>
        <w:t>2</w:t>
      </w:r>
      <w:r w:rsidR="00116709">
        <w:rPr>
          <w:rFonts w:cs="Times New Roman"/>
          <w:vertAlign w:val="superscript"/>
        </w:rPr>
        <w:t xml:space="preserve"> </w:t>
      </w:r>
      <w:r>
        <w:rPr>
          <w:rFonts w:cs="Times New Roman"/>
        </w:rPr>
        <w:t>=</w:t>
      </w:r>
      <w:r w:rsidR="00116709">
        <w:rPr>
          <w:rFonts w:cs="Times New Roman"/>
        </w:rPr>
        <w:t xml:space="preserve"> </w:t>
      </w:r>
      <w:r>
        <w:rPr>
          <w:rFonts w:cs="Times New Roman"/>
        </w:rPr>
        <w:t>0.66, p</w:t>
      </w:r>
      <w:r w:rsidR="00116709">
        <w:rPr>
          <w:rFonts w:cs="Times New Roman"/>
        </w:rPr>
        <w:t xml:space="preserve"> </w:t>
      </w:r>
      <w:r>
        <w:rPr>
          <w:rFonts w:cs="Times New Roman"/>
        </w:rPr>
        <w:t>=</w:t>
      </w:r>
      <w:r w:rsidR="00116709">
        <w:rPr>
          <w:rFonts w:cs="Times New Roman"/>
        </w:rPr>
        <w:t xml:space="preserve"> </w:t>
      </w:r>
      <w:r>
        <w:rPr>
          <w:rFonts w:cs="Times New Roman"/>
        </w:rPr>
        <w:t>0.001), ADF (R</w:t>
      </w:r>
      <w:r w:rsidRPr="00C6109E">
        <w:rPr>
          <w:rFonts w:cs="Times New Roman"/>
          <w:vertAlign w:val="superscript"/>
        </w:rPr>
        <w:t>2</w:t>
      </w:r>
      <w:r w:rsidR="00116709">
        <w:rPr>
          <w:rFonts w:cs="Times New Roman"/>
          <w:vertAlign w:val="superscript"/>
        </w:rPr>
        <w:t xml:space="preserve"> </w:t>
      </w:r>
      <w:r>
        <w:rPr>
          <w:rFonts w:cs="Times New Roman"/>
        </w:rPr>
        <w:t>=</w:t>
      </w:r>
      <w:r w:rsidR="00116709">
        <w:rPr>
          <w:rFonts w:cs="Times New Roman"/>
        </w:rPr>
        <w:t xml:space="preserve"> </w:t>
      </w:r>
      <w:r>
        <w:rPr>
          <w:rFonts w:cs="Times New Roman"/>
        </w:rPr>
        <w:t>0.62, p</w:t>
      </w:r>
      <w:r w:rsidR="00116709">
        <w:rPr>
          <w:rFonts w:cs="Times New Roman"/>
        </w:rPr>
        <w:t xml:space="preserve"> </w:t>
      </w:r>
      <w:r>
        <w:rPr>
          <w:rFonts w:cs="Times New Roman"/>
        </w:rPr>
        <w:t>=</w:t>
      </w:r>
      <w:r w:rsidR="00116709">
        <w:rPr>
          <w:rFonts w:cs="Times New Roman"/>
        </w:rPr>
        <w:t xml:space="preserve"> </w:t>
      </w:r>
      <w:r>
        <w:rPr>
          <w:rFonts w:cs="Times New Roman"/>
        </w:rPr>
        <w:t>0.001), ash (R</w:t>
      </w:r>
      <w:r w:rsidRPr="00C6109E">
        <w:rPr>
          <w:rFonts w:cs="Times New Roman"/>
          <w:vertAlign w:val="superscript"/>
        </w:rPr>
        <w:t>2</w:t>
      </w:r>
      <w:r w:rsidR="00116709">
        <w:rPr>
          <w:rFonts w:cs="Times New Roman"/>
          <w:vertAlign w:val="superscript"/>
        </w:rPr>
        <w:t xml:space="preserve"> </w:t>
      </w:r>
      <w:r>
        <w:rPr>
          <w:rFonts w:cs="Times New Roman"/>
        </w:rPr>
        <w:t>=</w:t>
      </w:r>
      <w:r w:rsidR="00116709">
        <w:rPr>
          <w:rFonts w:cs="Times New Roman"/>
        </w:rPr>
        <w:t xml:space="preserve"> </w:t>
      </w:r>
      <w:r>
        <w:rPr>
          <w:rFonts w:cs="Times New Roman"/>
        </w:rPr>
        <w:t>0.55, p</w:t>
      </w:r>
      <w:r w:rsidR="00116709">
        <w:rPr>
          <w:rFonts w:cs="Times New Roman"/>
        </w:rPr>
        <w:t xml:space="preserve"> </w:t>
      </w:r>
      <w:r>
        <w:rPr>
          <w:rFonts w:cs="Times New Roman"/>
        </w:rPr>
        <w:t>=</w:t>
      </w:r>
      <w:r w:rsidR="00116709">
        <w:rPr>
          <w:rFonts w:cs="Times New Roman"/>
        </w:rPr>
        <w:t xml:space="preserve"> </w:t>
      </w:r>
      <w:r>
        <w:rPr>
          <w:rFonts w:cs="Times New Roman"/>
        </w:rPr>
        <w:t>0.004), fat (R</w:t>
      </w:r>
      <w:r w:rsidRPr="00C6109E">
        <w:rPr>
          <w:rFonts w:cs="Times New Roman"/>
          <w:vertAlign w:val="superscript"/>
        </w:rPr>
        <w:t>2</w:t>
      </w:r>
      <w:r w:rsidR="00116709">
        <w:rPr>
          <w:rFonts w:cs="Times New Roman"/>
          <w:vertAlign w:val="superscript"/>
        </w:rPr>
        <w:t xml:space="preserve"> </w:t>
      </w:r>
      <w:r>
        <w:rPr>
          <w:rFonts w:cs="Times New Roman"/>
        </w:rPr>
        <w:t>=</w:t>
      </w:r>
      <w:r w:rsidR="00116709">
        <w:rPr>
          <w:rFonts w:cs="Times New Roman"/>
        </w:rPr>
        <w:t xml:space="preserve"> </w:t>
      </w:r>
      <w:r>
        <w:rPr>
          <w:rFonts w:cs="Times New Roman"/>
        </w:rPr>
        <w:t>0.48, p</w:t>
      </w:r>
      <w:r w:rsidR="00116709">
        <w:rPr>
          <w:rFonts w:cs="Times New Roman"/>
        </w:rPr>
        <w:t xml:space="preserve"> </w:t>
      </w:r>
      <w:r>
        <w:rPr>
          <w:rFonts w:cs="Times New Roman"/>
        </w:rPr>
        <w:t>=</w:t>
      </w:r>
      <w:r w:rsidR="00116709">
        <w:rPr>
          <w:rFonts w:cs="Times New Roman"/>
        </w:rPr>
        <w:t xml:space="preserve"> </w:t>
      </w:r>
      <w:r>
        <w:rPr>
          <w:rFonts w:cs="Times New Roman"/>
        </w:rPr>
        <w:t>0.008), magnesium (R</w:t>
      </w:r>
      <w:r w:rsidRPr="00C6109E">
        <w:rPr>
          <w:rFonts w:cs="Times New Roman"/>
          <w:vertAlign w:val="superscript"/>
        </w:rPr>
        <w:t>2</w:t>
      </w:r>
      <w:r w:rsidR="00116709">
        <w:rPr>
          <w:rFonts w:cs="Times New Roman"/>
          <w:vertAlign w:val="superscript"/>
        </w:rPr>
        <w:t xml:space="preserve"> </w:t>
      </w:r>
      <w:r>
        <w:rPr>
          <w:rFonts w:cs="Times New Roman"/>
        </w:rPr>
        <w:t>=</w:t>
      </w:r>
      <w:r w:rsidR="00116709">
        <w:rPr>
          <w:rFonts w:cs="Times New Roman"/>
        </w:rPr>
        <w:t xml:space="preserve"> </w:t>
      </w:r>
      <w:r>
        <w:rPr>
          <w:rFonts w:cs="Times New Roman"/>
        </w:rPr>
        <w:t>0.68, p</w:t>
      </w:r>
      <w:r w:rsidR="00116709">
        <w:rPr>
          <w:rFonts w:cs="Times New Roman"/>
        </w:rPr>
        <w:t xml:space="preserve"> </w:t>
      </w:r>
      <w:r>
        <w:rPr>
          <w:rFonts w:cs="Times New Roman"/>
        </w:rPr>
        <w:t>=</w:t>
      </w:r>
      <w:r w:rsidR="00116709">
        <w:rPr>
          <w:rFonts w:cs="Times New Roman"/>
        </w:rPr>
        <w:t xml:space="preserve"> </w:t>
      </w:r>
      <w:r>
        <w:rPr>
          <w:rFonts w:cs="Times New Roman"/>
        </w:rPr>
        <w:t>0.0003), and calcium (R</w:t>
      </w:r>
      <w:r w:rsidRPr="00C6109E">
        <w:rPr>
          <w:rFonts w:cs="Times New Roman"/>
          <w:vertAlign w:val="superscript"/>
        </w:rPr>
        <w:t>2</w:t>
      </w:r>
      <w:r w:rsidR="00116709">
        <w:rPr>
          <w:rFonts w:cs="Times New Roman"/>
          <w:vertAlign w:val="superscript"/>
        </w:rPr>
        <w:t xml:space="preserve"> </w:t>
      </w:r>
      <w:r>
        <w:rPr>
          <w:rFonts w:cs="Times New Roman"/>
        </w:rPr>
        <w:t>=</w:t>
      </w:r>
      <w:r w:rsidR="00116709">
        <w:rPr>
          <w:rFonts w:cs="Times New Roman"/>
        </w:rPr>
        <w:t xml:space="preserve"> </w:t>
      </w:r>
      <w:r>
        <w:rPr>
          <w:rFonts w:cs="Times New Roman"/>
        </w:rPr>
        <w:t>0.87, p</w:t>
      </w:r>
      <w:r w:rsidR="00116709">
        <w:rPr>
          <w:rFonts w:cs="Times New Roman"/>
        </w:rPr>
        <w:t xml:space="preserve"> </w:t>
      </w:r>
      <w:r>
        <w:rPr>
          <w:rFonts w:cs="Times New Roman"/>
        </w:rPr>
        <w:t>&lt;</w:t>
      </w:r>
      <w:r w:rsidR="00116709">
        <w:rPr>
          <w:rFonts w:cs="Times New Roman"/>
        </w:rPr>
        <w:t xml:space="preserve"> </w:t>
      </w:r>
      <w:r>
        <w:rPr>
          <w:rFonts w:cs="Times New Roman"/>
        </w:rPr>
        <w:t>0.001) (Table 1</w:t>
      </w:r>
      <w:r w:rsidR="00A33886">
        <w:rPr>
          <w:rFonts w:cs="Times New Roman"/>
        </w:rPr>
        <w:t>-1</w:t>
      </w:r>
      <w:r>
        <w:rPr>
          <w:rFonts w:cs="Times New Roman"/>
        </w:rPr>
        <w:t xml:space="preserve">). Models were not significant for the following dependent variables: protein, NDF, lignin, sugars, fructan, potassium, and phosphorus. </w:t>
      </w:r>
    </w:p>
    <w:p w14:paraId="50CE9021" w14:textId="33069453" w:rsidR="00382C84" w:rsidRPr="00331751" w:rsidRDefault="00331751" w:rsidP="00331751">
      <w:pPr>
        <w:ind w:firstLine="720"/>
      </w:pPr>
      <w:r>
        <w:t xml:space="preserve">Results from this study indicate a significant reduction in predicted ethanol yield from switchgrass infected with </w:t>
      </w:r>
      <w:r w:rsidR="0087133D">
        <w:rPr>
          <w:i/>
        </w:rPr>
        <w:t>P. emaculata</w:t>
      </w:r>
      <w:r>
        <w:t xml:space="preserve">. Reductions in predicted ethanol yield may be due to a number of factors shown to be associated with fungal infections. These factors can be divided </w:t>
      </w:r>
      <w:r>
        <w:lastRenderedPageBreak/>
        <w:t xml:space="preserve">into two categories, reduction in availability of digestible plant material and reduction in digestibility of that material. </w:t>
      </w:r>
    </w:p>
    <w:p w14:paraId="1F7C1B4E" w14:textId="22510DA3" w:rsidR="00686D2D" w:rsidRDefault="00686D2D" w:rsidP="00686D2D">
      <w:pPr>
        <w:ind w:firstLine="720"/>
      </w:pPr>
      <w:r>
        <w:t xml:space="preserve">Previous studies have shown associations of </w:t>
      </w:r>
      <w:r w:rsidR="009C1A48">
        <w:t xml:space="preserve">rust </w:t>
      </w:r>
      <w:r>
        <w:t xml:space="preserve">with reduced digestibility associated with an increase in fibrous, indigestible cell wall components such as cellulose and lignin. In forage, ADF refers to the amount of cellulose and lignin in a plant while NDF refers to the amount of hemicellulose, cellulose, and lignin. </w:t>
      </w:r>
      <w:hyperlink w:anchor="_ENREF_103" w:tooltip="Wilson, 1991 #295" w:history="1">
        <w:r w:rsidR="00FB5014">
          <w:fldChar w:fldCharType="begin"/>
        </w:r>
        <w:r w:rsidR="00FB5014">
          <w:instrText xml:space="preserve"> ADDIN EN.CITE &lt;EndNote&gt;&lt;Cite AuthorYear="1"&gt;&lt;Author&gt;Wilson&lt;/Author&gt;&lt;Year&gt;1991&lt;/Year&gt;&lt;RecNum&gt;295&lt;/RecNum&gt;&lt;DisplayText&gt;Wilson et al. (1991)&lt;/DisplayText&gt;&lt;record&gt;&lt;rec-number&gt;295&lt;/rec-number&gt;&lt;foreign-keys&gt;&lt;key app="EN" db-id="9zfxt259rawwvce0pfa5efeuatdw0pz5va5z" timestamp="1393019957"&gt;295&lt;/key&gt;&lt;/foreign-keys&gt;&lt;ref-type name="Journal Article"&gt;17&lt;/ref-type&gt;&lt;contributors&gt;&lt;authors&gt;&lt;author&gt;Wilson, J.P.&lt;/author&gt;&lt;author&gt;Gates, R.N.&lt;/author&gt;&lt;author&gt;Hanna, W.W.&lt;/author&gt;&lt;/authors&gt;&lt;/contributors&gt;&lt;titles&gt;&lt;title&gt;Effect of rust on  yield and digestibility of pearl millet forage&lt;/title&gt;&lt;secondary-title&gt;Phytopathology&lt;/secondary-title&gt;&lt;/titles&gt;&lt;periodical&gt;&lt;full-title&gt;Phytopathology&lt;/full-title&gt;&lt;/periodical&gt;&lt;pages&gt;233-236&lt;/pages&gt;&lt;volume&gt;81&lt;/volume&gt;&lt;number&gt;2&lt;/number&gt;&lt;dates&gt;&lt;year&gt;1991&lt;/year&gt;&lt;/dates&gt;&lt;urls&gt;&lt;/urls&gt;&lt;/record&gt;&lt;/Cite&gt;&lt;/EndNote&gt;</w:instrText>
        </w:r>
        <w:r w:rsidR="00FB5014">
          <w:fldChar w:fldCharType="separate"/>
        </w:r>
        <w:r w:rsidR="00FB5014">
          <w:rPr>
            <w:noProof/>
          </w:rPr>
          <w:t>Wilson et al. (1991)</w:t>
        </w:r>
        <w:r w:rsidR="00FB5014">
          <w:fldChar w:fldCharType="end"/>
        </w:r>
      </w:hyperlink>
      <w:r>
        <w:t xml:space="preserve"> </w:t>
      </w:r>
      <w:proofErr w:type="gramStart"/>
      <w:r>
        <w:t>showed</w:t>
      </w:r>
      <w:proofErr w:type="gramEnd"/>
      <w:r>
        <w:t xml:space="preserve"> that infections of </w:t>
      </w:r>
      <w:r>
        <w:rPr>
          <w:i/>
        </w:rPr>
        <w:t xml:space="preserve">Puccinia substriata </w:t>
      </w:r>
      <w:r>
        <w:t xml:space="preserve">Ellis and Barth. </w:t>
      </w:r>
      <w:proofErr w:type="gramStart"/>
      <w:r>
        <w:t>var</w:t>
      </w:r>
      <w:proofErr w:type="gramEnd"/>
      <w:r>
        <w:t xml:space="preserve">. </w:t>
      </w:r>
      <w:r w:rsidRPr="006F7A2F">
        <w:rPr>
          <w:i/>
        </w:rPr>
        <w:t>indica</w:t>
      </w:r>
      <w:r>
        <w:t xml:space="preserve"> Ramachar and Cummins reduced digestibility of pearl millet (</w:t>
      </w:r>
      <w:r>
        <w:rPr>
          <w:i/>
        </w:rPr>
        <w:t>Pennisetum glaucum</w:t>
      </w:r>
      <w:r>
        <w:t xml:space="preserve"> (L.) R. Br. K. Schum.). Likewise, in studies of southern corn </w:t>
      </w:r>
      <w:r w:rsidR="009C1A48">
        <w:t>rust severity</w:t>
      </w:r>
      <w:r>
        <w:t xml:space="preserve"> (</w:t>
      </w:r>
      <w:r>
        <w:rPr>
          <w:i/>
        </w:rPr>
        <w:t>P</w:t>
      </w:r>
      <w:r w:rsidR="0087133D">
        <w:rPr>
          <w:i/>
        </w:rPr>
        <w:t xml:space="preserve">. </w:t>
      </w:r>
      <w:r>
        <w:rPr>
          <w:i/>
        </w:rPr>
        <w:t xml:space="preserve">polysora </w:t>
      </w:r>
      <w:r>
        <w:t>Underw.) in corn (</w:t>
      </w:r>
      <w:r>
        <w:rPr>
          <w:i/>
        </w:rPr>
        <w:t xml:space="preserve">Zea mays </w:t>
      </w:r>
      <w:r>
        <w:t xml:space="preserve">L.) </w:t>
      </w:r>
      <w:hyperlink w:anchor="_ENREF_80" w:tooltip="Queiroz, 2012 #296" w:history="1">
        <w:r w:rsidR="00FB5014">
          <w:fldChar w:fldCharType="begin"/>
        </w:r>
        <w:r w:rsidR="00FB5014">
          <w:instrText xml:space="preserve"> ADDIN EN.CITE &lt;EndNote&gt;&lt;Cite AuthorYear="1"&gt;&lt;Author&gt;Queiroz&lt;/Author&gt;&lt;Year&gt;2012&lt;/Year&gt;&lt;RecNum&gt;296&lt;/RecNum&gt;&lt;DisplayText&gt;Queiroz et al. (2012)&lt;/DisplayText&gt;&lt;record&gt;&lt;rec-number&gt;296&lt;/rec-number&gt;&lt;foreign-keys&gt;&lt;key app="EN" db-id="9zfxt259rawwvce0pfa5efeuatdw0pz5va5z" timestamp="1393020081"&gt;296&lt;/key&gt;&lt;/foreign-keys&gt;&lt;ref-type name="Journal Article"&gt;17&lt;/ref-type&gt;&lt;contributors&gt;&lt;authors&gt;&lt;author&gt;Queiroz, O.C.M.&lt;/author&gt;&lt;author&gt;Kim, S.C.&lt;/author&gt;&lt;author&gt;Adesogan, A.T.&lt;/author&gt;&lt;/authors&gt;&lt;/contributors&gt;&lt;titles&gt;&lt;title&gt;Effect of treatment with a mixture of bacteria and fibrolytic enzymes on the quality and safety of corn silage infested with different levels of rust&lt;/title&gt;&lt;secondary-title&gt;J. Dairy Sci.&lt;/secondary-title&gt;&lt;/titles&gt;&lt;periodical&gt;&lt;full-title&gt;J. Dairy Sci.&lt;/full-title&gt;&lt;/periodical&gt;&lt;pages&gt;5285-5291&lt;/pages&gt;&lt;volume&gt;95&lt;/volume&gt;&lt;dates&gt;&lt;year&gt;2012&lt;/year&gt;&lt;/dates&gt;&lt;urls&gt;&lt;/urls&gt;&lt;/record&gt;&lt;/Cite&gt;&lt;/EndNote&gt;</w:instrText>
        </w:r>
        <w:r w:rsidR="00FB5014">
          <w:fldChar w:fldCharType="separate"/>
        </w:r>
        <w:r w:rsidR="00FB5014">
          <w:rPr>
            <w:noProof/>
          </w:rPr>
          <w:t>Queiroz et al. (2012)</w:t>
        </w:r>
        <w:r w:rsidR="00FB5014">
          <w:fldChar w:fldCharType="end"/>
        </w:r>
      </w:hyperlink>
      <w:r>
        <w:t xml:space="preserve"> reported an increase in NDF and a decrease of up to 16% digestibility in corn with high </w:t>
      </w:r>
      <w:r w:rsidR="009C1A48">
        <w:t>rust severity</w:t>
      </w:r>
      <w:r>
        <w:t xml:space="preserve"> and </w:t>
      </w:r>
      <w:hyperlink w:anchor="_ENREF_51" w:tooltip="Johnson, 1997 #297" w:history="1">
        <w:r w:rsidR="00FB5014">
          <w:fldChar w:fldCharType="begin"/>
        </w:r>
        <w:r w:rsidR="00FB5014">
          <w:instrText xml:space="preserve"> ADDIN EN.CITE &lt;EndNote&gt;&lt;Cite AuthorYear="1"&gt;&lt;Author&gt;Johnson&lt;/Author&gt;&lt;Year&gt;1997&lt;/Year&gt;&lt;RecNum&gt;297&lt;/RecNum&gt;&lt;DisplayText&gt;Johnson et al. (1997)&lt;/DisplayText&gt;&lt;record&gt;&lt;rec-number&gt;297&lt;/rec-number&gt;&lt;foreign-keys&gt;&lt;key app="EN" db-id="9zfxt259rawwvce0pfa5efeuatdw0pz5va5z" timestamp="1393020372"&gt;297&lt;/key&gt;&lt;/foreign-keys&gt;&lt;ref-type name="Journal Article"&gt;17&lt;/ref-type&gt;&lt;contributors&gt;&lt;authors&gt;&lt;author&gt;Johnson, J.C.&lt;/author&gt;&lt;author&gt;Gates, R.N.&lt;/author&gt;&lt;author&gt;Newton, G.L.&lt;/author&gt;&lt;author&gt;Wilson, J.P.&lt;/author&gt;&lt;author&gt;Chandler, L.D.&lt;/author&gt;&lt;author&gt;Utley, P.R.&lt;/author&gt;&lt;/authors&gt;&lt;/contributors&gt;&lt;titles&gt;&lt;title&gt;Yield, composition, and in vitro digestibility of temperate and tropical corn hybrids grown as silage crops planted in summer&lt;/title&gt;&lt;secondary-title&gt;J. Dairy Sci.&lt;/secondary-title&gt;&lt;/titles&gt;&lt;periodical&gt;&lt;full-title&gt;J. Dairy Sci.&lt;/full-title&gt;&lt;/periodical&gt;&lt;pages&gt;550-557&lt;/pages&gt;&lt;volume&gt;80&lt;/volume&gt;&lt;dates&gt;&lt;year&gt;1997&lt;/year&gt;&lt;/dates&gt;&lt;urls&gt;&lt;/urls&gt;&lt;/record&gt;&lt;/Cite&gt;&lt;/EndNote&gt;</w:instrText>
        </w:r>
        <w:r w:rsidR="00FB5014">
          <w:fldChar w:fldCharType="separate"/>
        </w:r>
        <w:r w:rsidR="00FB5014">
          <w:rPr>
            <w:noProof/>
          </w:rPr>
          <w:t>Johnson et al. (1997)</w:t>
        </w:r>
        <w:r w:rsidR="00FB5014">
          <w:fldChar w:fldCharType="end"/>
        </w:r>
      </w:hyperlink>
      <w:r>
        <w:t xml:space="preserve"> reported an increase in dry matter, NDF, and ADF, and a decrease in dry matter digestibility in corn </w:t>
      </w:r>
      <w:r w:rsidR="005456E1">
        <w:t>exhibiting</w:t>
      </w:r>
      <w:r>
        <w:t xml:space="preserve"> </w:t>
      </w:r>
      <w:r w:rsidR="009C1A48">
        <w:t>rust</w:t>
      </w:r>
      <w:r w:rsidR="005456E1">
        <w:t xml:space="preserve"> symptoms</w:t>
      </w:r>
      <w:r>
        <w:t>.</w:t>
      </w:r>
    </w:p>
    <w:p w14:paraId="77304697" w14:textId="3469FF24" w:rsidR="00686D2D" w:rsidRPr="00BD4B8F" w:rsidRDefault="00686D2D" w:rsidP="00686D2D">
      <w:pPr>
        <w:ind w:firstLine="720"/>
        <w:rPr>
          <w:rFonts w:cs="Times New Roman"/>
          <w:color w:val="000000"/>
          <w:shd w:val="clear" w:color="auto" w:fill="FFFFFF"/>
        </w:rPr>
      </w:pPr>
      <w:r>
        <w:rPr>
          <w:rFonts w:cs="Times New Roman"/>
          <w:color w:val="000000"/>
          <w:shd w:val="clear" w:color="auto" w:fill="FFFFFF"/>
        </w:rPr>
        <w:t xml:space="preserve">We </w:t>
      </w:r>
      <w:r w:rsidRPr="00BD4B8F">
        <w:rPr>
          <w:rFonts w:cs="Times New Roman"/>
          <w:color w:val="000000"/>
          <w:shd w:val="clear" w:color="auto" w:fill="FFFFFF"/>
        </w:rPr>
        <w:t>observed an increase in percent cellulose and a decrease in percent hemicellulose as disease level increased. As</w:t>
      </w:r>
      <w:r w:rsidRPr="00BD4B8F">
        <w:rPr>
          <w:rStyle w:val="apple-converted-space"/>
          <w:rFonts w:cs="Times New Roman"/>
          <w:color w:val="000000"/>
          <w:shd w:val="clear" w:color="auto" w:fill="FFFFFF"/>
        </w:rPr>
        <w:t> </w:t>
      </w:r>
      <w:r w:rsidRPr="00BD4B8F">
        <w:rPr>
          <w:rStyle w:val="Emphasis"/>
          <w:rFonts w:cs="Times New Roman"/>
          <w:color w:val="000000"/>
          <w:shd w:val="clear" w:color="auto" w:fill="FFFFFF"/>
        </w:rPr>
        <w:t>Puccinia</w:t>
      </w:r>
      <w:r w:rsidRPr="00BD4B8F">
        <w:rPr>
          <w:rStyle w:val="apple-converted-space"/>
          <w:rFonts w:cs="Times New Roman"/>
          <w:color w:val="000000"/>
          <w:shd w:val="clear" w:color="auto" w:fill="FFFFFF"/>
        </w:rPr>
        <w:t> </w:t>
      </w:r>
      <w:r w:rsidRPr="00BD4B8F">
        <w:rPr>
          <w:rFonts w:cs="Times New Roman"/>
          <w:color w:val="000000"/>
          <w:shd w:val="clear" w:color="auto" w:fill="FFFFFF"/>
        </w:rPr>
        <w:t xml:space="preserve">spp. infect, they degrade plant cell walls, converting sugars to alcohols that can then be utilized by the fungus </w:t>
      </w:r>
      <w:r w:rsidR="00301182">
        <w:rPr>
          <w:rFonts w:cs="Times New Roman"/>
          <w:color w:val="000000"/>
          <w:shd w:val="clear" w:color="auto" w:fill="FFFFFF"/>
        </w:rPr>
        <w:fldChar w:fldCharType="begin"/>
      </w:r>
      <w:r w:rsidR="00E20B7A">
        <w:rPr>
          <w:rFonts w:cs="Times New Roman"/>
          <w:color w:val="000000"/>
          <w:shd w:val="clear" w:color="auto" w:fill="FFFFFF"/>
        </w:rPr>
        <w:instrText xml:space="preserve"> ADDIN EN.CITE &lt;EndNote&gt;&lt;Cite&gt;&lt;Author&gt;Manners&lt;/Author&gt;&lt;Year&gt;1982&lt;/Year&gt;&lt;RecNum&gt;303&lt;/RecNum&gt;&lt;DisplayText&gt;(Manners, 1982)&lt;/DisplayText&gt;&lt;record&gt;&lt;rec-number&gt;303&lt;/rec-number&gt;&lt;foreign-keys&gt;&lt;key app="EN" db-id="9zfxt259rawwvce0pfa5efeuatdw0pz5va5z" timestamp="1396902854"&gt;303&lt;/key&gt;&lt;/foreign-keys&gt;&lt;ref-type name="Journal Article"&gt;17&lt;/ref-type&gt;&lt;contributors&gt;&lt;authors&gt;&lt;author&gt;Manners, M.&lt;/author&gt;&lt;/authors&gt;&lt;/contributors&gt;&lt;titles&gt;&lt;title&gt;&lt;style face="normal" font="default" size="100%"&gt;Pathways of glucose assimilation in &lt;/style&gt;&lt;style face="italic" font="default" size="100%"&gt;Puccinia-graminis&lt;/style&gt;&lt;/title&gt;&lt;secondary-title&gt;J. Gen. Microbiol.&lt;/secondary-title&gt;&lt;/titles&gt;&lt;periodical&gt;&lt;full-title&gt;J. Gen. Microbiol.&lt;/full-title&gt;&lt;/periodical&gt;&lt;pages&gt;2621-2630&lt;/pages&gt;&lt;volume&gt;128&lt;/volume&gt;&lt;section&gt;2621&lt;/section&gt;&lt;dates&gt;&lt;year&gt;1982&lt;/year&gt;&lt;/dates&gt;&lt;urls&gt;&lt;/urls&gt;&lt;/record&gt;&lt;/Cite&gt;&lt;/EndNote&gt;</w:instrText>
      </w:r>
      <w:r w:rsidR="00301182">
        <w:rPr>
          <w:rFonts w:cs="Times New Roman"/>
          <w:color w:val="000000"/>
          <w:shd w:val="clear" w:color="auto" w:fill="FFFFFF"/>
        </w:rPr>
        <w:fldChar w:fldCharType="separate"/>
      </w:r>
      <w:r>
        <w:rPr>
          <w:rFonts w:cs="Times New Roman"/>
          <w:noProof/>
          <w:color w:val="000000"/>
          <w:shd w:val="clear" w:color="auto" w:fill="FFFFFF"/>
        </w:rPr>
        <w:t>(</w:t>
      </w:r>
      <w:hyperlink w:anchor="_ENREF_67" w:tooltip="Manners, 1982 #303" w:history="1">
        <w:r w:rsidR="00FB5014">
          <w:rPr>
            <w:rFonts w:cs="Times New Roman"/>
            <w:noProof/>
            <w:color w:val="000000"/>
            <w:shd w:val="clear" w:color="auto" w:fill="FFFFFF"/>
          </w:rPr>
          <w:t>Manners, 1982</w:t>
        </w:r>
      </w:hyperlink>
      <w:r>
        <w:rPr>
          <w:rFonts w:cs="Times New Roman"/>
          <w:noProof/>
          <w:color w:val="000000"/>
          <w:shd w:val="clear" w:color="auto" w:fill="FFFFFF"/>
        </w:rPr>
        <w:t>)</w:t>
      </w:r>
      <w:r w:rsidR="00301182">
        <w:rPr>
          <w:rFonts w:cs="Times New Roman"/>
          <w:color w:val="000000"/>
          <w:shd w:val="clear" w:color="auto" w:fill="FFFFFF"/>
        </w:rPr>
        <w:fldChar w:fldCharType="end"/>
      </w:r>
      <w:r w:rsidRPr="00BD4B8F">
        <w:rPr>
          <w:rFonts w:cs="Times New Roman"/>
          <w:color w:val="000000"/>
          <w:shd w:val="clear" w:color="auto" w:fill="FFFFFF"/>
        </w:rPr>
        <w:t>. These alcohols are then used to fuel growth of fungal structures, with the major structural components of the cell walls within</w:t>
      </w:r>
      <w:r w:rsidRPr="00BD4B8F">
        <w:rPr>
          <w:rStyle w:val="apple-converted-space"/>
          <w:rFonts w:cs="Times New Roman"/>
          <w:color w:val="000000"/>
          <w:shd w:val="clear" w:color="auto" w:fill="FFFFFF"/>
        </w:rPr>
        <w:t> </w:t>
      </w:r>
      <w:r w:rsidRPr="00BD4B8F">
        <w:rPr>
          <w:rStyle w:val="Emphasis"/>
          <w:rFonts w:cs="Times New Roman"/>
          <w:color w:val="000000"/>
          <w:shd w:val="clear" w:color="auto" w:fill="FFFFFF"/>
        </w:rPr>
        <w:t>Puccinia</w:t>
      </w:r>
      <w:r w:rsidRPr="00BD4B8F">
        <w:rPr>
          <w:rStyle w:val="apple-converted-space"/>
          <w:rFonts w:cs="Times New Roman"/>
          <w:color w:val="000000"/>
          <w:shd w:val="clear" w:color="auto" w:fill="FFFFFF"/>
        </w:rPr>
        <w:t> </w:t>
      </w:r>
      <w:r w:rsidRPr="00BD4B8F">
        <w:rPr>
          <w:rFonts w:cs="Times New Roman"/>
          <w:color w:val="000000"/>
          <w:shd w:val="clear" w:color="auto" w:fill="FFFFFF"/>
        </w:rPr>
        <w:t>spp. composed of</w:t>
      </w:r>
      <w:r w:rsidRPr="00BD4B8F">
        <w:rPr>
          <w:rStyle w:val="apple-converted-space"/>
          <w:rFonts w:cs="Times New Roman"/>
          <w:color w:val="000000"/>
          <w:shd w:val="clear" w:color="auto" w:fill="FFFFFF"/>
        </w:rPr>
        <w:t> </w:t>
      </w:r>
      <w:r w:rsidRPr="00BD4B8F">
        <w:rPr>
          <w:rFonts w:cs="Times New Roman"/>
          <w:color w:val="000000"/>
          <w:shd w:val="clear" w:color="auto" w:fill="FFFFFF"/>
        </w:rPr>
        <w:t>β-1,3-glucans and chitin</w:t>
      </w:r>
      <w:r>
        <w:rPr>
          <w:rFonts w:cs="Times New Roman"/>
          <w:color w:val="000000"/>
          <w:shd w:val="clear" w:color="auto" w:fill="FFFFFF"/>
        </w:rPr>
        <w:t xml:space="preserve"> </w:t>
      </w:r>
      <w:r w:rsidR="00301182">
        <w:rPr>
          <w:rFonts w:cs="Times New Roman"/>
          <w:color w:val="000000"/>
          <w:shd w:val="clear" w:color="auto" w:fill="FFFFFF"/>
        </w:rPr>
        <w:fldChar w:fldCharType="begin"/>
      </w:r>
      <w:r>
        <w:rPr>
          <w:rFonts w:cs="Times New Roman"/>
          <w:color w:val="000000"/>
          <w:shd w:val="clear" w:color="auto" w:fill="FFFFFF"/>
        </w:rPr>
        <w:instrText xml:space="preserve"> ADDIN EN.CITE &lt;EndNote&gt;&lt;Cite&gt;&lt;Author&gt;Bartnicki-Garcia&lt;/Author&gt;&lt;Year&gt;1968&lt;/Year&gt;&lt;RecNum&gt;299&lt;/RecNum&gt;&lt;DisplayText&gt;(Bartnicki-Garcia, 1968)&lt;/DisplayText&gt;&lt;record&gt;&lt;rec-number&gt;299&lt;/rec-number&gt;&lt;foreign-keys&gt;&lt;key app="EN" db-id="9zfxt259rawwvce0pfa5efeuatdw0pz5va5z" timestamp="1393020876"&gt;299&lt;/key&gt;&lt;/foreign-keys&gt;&lt;ref-type name="Journal Article"&gt;17&lt;/ref-type&gt;&lt;contributors&gt;&lt;authors&gt;&lt;author&gt;Bartnicki-Garcia, S.&lt;/author&gt;&lt;/authors&gt;&lt;/contributors&gt;&lt;titles&gt;&lt;title&gt;Cell wall chemistry, morphogenesis, and taxonomy of fungi&lt;/title&gt;&lt;secondary-title&gt;Annu. Rev. Microbiol.&lt;/secondary-title&gt;&lt;/titles&gt;&lt;periodical&gt;&lt;full-title&gt;Annu. Rev. Microbiol.&lt;/full-title&gt;&lt;/periodical&gt;&lt;pages&gt;87-108&lt;/pages&gt;&lt;volume&gt;22&lt;/volume&gt;&lt;dates&gt;&lt;year&gt;1968&lt;/year&gt;&lt;/dates&gt;&lt;urls&gt;&lt;/urls&gt;&lt;/record&gt;&lt;/Cite&gt;&lt;/EndNote&gt;</w:instrText>
      </w:r>
      <w:r w:rsidR="00301182">
        <w:rPr>
          <w:rFonts w:cs="Times New Roman"/>
          <w:color w:val="000000"/>
          <w:shd w:val="clear" w:color="auto" w:fill="FFFFFF"/>
        </w:rPr>
        <w:fldChar w:fldCharType="separate"/>
      </w:r>
      <w:r>
        <w:rPr>
          <w:rFonts w:cs="Times New Roman"/>
          <w:noProof/>
          <w:color w:val="000000"/>
          <w:shd w:val="clear" w:color="auto" w:fill="FFFFFF"/>
        </w:rPr>
        <w:t>(</w:t>
      </w:r>
      <w:hyperlink w:anchor="_ENREF_10" w:tooltip="Bartnicki-Garcia, 1968 #299" w:history="1">
        <w:r w:rsidR="00FB5014">
          <w:rPr>
            <w:rFonts w:cs="Times New Roman"/>
            <w:noProof/>
            <w:color w:val="000000"/>
            <w:shd w:val="clear" w:color="auto" w:fill="FFFFFF"/>
          </w:rPr>
          <w:t>Bartnicki-Garcia, 1968</w:t>
        </w:r>
      </w:hyperlink>
      <w:r>
        <w:rPr>
          <w:rFonts w:cs="Times New Roman"/>
          <w:noProof/>
          <w:color w:val="000000"/>
          <w:shd w:val="clear" w:color="auto" w:fill="FFFFFF"/>
        </w:rPr>
        <w:t>)</w:t>
      </w:r>
      <w:r w:rsidR="00301182">
        <w:rPr>
          <w:rFonts w:cs="Times New Roman"/>
          <w:color w:val="000000"/>
          <w:shd w:val="clear" w:color="auto" w:fill="FFFFFF"/>
        </w:rPr>
        <w:fldChar w:fldCharType="end"/>
      </w:r>
      <w:r w:rsidRPr="00BD4B8F">
        <w:rPr>
          <w:rFonts w:cs="Times New Roman"/>
          <w:color w:val="000000"/>
          <w:shd w:val="clear" w:color="auto" w:fill="FFFFFF"/>
        </w:rPr>
        <w:t>.</w:t>
      </w:r>
      <w:r w:rsidRPr="00BD4B8F">
        <w:rPr>
          <w:rStyle w:val="apple-converted-space"/>
          <w:rFonts w:cs="Times New Roman"/>
          <w:color w:val="000000"/>
          <w:shd w:val="clear" w:color="auto" w:fill="FFFFFF"/>
        </w:rPr>
        <w:t> </w:t>
      </w:r>
      <w:r w:rsidRPr="00BD4B8F">
        <w:rPr>
          <w:rFonts w:cs="Times New Roman"/>
          <w:color w:val="000000"/>
          <w:shd w:val="clear" w:color="auto" w:fill="FFFFFF"/>
        </w:rPr>
        <w:t>The degradation of plant cell walls and</w:t>
      </w:r>
      <w:r w:rsidR="00116709">
        <w:rPr>
          <w:rFonts w:cs="Times New Roman"/>
          <w:color w:val="000000"/>
          <w:shd w:val="clear" w:color="auto" w:fill="FFFFFF"/>
        </w:rPr>
        <w:t>/or</w:t>
      </w:r>
      <w:r w:rsidRPr="00BD4B8F">
        <w:rPr>
          <w:rFonts w:cs="Times New Roman"/>
          <w:color w:val="000000"/>
          <w:shd w:val="clear" w:color="auto" w:fill="FFFFFF"/>
        </w:rPr>
        <w:t xml:space="preserve"> the associated increase in fungal</w:t>
      </w:r>
      <w:r w:rsidRPr="00BD4B8F">
        <w:rPr>
          <w:rStyle w:val="apple-converted-space"/>
          <w:rFonts w:cs="Times New Roman"/>
          <w:color w:val="000000"/>
          <w:shd w:val="clear" w:color="auto" w:fill="FFFFFF"/>
        </w:rPr>
        <w:t> </w:t>
      </w:r>
      <w:r w:rsidRPr="00BD4B8F">
        <w:rPr>
          <w:rFonts w:cs="Times New Roman"/>
          <w:color w:val="000000"/>
          <w:shd w:val="clear" w:color="auto" w:fill="FFFFFF"/>
        </w:rPr>
        <w:t>structures may be a contributing factor to the</w:t>
      </w:r>
      <w:r w:rsidRPr="00BD4B8F">
        <w:rPr>
          <w:rStyle w:val="apple-converted-space"/>
          <w:rFonts w:cs="Times New Roman"/>
          <w:color w:val="000000"/>
          <w:shd w:val="clear" w:color="auto" w:fill="FFFFFF"/>
        </w:rPr>
        <w:t> </w:t>
      </w:r>
      <w:r w:rsidRPr="00BD4B8F">
        <w:rPr>
          <w:rFonts w:cs="Times New Roman"/>
          <w:color w:val="000000"/>
          <w:shd w:val="clear" w:color="auto" w:fill="FFFFFF"/>
        </w:rPr>
        <w:t xml:space="preserve">respective decrease in hemicellulose and increase in cellulose. </w:t>
      </w:r>
    </w:p>
    <w:p w14:paraId="12110518" w14:textId="090DA4CC" w:rsidR="00686D2D" w:rsidRPr="00BD4B8F" w:rsidRDefault="00686D2D" w:rsidP="00686D2D">
      <w:pPr>
        <w:ind w:firstLine="720"/>
        <w:rPr>
          <w:rFonts w:cs="Times New Roman"/>
        </w:rPr>
      </w:pPr>
      <w:r w:rsidRPr="00BD4B8F">
        <w:rPr>
          <w:rFonts w:cs="Times New Roman"/>
          <w:color w:val="000000"/>
          <w:shd w:val="clear" w:color="auto" w:fill="FFFFFF"/>
        </w:rPr>
        <w:t>The composition of digestible components may be further altered by plant defense responses to pathogen infection</w:t>
      </w:r>
      <w:r w:rsidR="00954DB7">
        <w:rPr>
          <w:rFonts w:cs="Times New Roman"/>
          <w:color w:val="000000"/>
          <w:shd w:val="clear" w:color="auto" w:fill="FFFFFF"/>
        </w:rPr>
        <w:t xml:space="preserve">. </w:t>
      </w:r>
      <w:r w:rsidRPr="00BD4B8F">
        <w:rPr>
          <w:rFonts w:cs="Times New Roman"/>
          <w:color w:val="000000"/>
          <w:shd w:val="clear" w:color="auto" w:fill="FFFFFF"/>
        </w:rPr>
        <w:t>Cellulose may increase during infection through encasement of the haustoria with cellulose and callose</w:t>
      </w:r>
      <w:r w:rsidRPr="00BD4B8F">
        <w:rPr>
          <w:rStyle w:val="apple-converted-space"/>
          <w:rFonts w:cs="Times New Roman"/>
          <w:color w:val="000000"/>
          <w:shd w:val="clear" w:color="auto" w:fill="FFFFFF"/>
        </w:rPr>
        <w:t> </w:t>
      </w:r>
      <w:r w:rsidRPr="00BD4B8F">
        <w:rPr>
          <w:rFonts w:cs="Times New Roman"/>
          <w:color w:val="000000"/>
          <w:shd w:val="clear" w:color="auto" w:fill="FFFFFF"/>
        </w:rPr>
        <w:t>during</w:t>
      </w:r>
      <w:r w:rsidRPr="00BD4B8F">
        <w:rPr>
          <w:rStyle w:val="apple-converted-space"/>
          <w:rFonts w:cs="Times New Roman"/>
          <w:color w:val="000000"/>
          <w:shd w:val="clear" w:color="auto" w:fill="FFFFFF"/>
        </w:rPr>
        <w:t xml:space="preserve"> both hypersensitive (HR) reactions in resistant genotypes and in </w:t>
      </w:r>
      <w:r w:rsidRPr="00BD4B8F">
        <w:rPr>
          <w:rFonts w:cs="Times New Roman"/>
          <w:color w:val="000000"/>
          <w:shd w:val="clear" w:color="auto" w:fill="FFFFFF"/>
        </w:rPr>
        <w:t xml:space="preserve">advanced stages of </w:t>
      </w:r>
      <w:r w:rsidR="009C1A48">
        <w:rPr>
          <w:rFonts w:cs="Times New Roman"/>
          <w:color w:val="000000"/>
          <w:shd w:val="clear" w:color="auto" w:fill="FFFFFF"/>
        </w:rPr>
        <w:t>rust severity</w:t>
      </w:r>
      <w:r w:rsidRPr="00BD4B8F">
        <w:rPr>
          <w:rFonts w:cs="Times New Roman"/>
          <w:color w:val="000000"/>
          <w:shd w:val="clear" w:color="auto" w:fill="FFFFFF"/>
        </w:rPr>
        <w:t xml:space="preserve"> infection in susceptible </w:t>
      </w:r>
      <w:r w:rsidR="00501697" w:rsidRPr="00BD4B8F">
        <w:rPr>
          <w:rFonts w:cs="Times New Roman"/>
          <w:color w:val="000000"/>
          <w:shd w:val="clear" w:color="auto" w:fill="FFFFFF"/>
        </w:rPr>
        <w:t>genotypes</w:t>
      </w:r>
      <w:r w:rsidRPr="00BD4B8F">
        <w:rPr>
          <w:rFonts w:cs="Times New Roman"/>
          <w:color w:val="000000"/>
          <w:shd w:val="clear" w:color="auto" w:fill="FFFFFF"/>
        </w:rPr>
        <w:t xml:space="preserve"> </w:t>
      </w:r>
      <w:r w:rsidR="00301182">
        <w:rPr>
          <w:rFonts w:cs="Times New Roman"/>
          <w:color w:val="000000"/>
          <w:shd w:val="clear" w:color="auto" w:fill="FFFFFF"/>
        </w:rPr>
        <w:fldChar w:fldCharType="begin"/>
      </w:r>
      <w:r>
        <w:rPr>
          <w:rFonts w:cs="Times New Roman"/>
          <w:color w:val="000000"/>
          <w:shd w:val="clear" w:color="auto" w:fill="FFFFFF"/>
        </w:rPr>
        <w:instrText xml:space="preserve"> ADDIN EN.CITE &lt;EndNote&gt;&lt;Cite&gt;&lt;Author&gt;Silva&lt;/Author&gt;&lt;Year&gt;1999&lt;/Year&gt;&lt;RecNum&gt;301&lt;/RecNum&gt;&lt;DisplayText&gt;(Silva et al., 1999)&lt;/DisplayText&gt;&lt;record&gt;&lt;rec-number&gt;301&lt;/rec-number&gt;&lt;foreign-keys&gt;&lt;key app="EN" db-id="9zfxt259rawwvce0pfa5efeuatdw0pz5va5z" timestamp="1393021198"&gt;301&lt;/key&gt;&lt;/foreign-keys&gt;&lt;ref-type name="Journal Article"&gt;17&lt;/ref-type&gt;&lt;contributors&gt;&lt;authors&gt;&lt;author&gt;Silva, M.C.&lt;/author&gt;&lt;author&gt;Nicole, M.&lt;/author&gt;&lt;author&gt;Rijo, L.&lt;/author&gt;&lt;author&gt;Geiger, J.P.&lt;/author&gt;&lt;author&gt;Rodrigues, C.J.&lt;/author&gt;&lt;/authors&gt;&lt;/contributors&gt;&lt;titles&gt;&lt;title&gt;&lt;style face="normal" font="default" size="100%"&gt;Cytochemical aspects of the plant-rust fungus interface during the compatible interaction &lt;/style&gt;&lt;style face="italic" font="default" size="100%"&gt;Coffeea Arabica&lt;/style&gt;&lt;style face="normal" font="default" size="100%"&gt; (cv. caturra) - &lt;/style&gt;&lt;style face="italic" font="default" size="100%"&gt;Hemileia Vastarix&lt;/style&gt;&lt;style face="normal" font="default" size="100%"&gt; (Race III)&lt;/style&gt;&lt;/title&gt;&lt;secondary-title&gt;Int. J. Plant Sci.&lt;/secondary-title&gt;&lt;/titles&gt;&lt;periodical&gt;&lt;full-title&gt;Int. J. Plant Sci.&lt;/full-title&gt;&lt;/periodical&gt;&lt;pages&gt;79-91&lt;/pages&gt;&lt;volume&gt;160&lt;/volume&gt;&lt;number&gt;1&lt;/number&gt;&lt;dates&gt;&lt;year&gt;1999&lt;/year&gt;&lt;/dates&gt;&lt;urls&gt;&lt;/urls&gt;&lt;/record&gt;&lt;/Cite&gt;&lt;/EndNote&gt;</w:instrText>
      </w:r>
      <w:r w:rsidR="00301182">
        <w:rPr>
          <w:rFonts w:cs="Times New Roman"/>
          <w:color w:val="000000"/>
          <w:shd w:val="clear" w:color="auto" w:fill="FFFFFF"/>
        </w:rPr>
        <w:fldChar w:fldCharType="separate"/>
      </w:r>
      <w:r>
        <w:rPr>
          <w:rFonts w:cs="Times New Roman"/>
          <w:noProof/>
          <w:color w:val="000000"/>
          <w:shd w:val="clear" w:color="auto" w:fill="FFFFFF"/>
        </w:rPr>
        <w:t>(</w:t>
      </w:r>
      <w:hyperlink w:anchor="_ENREF_88" w:tooltip="Silva, 1999 #301" w:history="1">
        <w:r w:rsidR="00FB5014">
          <w:rPr>
            <w:rFonts w:cs="Times New Roman"/>
            <w:noProof/>
            <w:color w:val="000000"/>
            <w:shd w:val="clear" w:color="auto" w:fill="FFFFFF"/>
          </w:rPr>
          <w:t xml:space="preserve">Silva et al., </w:t>
        </w:r>
        <w:r w:rsidR="00FB5014">
          <w:rPr>
            <w:rFonts w:cs="Times New Roman"/>
            <w:noProof/>
            <w:color w:val="000000"/>
            <w:shd w:val="clear" w:color="auto" w:fill="FFFFFF"/>
          </w:rPr>
          <w:lastRenderedPageBreak/>
          <w:t>1999</w:t>
        </w:r>
      </w:hyperlink>
      <w:r>
        <w:rPr>
          <w:rFonts w:cs="Times New Roman"/>
          <w:noProof/>
          <w:color w:val="000000"/>
          <w:shd w:val="clear" w:color="auto" w:fill="FFFFFF"/>
        </w:rPr>
        <w:t>)</w:t>
      </w:r>
      <w:r w:rsidR="00301182">
        <w:rPr>
          <w:rFonts w:cs="Times New Roman"/>
          <w:color w:val="000000"/>
          <w:shd w:val="clear" w:color="auto" w:fill="FFFFFF"/>
        </w:rPr>
        <w:fldChar w:fldCharType="end"/>
      </w:r>
      <w:r w:rsidR="00954DB7">
        <w:rPr>
          <w:rFonts w:cs="Times New Roman"/>
          <w:color w:val="000000"/>
          <w:shd w:val="clear" w:color="auto" w:fill="FFFFFF"/>
        </w:rPr>
        <w:t xml:space="preserve">. </w:t>
      </w:r>
      <w:r w:rsidRPr="00BD4B8F">
        <w:rPr>
          <w:rFonts w:cs="Times New Roman"/>
          <w:color w:val="000000"/>
          <w:shd w:val="clear" w:color="auto" w:fill="FFFFFF"/>
        </w:rPr>
        <w:t>Further plant defense responses include a mechanical strengthening of cell walls</w:t>
      </w:r>
      <w:r w:rsidR="00954DB7">
        <w:rPr>
          <w:rFonts w:cs="Times New Roman"/>
          <w:color w:val="000000"/>
          <w:shd w:val="clear" w:color="auto" w:fill="FFFFFF"/>
        </w:rPr>
        <w:t xml:space="preserve">. </w:t>
      </w:r>
      <w:r w:rsidRPr="00BD4B8F">
        <w:rPr>
          <w:rFonts w:cs="Times New Roman"/>
        </w:rPr>
        <w:t xml:space="preserve">A study by </w:t>
      </w:r>
      <w:hyperlink w:anchor="_ENREF_44" w:tooltip="Hammerschmidt, 1984 #304" w:history="1">
        <w:r w:rsidR="00FB5014">
          <w:rPr>
            <w:rFonts w:cs="Times New Roman"/>
          </w:rPr>
          <w:fldChar w:fldCharType="begin"/>
        </w:r>
        <w:r w:rsidR="00FB5014">
          <w:rPr>
            <w:rFonts w:cs="Times New Roman"/>
          </w:rPr>
          <w:instrText xml:space="preserve"> ADDIN EN.CITE &lt;EndNote&gt;&lt;Cite AuthorYear="1"&gt;&lt;Author&gt;Hammerschmidt&lt;/Author&gt;&lt;Year&gt;1984&lt;/Year&gt;&lt;RecNum&gt;304&lt;/RecNum&gt;&lt;DisplayText&gt;Hammerschmidt (1984)&lt;/DisplayText&gt;&lt;record&gt;&lt;rec-number&gt;304&lt;/rec-number&gt;&lt;foreign-keys&gt;&lt;key app="EN" db-id="9zfxt259rawwvce0pfa5efeuatdw0pz5va5z" timestamp="1396903263"&gt;304&lt;/key&gt;&lt;/foreign-keys&gt;&lt;ref-type name="Journal Article"&gt;17&lt;/ref-type&gt;&lt;contributors&gt;&lt;authors&gt;&lt;author&gt;Hammerschmidt, R.&lt;/author&gt;&lt;/authors&gt;&lt;/contributors&gt;&lt;titles&gt;&lt;title&gt;Rapid deposition of lignin in potato tuber tissue as a response to non-pathogenic fungi on potato&lt;/title&gt;&lt;secondary-title&gt;Physiol. Plant Pathol.&lt;/secondary-title&gt;&lt;/titles&gt;&lt;periodical&gt;&lt;full-title&gt;Physiol. Plant Pathol.&lt;/full-title&gt;&lt;/periodical&gt;&lt;pages&gt;33-42&lt;/pages&gt;&lt;volume&gt;24&lt;/volume&gt;&lt;dates&gt;&lt;year&gt;1984&lt;/year&gt;&lt;/dates&gt;&lt;urls&gt;&lt;/urls&gt;&lt;/record&gt;&lt;/Cite&gt;&lt;/EndNote&gt;</w:instrText>
        </w:r>
        <w:r w:rsidR="00FB5014">
          <w:rPr>
            <w:rFonts w:cs="Times New Roman"/>
          </w:rPr>
          <w:fldChar w:fldCharType="separate"/>
        </w:r>
        <w:r w:rsidR="00FB5014">
          <w:rPr>
            <w:rFonts w:cs="Times New Roman"/>
            <w:noProof/>
          </w:rPr>
          <w:t>Hammerschmidt (1984)</w:t>
        </w:r>
        <w:r w:rsidR="00FB5014">
          <w:rPr>
            <w:rFonts w:cs="Times New Roman"/>
          </w:rPr>
          <w:fldChar w:fldCharType="end"/>
        </w:r>
      </w:hyperlink>
      <w:r w:rsidRPr="00BD4B8F">
        <w:rPr>
          <w:rFonts w:cs="Times New Roman"/>
        </w:rPr>
        <w:t xml:space="preserve"> implicated the deposition of “stress lignin” as a potential culprit responsible for reduced digestibility in plants infected with fungal pathogens. Although “stress lignin” is well documented as a stress response which plants deploy when invaded by fungal pathogens </w:t>
      </w:r>
      <w:r w:rsidR="00301182">
        <w:rPr>
          <w:rFonts w:cs="Times New Roman"/>
        </w:rPr>
        <w:fldChar w:fldCharType="begin">
          <w:fldData xml:space="preserve">PEVuZE5vdGU+PENpdGU+PEF1dGhvcj5aaGFuZzwvQXV0aG9yPjxZZWFyPjIwMDc8L1llYXI+PFJl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</w:fldData>
        </w:fldChar>
      </w:r>
      <w:r w:rsidR="00B7572A">
        <w:rPr>
          <w:rFonts w:cs="Times New Roman"/>
        </w:rPr>
        <w:instrText xml:space="preserve"> ADDIN EN.CITE </w:instrText>
      </w:r>
      <w:r w:rsidR="00B7572A">
        <w:rPr>
          <w:rFonts w:cs="Times New Roman"/>
        </w:rPr>
        <w:fldChar w:fldCharType="begin">
          <w:fldData xml:space="preserve">PEVuZE5vdGU+PENpdGU+PEF1dGhvcj5aaGFuZzwvQXV0aG9yPjxZZWFyPjIwMDc8L1llYXI+PFJl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</w:fldData>
        </w:fldChar>
      </w:r>
      <w:r w:rsidR="00B7572A">
        <w:rPr>
          <w:rFonts w:cs="Times New Roman"/>
        </w:rPr>
        <w:instrText xml:space="preserve"> ADDIN EN.CITE.DATA </w:instrText>
      </w:r>
      <w:r w:rsidR="00B7572A">
        <w:rPr>
          <w:rFonts w:cs="Times New Roman"/>
        </w:rPr>
      </w:r>
      <w:r w:rsidR="00B7572A">
        <w:rPr>
          <w:rFonts w:cs="Times New Roman"/>
        </w:rPr>
        <w:fldChar w:fldCharType="end"/>
      </w:r>
      <w:r w:rsidR="00301182">
        <w:rPr>
          <w:rFonts w:cs="Times New Roman"/>
        </w:rPr>
      </w:r>
      <w:r w:rsidR="00301182">
        <w:rPr>
          <w:rFonts w:cs="Times New Roman"/>
        </w:rPr>
        <w:fldChar w:fldCharType="separate"/>
      </w:r>
      <w:r w:rsidR="00B7572A">
        <w:rPr>
          <w:rFonts w:cs="Times New Roman"/>
          <w:noProof/>
        </w:rPr>
        <w:t>(</w:t>
      </w:r>
      <w:hyperlink w:anchor="_ENREF_53" w:tooltip="Karkonen, 2010 #289" w:history="1">
        <w:r w:rsidR="00FB5014">
          <w:rPr>
            <w:rFonts w:cs="Times New Roman"/>
            <w:noProof/>
          </w:rPr>
          <w:t>Karkonen and Koutaniemi, 2010</w:t>
        </w:r>
      </w:hyperlink>
      <w:r w:rsidR="00B7572A">
        <w:rPr>
          <w:rFonts w:cs="Times New Roman"/>
          <w:noProof/>
        </w:rPr>
        <w:t xml:space="preserve">; </w:t>
      </w:r>
      <w:hyperlink w:anchor="_ENREF_64" w:tooltip="Liu, 2007 #286" w:history="1">
        <w:r w:rsidR="00FB5014">
          <w:rPr>
            <w:rFonts w:cs="Times New Roman"/>
            <w:noProof/>
          </w:rPr>
          <w:t>Liu et al., 2007</w:t>
        </w:r>
      </w:hyperlink>
      <w:r w:rsidR="00B7572A">
        <w:rPr>
          <w:rFonts w:cs="Times New Roman"/>
          <w:noProof/>
        </w:rPr>
        <w:t xml:space="preserve">; </w:t>
      </w:r>
      <w:hyperlink w:anchor="_ENREF_81" w:tooltip="Ride, 1978 #307" w:history="1">
        <w:r w:rsidR="00FB5014">
          <w:rPr>
            <w:rFonts w:cs="Times New Roman"/>
            <w:noProof/>
          </w:rPr>
          <w:t>Ride, 1978</w:t>
        </w:r>
      </w:hyperlink>
      <w:r w:rsidR="00B7572A">
        <w:rPr>
          <w:rFonts w:cs="Times New Roman"/>
          <w:noProof/>
        </w:rPr>
        <w:t xml:space="preserve">; </w:t>
      </w:r>
      <w:hyperlink w:anchor="_ENREF_110" w:tooltip="Zhang, 2007 #288" w:history="1">
        <w:r w:rsidR="00FB5014">
          <w:rPr>
            <w:rFonts w:cs="Times New Roman"/>
            <w:noProof/>
          </w:rPr>
          <w:t>Zhang et al., 2007</w:t>
        </w:r>
      </w:hyperlink>
      <w:r w:rsidR="00B7572A">
        <w:rPr>
          <w:rFonts w:cs="Times New Roman"/>
          <w:noProof/>
        </w:rPr>
        <w:t>)</w:t>
      </w:r>
      <w:r w:rsidR="00301182">
        <w:rPr>
          <w:rFonts w:cs="Times New Roman"/>
        </w:rPr>
        <w:fldChar w:fldCharType="end"/>
      </w:r>
      <w:r w:rsidRPr="00BD4B8F">
        <w:rPr>
          <w:rFonts w:cs="Times New Roman"/>
        </w:rPr>
        <w:t xml:space="preserve">, we did not observe any significant differences in lignin among the three </w:t>
      </w:r>
      <w:r w:rsidR="009C1A48">
        <w:rPr>
          <w:rFonts w:cs="Times New Roman"/>
        </w:rPr>
        <w:t>rust severity</w:t>
      </w:r>
      <w:r w:rsidRPr="00BD4B8F">
        <w:rPr>
          <w:rFonts w:cs="Times New Roman"/>
        </w:rPr>
        <w:t xml:space="preserve"> levels tested</w:t>
      </w:r>
      <w:r w:rsidR="00954DB7">
        <w:rPr>
          <w:rFonts w:cs="Times New Roman"/>
        </w:rPr>
        <w:t xml:space="preserve">. </w:t>
      </w:r>
      <w:r w:rsidRPr="00BD4B8F">
        <w:rPr>
          <w:rFonts w:cs="Times New Roman"/>
        </w:rPr>
        <w:t xml:space="preserve"> </w:t>
      </w:r>
    </w:p>
    <w:p w14:paraId="31FD3579" w14:textId="2AFCADBC" w:rsidR="00686D2D" w:rsidRPr="00BD4B8F" w:rsidRDefault="00686D2D" w:rsidP="00686D2D">
      <w:pPr>
        <w:ind w:firstLine="720"/>
        <w:rPr>
          <w:rFonts w:cs="Times New Roman"/>
          <w:color w:val="000000"/>
          <w:shd w:val="clear" w:color="auto" w:fill="FFFFFF"/>
        </w:rPr>
      </w:pPr>
      <w:r w:rsidRPr="00BD4B8F">
        <w:rPr>
          <w:rFonts w:cs="Times New Roman"/>
          <w:color w:val="000000"/>
          <w:shd w:val="clear" w:color="auto" w:fill="FFFFFF"/>
        </w:rPr>
        <w:t xml:space="preserve">The resulting change in relative composition of cellulose and hemicellulose within plants infected with </w:t>
      </w:r>
      <w:r w:rsidR="0087133D">
        <w:rPr>
          <w:rFonts w:cs="Times New Roman"/>
          <w:i/>
          <w:color w:val="000000"/>
          <w:shd w:val="clear" w:color="auto" w:fill="FFFFFF"/>
        </w:rPr>
        <w:t>P. emaculata</w:t>
      </w:r>
      <w:r w:rsidR="009C1A48">
        <w:rPr>
          <w:rFonts w:cs="Times New Roman"/>
          <w:color w:val="000000"/>
          <w:shd w:val="clear" w:color="auto" w:fill="FFFFFF"/>
        </w:rPr>
        <w:t xml:space="preserve"> </w:t>
      </w:r>
      <w:r w:rsidRPr="00BD4B8F">
        <w:rPr>
          <w:rFonts w:cs="Times New Roman"/>
          <w:color w:val="000000"/>
          <w:shd w:val="clear" w:color="auto" w:fill="FFFFFF"/>
        </w:rPr>
        <w:t xml:space="preserve">may have contributed to the observed reduction in </w:t>
      </w:r>
      <w:r w:rsidR="0095454C">
        <w:rPr>
          <w:rFonts w:cs="Times New Roman"/>
          <w:color w:val="000000"/>
          <w:shd w:val="clear" w:color="auto" w:fill="FFFFFF"/>
        </w:rPr>
        <w:t>predicted ethanol yield</w:t>
      </w:r>
      <w:r w:rsidRPr="00BD4B8F">
        <w:rPr>
          <w:rFonts w:cs="Times New Roman"/>
          <w:color w:val="000000"/>
          <w:shd w:val="clear" w:color="auto" w:fill="FFFFFF"/>
        </w:rPr>
        <w:t xml:space="preserve">. The crystalline cellulose structure requires harsher conditions to release glucose, resulting in conversion efficiencies of around 50-60% </w:t>
      </w:r>
      <w:r w:rsidR="00301182">
        <w:rPr>
          <w:rFonts w:cs="Times New Roman"/>
          <w:color w:val="000000"/>
          <w:shd w:val="clear" w:color="auto" w:fill="FFFFFF"/>
        </w:rPr>
        <w:fldChar w:fldCharType="begin">
          <w:fldData xml:space="preserve">PEVuZE5vdGU+PENpdGU+PEF1dGhvcj5Wb2dlbDwvQXV0aG9yPjxZZWFyPjIwMTE8L1llYXI+PFJl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==
</w:fldData>
        </w:fldChar>
      </w:r>
      <w:r w:rsidR="00B7572A">
        <w:rPr>
          <w:rFonts w:cs="Times New Roman"/>
          <w:color w:val="000000"/>
          <w:shd w:val="clear" w:color="auto" w:fill="FFFFFF"/>
        </w:rPr>
        <w:instrText xml:space="preserve"> ADDIN EN.CITE </w:instrText>
      </w:r>
      <w:r w:rsidR="00B7572A">
        <w:rPr>
          <w:rFonts w:cs="Times New Roman"/>
          <w:color w:val="000000"/>
          <w:shd w:val="clear" w:color="auto" w:fill="FFFFFF"/>
        </w:rPr>
        <w:fldChar w:fldCharType="begin">
          <w:fldData xml:space="preserve">PEVuZE5vdGU+PENpdGU+PEF1dGhvcj5Wb2dlbDwvQXV0aG9yPjxZZWFyPjIwMTE8L1llYXI+PFJl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==
</w:fldData>
        </w:fldChar>
      </w:r>
      <w:r w:rsidR="00B7572A">
        <w:rPr>
          <w:rFonts w:cs="Times New Roman"/>
          <w:color w:val="000000"/>
          <w:shd w:val="clear" w:color="auto" w:fill="FFFFFF"/>
        </w:rPr>
        <w:instrText xml:space="preserve"> ADDIN EN.CITE.DATA </w:instrText>
      </w:r>
      <w:r w:rsidR="00B7572A">
        <w:rPr>
          <w:rFonts w:cs="Times New Roman"/>
          <w:color w:val="000000"/>
          <w:shd w:val="clear" w:color="auto" w:fill="FFFFFF"/>
        </w:rPr>
      </w:r>
      <w:r w:rsidR="00B7572A">
        <w:rPr>
          <w:rFonts w:cs="Times New Roman"/>
          <w:color w:val="000000"/>
          <w:shd w:val="clear" w:color="auto" w:fill="FFFFFF"/>
        </w:rPr>
        <w:fldChar w:fldCharType="end"/>
      </w:r>
      <w:r w:rsidR="00301182">
        <w:rPr>
          <w:rFonts w:cs="Times New Roman"/>
          <w:color w:val="000000"/>
          <w:shd w:val="clear" w:color="auto" w:fill="FFFFFF"/>
        </w:rPr>
      </w:r>
      <w:r w:rsidR="00301182">
        <w:rPr>
          <w:rFonts w:cs="Times New Roman"/>
          <w:color w:val="000000"/>
          <w:shd w:val="clear" w:color="auto" w:fill="FFFFFF"/>
        </w:rPr>
        <w:fldChar w:fldCharType="separate"/>
      </w:r>
      <w:r w:rsidR="00B7572A">
        <w:rPr>
          <w:rFonts w:cs="Times New Roman"/>
          <w:noProof/>
          <w:color w:val="000000"/>
          <w:shd w:val="clear" w:color="auto" w:fill="FFFFFF"/>
        </w:rPr>
        <w:t>(</w:t>
      </w:r>
      <w:hyperlink w:anchor="_ENREF_71" w:tooltip="McParland, 1982 #306" w:history="1">
        <w:r w:rsidR="00FB5014">
          <w:rPr>
            <w:rFonts w:cs="Times New Roman"/>
            <w:noProof/>
            <w:color w:val="000000"/>
            <w:shd w:val="clear" w:color="auto" w:fill="FFFFFF"/>
          </w:rPr>
          <w:t>McParland et al., 1982</w:t>
        </w:r>
      </w:hyperlink>
      <w:r w:rsidR="00B7572A">
        <w:rPr>
          <w:rFonts w:cs="Times New Roman"/>
          <w:noProof/>
          <w:color w:val="000000"/>
          <w:shd w:val="clear" w:color="auto" w:fill="FFFFFF"/>
        </w:rPr>
        <w:t xml:space="preserve">; </w:t>
      </w:r>
      <w:hyperlink w:anchor="_ENREF_99" w:tooltip="Vogel, 2011 #256" w:history="1">
        <w:r w:rsidR="00FB5014">
          <w:rPr>
            <w:rFonts w:cs="Times New Roman"/>
            <w:noProof/>
            <w:color w:val="000000"/>
            <w:shd w:val="clear" w:color="auto" w:fill="FFFFFF"/>
          </w:rPr>
          <w:t>Vogel et al., 2011</w:t>
        </w:r>
      </w:hyperlink>
      <w:r w:rsidR="00B7572A">
        <w:rPr>
          <w:rFonts w:cs="Times New Roman"/>
          <w:noProof/>
          <w:color w:val="000000"/>
          <w:shd w:val="clear" w:color="auto" w:fill="FFFFFF"/>
        </w:rPr>
        <w:t xml:space="preserve">; </w:t>
      </w:r>
      <w:hyperlink w:anchor="_ENREF_105" w:tooltip="Wright, 1983 #309" w:history="1">
        <w:r w:rsidR="00FB5014">
          <w:rPr>
            <w:rFonts w:cs="Times New Roman"/>
            <w:noProof/>
            <w:color w:val="000000"/>
            <w:shd w:val="clear" w:color="auto" w:fill="FFFFFF"/>
          </w:rPr>
          <w:t>Wright, 1983</w:t>
        </w:r>
      </w:hyperlink>
      <w:r w:rsidR="00B7572A">
        <w:rPr>
          <w:rFonts w:cs="Times New Roman"/>
          <w:noProof/>
          <w:color w:val="000000"/>
          <w:shd w:val="clear" w:color="auto" w:fill="FFFFFF"/>
        </w:rPr>
        <w:t>)</w:t>
      </w:r>
      <w:r w:rsidR="00301182">
        <w:rPr>
          <w:rFonts w:cs="Times New Roman"/>
          <w:color w:val="000000"/>
          <w:shd w:val="clear" w:color="auto" w:fill="FFFFFF"/>
        </w:rPr>
        <w:fldChar w:fldCharType="end"/>
      </w:r>
      <w:r>
        <w:rPr>
          <w:rFonts w:cs="Times New Roman"/>
          <w:color w:val="000000"/>
          <w:shd w:val="clear" w:color="auto" w:fill="FFFFFF"/>
        </w:rPr>
        <w:t>.</w:t>
      </w:r>
      <w:r w:rsidRPr="00BD4B8F">
        <w:rPr>
          <w:rFonts w:cs="Times New Roman"/>
          <w:color w:val="000000"/>
          <w:shd w:val="clear" w:color="auto" w:fill="FFFFFF"/>
        </w:rPr>
        <w:t xml:space="preserve"> In contrast, the amorphous structure of hemicellulose allows for far more efficient conversion, with sugar recovery rates of 80-90% </w:t>
      </w:r>
      <w:r w:rsidR="00301182">
        <w:rPr>
          <w:rFonts w:cs="Times New Roman"/>
          <w:color w:val="000000"/>
          <w:shd w:val="clear" w:color="auto" w:fill="FFFFFF"/>
        </w:rPr>
        <w:fldChar w:fldCharType="begin"/>
      </w:r>
      <w:r w:rsidR="00E20B7A">
        <w:rPr>
          <w:rFonts w:cs="Times New Roman"/>
          <w:color w:val="000000"/>
          <w:shd w:val="clear" w:color="auto" w:fill="FFFFFF"/>
        </w:rPr>
        <w:instrText xml:space="preserve"> ADDIN EN.CITE &lt;EndNote&gt;&lt;Cite&gt;&lt;Author&gt;Vogel&lt;/Author&gt;&lt;Year&gt;2011&lt;/Year&gt;&lt;RecNum&gt;256&lt;/RecNum&gt;&lt;DisplayText&gt;(Torget et al., 1990; Vogel et al., 2011)&lt;/DisplayText&gt;&lt;record&gt;&lt;rec-number&gt;256&lt;/rec-number&gt;&lt;foreign-keys&gt;&lt;key app="EN" db-id="9zfxt259rawwvce0pfa5efeuatdw0pz5va5z" timestamp="1323887732"&gt;256&lt;/key&gt;&lt;/foreign-keys&gt;&lt;ref-type name="Journal Article"&gt;17&lt;/ref-type&gt;&lt;contributors&gt;&lt;authors&gt;&lt;author&gt;Vogel, K.P.&lt;/author&gt;&lt;author&gt;Dien, B.S.&lt;/author&gt;&lt;author&gt;Jung, H.G.&lt;/author&gt;&lt;author&gt;Casler, M.D.&lt;/author&gt;&lt;author&gt;Masterson, S.D.&lt;/author&gt;&lt;author&gt;Mitchell, R.B.&lt;/author&gt;&lt;/authors&gt;&lt;/contributors&gt;&lt;titles&gt;&lt;title&gt;Quantifying actual and theoretical ethanol yields for switchgrass strains using NIRS analyses&lt;/title&gt;&lt;secondary-title&gt;Bioenergy Research&lt;/secondary-title&gt;&lt;/titles&gt;&lt;periodical&gt;&lt;full-title&gt;Bioenergy Research&lt;/full-title&gt;&lt;abbr-1&gt;BioEnergy Res.&lt;/abbr-1&gt;&lt;/periodical&gt;&lt;pages&gt;96-110&lt;/pages&gt;&lt;volume&gt;4&lt;/volume&gt;&lt;section&gt;96&lt;/section&gt;&lt;dates&gt;&lt;year&gt;2011&lt;/year&gt;&lt;/dates&gt;&lt;urls&gt;&lt;/urls&gt;&lt;/record&gt;&lt;/Cite&gt;&lt;Cite&gt;&lt;Author&gt;Torget&lt;/Author&gt;&lt;Year&gt;1990&lt;/Year&gt;&lt;RecNum&gt;308&lt;/RecNum&gt;&lt;record&gt;&lt;rec-number&gt;308&lt;/rec-number&gt;&lt;foreign-keys&gt;&lt;key app="EN" db-id="9zfxt259rawwvce0pfa5efeuatdw0pz5va5z" timestamp="1396904767"&gt;308&lt;/key&gt;&lt;/foreign-keys&gt;&lt;ref-type name="Journal Article"&gt;17&lt;/ref-type&gt;&lt;contributors&gt;&lt;authors&gt;&lt;author&gt;Torget, R.&lt;/author&gt;&lt;author&gt;Werdene, P.&lt;/author&gt;&lt;author&gt;Himmel, M. &lt;/author&gt;&lt;author&gt;Grohmann, K.&lt;/author&gt;&lt;/authors&gt;&lt;/contributors&gt;&lt;titles&gt;&lt;title&gt;Dilute acid pretreatment of short rotation woody and herbaceous crops&lt;/title&gt;&lt;secondary-title&gt;Appl. Biochem. Biotechnol.&lt;/secondary-title&gt;&lt;/titles&gt;&lt;periodical&gt;&lt;full-title&gt;Appl. Biochem. Biotechnol.&lt;/full-title&gt;&lt;/periodical&gt;&lt;pages&gt;115&lt;/pages&gt;&lt;volume&gt;24-25&lt;/volume&gt;&lt;dates&gt;&lt;year&gt;1990&lt;/year&gt;&lt;/dates&gt;&lt;urls&gt;&lt;/urls&gt;&lt;/record&gt;&lt;/Cite&gt;&lt;/EndNote&gt;</w:instrText>
      </w:r>
      <w:r w:rsidR="00301182">
        <w:rPr>
          <w:rFonts w:cs="Times New Roman"/>
          <w:color w:val="000000"/>
          <w:shd w:val="clear" w:color="auto" w:fill="FFFFFF"/>
        </w:rPr>
        <w:fldChar w:fldCharType="separate"/>
      </w:r>
      <w:r w:rsidR="00B7572A">
        <w:rPr>
          <w:rFonts w:cs="Times New Roman"/>
          <w:noProof/>
          <w:color w:val="000000"/>
          <w:shd w:val="clear" w:color="auto" w:fill="FFFFFF"/>
        </w:rPr>
        <w:t>(</w:t>
      </w:r>
      <w:hyperlink w:anchor="_ENREF_97" w:tooltip="Torget, 1990 #308" w:history="1">
        <w:r w:rsidR="00FB5014">
          <w:rPr>
            <w:rFonts w:cs="Times New Roman"/>
            <w:noProof/>
            <w:color w:val="000000"/>
            <w:shd w:val="clear" w:color="auto" w:fill="FFFFFF"/>
          </w:rPr>
          <w:t>Torget et al., 1990</w:t>
        </w:r>
      </w:hyperlink>
      <w:r w:rsidR="00B7572A">
        <w:rPr>
          <w:rFonts w:cs="Times New Roman"/>
          <w:noProof/>
          <w:color w:val="000000"/>
          <w:shd w:val="clear" w:color="auto" w:fill="FFFFFF"/>
        </w:rPr>
        <w:t xml:space="preserve">; </w:t>
      </w:r>
      <w:hyperlink w:anchor="_ENREF_99" w:tooltip="Vogel, 2011 #256" w:history="1">
        <w:r w:rsidR="00FB5014">
          <w:rPr>
            <w:rFonts w:cs="Times New Roman"/>
            <w:noProof/>
            <w:color w:val="000000"/>
            <w:shd w:val="clear" w:color="auto" w:fill="FFFFFF"/>
          </w:rPr>
          <w:t>Vogel et al., 2011</w:t>
        </w:r>
      </w:hyperlink>
      <w:r w:rsidR="00B7572A">
        <w:rPr>
          <w:rFonts w:cs="Times New Roman"/>
          <w:noProof/>
          <w:color w:val="000000"/>
          <w:shd w:val="clear" w:color="auto" w:fill="FFFFFF"/>
        </w:rPr>
        <w:t>)</w:t>
      </w:r>
      <w:r w:rsidR="00301182">
        <w:rPr>
          <w:rFonts w:cs="Times New Roman"/>
          <w:color w:val="000000"/>
          <w:shd w:val="clear" w:color="auto" w:fill="FFFFFF"/>
        </w:rPr>
        <w:fldChar w:fldCharType="end"/>
      </w:r>
      <w:r w:rsidRPr="00BD4B8F">
        <w:rPr>
          <w:rFonts w:cs="Times New Roman"/>
          <w:color w:val="000000"/>
          <w:shd w:val="clear" w:color="auto" w:fill="FFFFFF"/>
        </w:rPr>
        <w:t>.​</w:t>
      </w:r>
    </w:p>
    <w:p w14:paraId="59F92EEF" w14:textId="7AC88AEA" w:rsidR="00686D2D" w:rsidRPr="00BD4B8F" w:rsidRDefault="00686D2D" w:rsidP="00686D2D">
      <w:pPr>
        <w:ind w:firstLine="720"/>
        <w:rPr>
          <w:rFonts w:cs="Times New Roman"/>
          <w:color w:val="000000"/>
          <w:shd w:val="clear" w:color="auto" w:fill="FFFFFF"/>
        </w:rPr>
      </w:pPr>
      <w:r w:rsidRPr="00BD4B8F">
        <w:rPr>
          <w:rFonts w:cs="Times New Roman"/>
          <w:color w:val="000000"/>
          <w:shd w:val="clear" w:color="auto" w:fill="FFFFFF"/>
        </w:rPr>
        <w:t xml:space="preserve">In addition to reducing the fermentable portions of the plant cell walls, </w:t>
      </w:r>
      <w:r w:rsidR="005456E1">
        <w:rPr>
          <w:rFonts w:cs="Times New Roman"/>
          <w:color w:val="000000"/>
          <w:shd w:val="clear" w:color="auto" w:fill="FFFFFF"/>
        </w:rPr>
        <w:t xml:space="preserve">pathogen infection </w:t>
      </w:r>
      <w:r w:rsidRPr="00BD4B8F">
        <w:rPr>
          <w:rFonts w:cs="Times New Roman"/>
          <w:color w:val="000000"/>
          <w:shd w:val="clear" w:color="auto" w:fill="FFFFFF"/>
        </w:rPr>
        <w:t xml:space="preserve">may also increase elements that are inhibitory to the fermentation process. In our study, disease had a significant effect on percent calcium. An increase in cytoplasmic calcium has been associated with the hypersensitive response of plants to various pathogens </w:t>
      </w:r>
      <w:r w:rsidR="00301182">
        <w:rPr>
          <w:rFonts w:cs="Times New Roman"/>
          <w:color w:val="000000"/>
          <w:shd w:val="clear" w:color="auto" w:fill="FFFFFF"/>
        </w:rPr>
        <w:fldChar w:fldCharType="begin">
          <w:fldData xml:space="preserve">PEVuZE5vdGU+PENpdGU+PEF1dGhvcj5YdTwvQXV0aG9yPjxZZWFyPjE5OTg8L1llYXI+PFJlY051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</w:fldData>
        </w:fldChar>
      </w:r>
      <w:r w:rsidR="00B7572A">
        <w:rPr>
          <w:rFonts w:cs="Times New Roman"/>
          <w:color w:val="000000"/>
          <w:shd w:val="clear" w:color="auto" w:fill="FFFFFF"/>
        </w:rPr>
        <w:instrText xml:space="preserve"> ADDIN EN.CITE </w:instrText>
      </w:r>
      <w:r w:rsidR="00B7572A">
        <w:rPr>
          <w:rFonts w:cs="Times New Roman"/>
          <w:color w:val="000000"/>
          <w:shd w:val="clear" w:color="auto" w:fill="FFFFFF"/>
        </w:rPr>
        <w:fldChar w:fldCharType="begin">
          <w:fldData xml:space="preserve">PEVuZE5vdGU+PENpdGU+PEF1dGhvcj5YdTwvQXV0aG9yPjxZZWFyPjE5OTg8L1llYXI+PFJlY051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</w:fldData>
        </w:fldChar>
      </w:r>
      <w:r w:rsidR="00B7572A">
        <w:rPr>
          <w:rFonts w:cs="Times New Roman"/>
          <w:color w:val="000000"/>
          <w:shd w:val="clear" w:color="auto" w:fill="FFFFFF"/>
        </w:rPr>
        <w:instrText xml:space="preserve"> ADDIN EN.CITE.DATA </w:instrText>
      </w:r>
      <w:r w:rsidR="00B7572A">
        <w:rPr>
          <w:rFonts w:cs="Times New Roman"/>
          <w:color w:val="000000"/>
          <w:shd w:val="clear" w:color="auto" w:fill="FFFFFF"/>
        </w:rPr>
      </w:r>
      <w:r w:rsidR="00B7572A">
        <w:rPr>
          <w:rFonts w:cs="Times New Roman"/>
          <w:color w:val="000000"/>
          <w:shd w:val="clear" w:color="auto" w:fill="FFFFFF"/>
        </w:rPr>
        <w:fldChar w:fldCharType="end"/>
      </w:r>
      <w:r w:rsidR="00301182">
        <w:rPr>
          <w:rFonts w:cs="Times New Roman"/>
          <w:color w:val="000000"/>
          <w:shd w:val="clear" w:color="auto" w:fill="FFFFFF"/>
        </w:rPr>
      </w:r>
      <w:r w:rsidR="00301182">
        <w:rPr>
          <w:rFonts w:cs="Times New Roman"/>
          <w:color w:val="000000"/>
          <w:shd w:val="clear" w:color="auto" w:fill="FFFFFF"/>
        </w:rPr>
        <w:fldChar w:fldCharType="separate"/>
      </w:r>
      <w:r w:rsidR="00B7572A">
        <w:rPr>
          <w:rFonts w:cs="Times New Roman"/>
          <w:noProof/>
          <w:color w:val="000000"/>
          <w:shd w:val="clear" w:color="auto" w:fill="FFFFFF"/>
        </w:rPr>
        <w:t>(</w:t>
      </w:r>
      <w:hyperlink w:anchor="_ENREF_63" w:tooltip="Liu, 2010 #292" w:history="1">
        <w:r w:rsidR="00FB5014">
          <w:rPr>
            <w:rFonts w:cs="Times New Roman"/>
            <w:noProof/>
            <w:color w:val="000000"/>
            <w:shd w:val="clear" w:color="auto" w:fill="FFFFFF"/>
          </w:rPr>
          <w:t>Liu et al., 2010</w:t>
        </w:r>
      </w:hyperlink>
      <w:r w:rsidR="00B7572A">
        <w:rPr>
          <w:rFonts w:cs="Times New Roman"/>
          <w:noProof/>
          <w:color w:val="000000"/>
          <w:shd w:val="clear" w:color="auto" w:fill="FFFFFF"/>
        </w:rPr>
        <w:t xml:space="preserve">; </w:t>
      </w:r>
      <w:hyperlink w:anchor="_ENREF_106" w:tooltip="Xu, 1998 #294" w:history="1">
        <w:r w:rsidR="00FB5014">
          <w:rPr>
            <w:rFonts w:cs="Times New Roman"/>
            <w:noProof/>
            <w:color w:val="000000"/>
            <w:shd w:val="clear" w:color="auto" w:fill="FFFFFF"/>
          </w:rPr>
          <w:t>Xu and Heath, 1998</w:t>
        </w:r>
      </w:hyperlink>
      <w:r w:rsidR="00B7572A">
        <w:rPr>
          <w:rFonts w:cs="Times New Roman"/>
          <w:noProof/>
          <w:color w:val="000000"/>
          <w:shd w:val="clear" w:color="auto" w:fill="FFFFFF"/>
        </w:rPr>
        <w:t>)</w:t>
      </w:r>
      <w:r w:rsidR="00301182">
        <w:rPr>
          <w:rFonts w:cs="Times New Roman"/>
          <w:color w:val="000000"/>
          <w:shd w:val="clear" w:color="auto" w:fill="FFFFFF"/>
        </w:rPr>
        <w:fldChar w:fldCharType="end"/>
      </w:r>
      <w:r w:rsidRPr="00BD4B8F">
        <w:rPr>
          <w:rFonts w:cs="Times New Roman"/>
          <w:color w:val="000000"/>
          <w:shd w:val="clear" w:color="auto" w:fill="FFFFFF"/>
        </w:rPr>
        <w:t>. As Ca</w:t>
      </w:r>
      <w:r>
        <w:rPr>
          <w:rFonts w:cs="Times New Roman"/>
          <w:color w:val="000000"/>
          <w:shd w:val="clear" w:color="auto" w:fill="FFFFFF"/>
          <w:vertAlign w:val="superscript"/>
        </w:rPr>
        <w:t>2+</w:t>
      </w:r>
      <w:r w:rsidRPr="00BD4B8F">
        <w:rPr>
          <w:rFonts w:cs="Times New Roman"/>
          <w:color w:val="000000"/>
          <w:shd w:val="clear" w:color="auto" w:fill="FFFFFF"/>
        </w:rPr>
        <w:t xml:space="preserve"> levels increase, fermentation may be inhibited. </w:t>
      </w:r>
      <w:hyperlink w:anchor="_ENREF_23" w:tooltip="Chotineeranat, 2010 #305" w:history="1">
        <w:r w:rsidR="00FB5014">
          <w:rPr>
            <w:rFonts w:cs="Times New Roman"/>
            <w:color w:val="000000"/>
            <w:shd w:val="clear" w:color="auto" w:fill="FFFFFF"/>
          </w:rPr>
          <w:fldChar w:fldCharType="begin"/>
        </w:r>
        <w:r w:rsidR="00FB5014">
          <w:rPr>
            <w:rFonts w:cs="Times New Roman"/>
            <w:color w:val="000000"/>
            <w:shd w:val="clear" w:color="auto" w:fill="FFFFFF"/>
          </w:rPr>
          <w:instrText xml:space="preserve"> ADDIN EN.CITE &lt;EndNote&gt;&lt;Cite AuthorYear="1"&gt;&lt;Author&gt;Chotineeranat&lt;/Author&gt;&lt;Year&gt;2010&lt;/Year&gt;&lt;RecNum&gt;305&lt;/RecNum&gt;&lt;DisplayText&gt;Chotineeranat et al. (2010)&lt;/DisplayText&gt;&lt;record&gt;&lt;rec-number&gt;305&lt;/rec-number&gt;&lt;foreign-keys&gt;&lt;key app="EN" db-id="9zfxt259rawwvce0pfa5efeuatdw0pz5va5z" timestamp="1396903552"&gt;305&lt;/key&gt;&lt;/foreign-keys&gt;&lt;ref-type name="Journal Article"&gt;17&lt;/ref-type&gt;&lt;contributors&gt;&lt;authors&gt;&lt;author&gt;Chotineeranat, S.&lt;/author&gt;&lt;author&gt;Wansuksri, R.&lt;/author&gt;&lt;author&gt;Piyachomkwan, K.&lt;/author&gt;&lt;author&gt;Chatakanonda, P.&lt;/author&gt;&lt;author&gt;Weerathaworn, P.&lt;/author&gt;&lt;author&gt;Sriroth, K.&lt;/author&gt;&lt;/authors&gt;&lt;/contributors&gt;&lt;titles&gt;&lt;title&gt;&lt;style face="normal" font="default" size="100%"&gt;Effect of calcium ions on ethanol production from molasses by &lt;/style&gt;&lt;style face="italic" font="default" size="100%"&gt;Saccharomyces cerevisiae&lt;/style&gt;&lt;/title&gt;&lt;secondary-title&gt;Sugar Tech&lt;/secondary-title&gt;&lt;/titles&gt;&lt;periodical&gt;&lt;full-title&gt;Sugar Tech&lt;/full-title&gt;&lt;/periodical&gt;&lt;pages&gt;120-124&lt;/pages&gt;&lt;volume&gt;12&lt;/volume&gt;&lt;number&gt;2&lt;/number&gt;&lt;dates&gt;&lt;year&gt;2010&lt;/year&gt;&lt;/dates&gt;&lt;urls&gt;&lt;/urls&gt;&lt;/record&gt;&lt;/Cite&gt;&lt;/EndNote&gt;</w:instrText>
        </w:r>
        <w:r w:rsidR="00FB5014">
          <w:rPr>
            <w:rFonts w:cs="Times New Roman"/>
            <w:color w:val="000000"/>
            <w:shd w:val="clear" w:color="auto" w:fill="FFFFFF"/>
          </w:rPr>
          <w:fldChar w:fldCharType="separate"/>
        </w:r>
        <w:r w:rsidR="00FB5014">
          <w:rPr>
            <w:rFonts w:cs="Times New Roman"/>
            <w:noProof/>
            <w:color w:val="000000"/>
            <w:shd w:val="clear" w:color="auto" w:fill="FFFFFF"/>
          </w:rPr>
          <w:t>Chotineeranat et al. (2010)</w:t>
        </w:r>
        <w:r w:rsidR="00FB5014">
          <w:rPr>
            <w:rFonts w:cs="Times New Roman"/>
            <w:color w:val="000000"/>
            <w:shd w:val="clear" w:color="auto" w:fill="FFFFFF"/>
          </w:rPr>
          <w:fldChar w:fldCharType="end"/>
        </w:r>
      </w:hyperlink>
      <w:r w:rsidR="0069022C">
        <w:rPr>
          <w:rFonts w:cs="Times New Roman"/>
          <w:color w:val="000000"/>
          <w:shd w:val="clear" w:color="auto" w:fill="FFFFFF"/>
        </w:rPr>
        <w:t xml:space="preserve"> </w:t>
      </w:r>
      <w:proofErr w:type="gramStart"/>
      <w:r w:rsidRPr="00BD4B8F">
        <w:rPr>
          <w:rFonts w:cs="Times New Roman"/>
          <w:color w:val="000000"/>
          <w:shd w:val="clear" w:color="auto" w:fill="FFFFFF"/>
        </w:rPr>
        <w:t>reported</w:t>
      </w:r>
      <w:proofErr w:type="gramEnd"/>
      <w:r w:rsidRPr="00BD4B8F">
        <w:rPr>
          <w:rFonts w:cs="Times New Roman"/>
          <w:color w:val="000000"/>
          <w:shd w:val="clear" w:color="auto" w:fill="FFFFFF"/>
        </w:rPr>
        <w:t xml:space="preserve"> a significant inhibitory effect on ethanol fermentation performance of </w:t>
      </w:r>
      <w:r w:rsidRPr="00BD4B8F">
        <w:rPr>
          <w:rFonts w:cs="Times New Roman"/>
          <w:i/>
          <w:color w:val="000000"/>
          <w:shd w:val="clear" w:color="auto" w:fill="FFFFFF"/>
        </w:rPr>
        <w:t>Saccharomyces cerevisiae</w:t>
      </w:r>
      <w:r w:rsidRPr="00BD4B8F">
        <w:rPr>
          <w:rFonts w:cs="Times New Roman"/>
          <w:color w:val="000000"/>
          <w:shd w:val="clear" w:color="auto" w:fill="FFFFFF"/>
        </w:rPr>
        <w:t xml:space="preserve"> in biofuel molasses. At concentrations of 0.72% w/v of Ca</w:t>
      </w:r>
      <w:r w:rsidRPr="00BD4B8F">
        <w:rPr>
          <w:rFonts w:cs="Times New Roman"/>
          <w:color w:val="000000"/>
          <w:shd w:val="clear" w:color="auto" w:fill="FFFFFF"/>
          <w:vertAlign w:val="superscript"/>
        </w:rPr>
        <w:t>2+</w:t>
      </w:r>
      <w:r w:rsidRPr="00BD4B8F">
        <w:rPr>
          <w:rFonts w:cs="Times New Roman"/>
          <w:color w:val="000000"/>
          <w:shd w:val="clear" w:color="auto" w:fill="FFFFFF"/>
        </w:rPr>
        <w:t xml:space="preserve">, </w:t>
      </w:r>
      <w:r w:rsidR="0095454C">
        <w:rPr>
          <w:rFonts w:cs="Times New Roman"/>
          <w:color w:val="000000"/>
          <w:shd w:val="clear" w:color="auto" w:fill="FFFFFF"/>
        </w:rPr>
        <w:t>predicted ethanol yield</w:t>
      </w:r>
      <w:r w:rsidRPr="00BD4B8F">
        <w:rPr>
          <w:rFonts w:cs="Times New Roman"/>
          <w:color w:val="000000"/>
          <w:shd w:val="clear" w:color="auto" w:fill="FFFFFF"/>
        </w:rPr>
        <w:t>s decreased by 14-15% compared to the control at 0% w/v of Ca</w:t>
      </w:r>
      <w:r w:rsidRPr="00BD4B8F">
        <w:rPr>
          <w:rFonts w:cs="Times New Roman"/>
          <w:color w:val="000000"/>
          <w:shd w:val="clear" w:color="auto" w:fill="FFFFFF"/>
          <w:vertAlign w:val="superscript"/>
        </w:rPr>
        <w:t>2+</w:t>
      </w:r>
      <w:r w:rsidRPr="00BD4B8F">
        <w:rPr>
          <w:rFonts w:cs="Times New Roman"/>
          <w:color w:val="000000"/>
          <w:shd w:val="clear" w:color="auto" w:fill="FFFFFF"/>
        </w:rPr>
        <w:t>.</w:t>
      </w:r>
    </w:p>
    <w:p w14:paraId="478A67B5" w14:textId="77777777" w:rsidR="00686D2D" w:rsidRDefault="00382C84" w:rsidP="009B24A0">
      <w:pPr>
        <w:pStyle w:val="Heading2"/>
        <w:rPr>
          <w:shd w:val="clear" w:color="auto" w:fill="FFFFFF"/>
        </w:rPr>
      </w:pPr>
      <w:bookmarkStart w:id="35" w:name="_Toc404069828"/>
      <w:r>
        <w:rPr>
          <w:shd w:val="clear" w:color="auto" w:fill="FFFFFF"/>
        </w:rPr>
        <w:lastRenderedPageBreak/>
        <w:t>Conclusion</w:t>
      </w:r>
      <w:bookmarkEnd w:id="35"/>
    </w:p>
    <w:p w14:paraId="23B95F46" w14:textId="2E14EC9B" w:rsidR="00686D2D" w:rsidRPr="000843B5" w:rsidRDefault="00686D2D" w:rsidP="00686D2D">
      <w:pPr>
        <w:ind w:firstLine="720"/>
        <w:rPr>
          <w:rFonts w:cs="Times New Roman"/>
          <w:color w:val="000000"/>
          <w:shd w:val="clear" w:color="auto" w:fill="FFFFFF"/>
        </w:rPr>
      </w:pPr>
      <w:r>
        <w:rPr>
          <w:rFonts w:cs="Times New Roman"/>
          <w:color w:val="000000"/>
          <w:shd w:val="clear" w:color="auto" w:fill="FFFFFF"/>
        </w:rPr>
        <w:t xml:space="preserve">A very clear trend of reduced </w:t>
      </w:r>
      <w:r w:rsidR="0095454C">
        <w:rPr>
          <w:rFonts w:cs="Times New Roman"/>
          <w:color w:val="000000"/>
          <w:shd w:val="clear" w:color="auto" w:fill="FFFFFF"/>
        </w:rPr>
        <w:t>predicted ethanol yield</w:t>
      </w:r>
      <w:r>
        <w:rPr>
          <w:rFonts w:cs="Times New Roman"/>
          <w:color w:val="000000"/>
          <w:shd w:val="clear" w:color="auto" w:fill="FFFFFF"/>
        </w:rPr>
        <w:t xml:space="preserve"> in switchgrass </w:t>
      </w:r>
      <w:r w:rsidR="005456E1">
        <w:rPr>
          <w:rFonts w:cs="Times New Roman"/>
          <w:color w:val="000000"/>
          <w:shd w:val="clear" w:color="auto" w:fill="FFFFFF"/>
        </w:rPr>
        <w:t xml:space="preserve">exhibiting rust symptoms </w:t>
      </w:r>
      <w:r>
        <w:rPr>
          <w:rFonts w:cs="Times New Roman"/>
          <w:color w:val="000000"/>
          <w:shd w:val="clear" w:color="auto" w:fill="FFFFFF"/>
        </w:rPr>
        <w:t>was observed with reductions of 10-34% in plants with medium disease</w:t>
      </w:r>
      <w:r w:rsidR="005456E1">
        <w:rPr>
          <w:rFonts w:cs="Times New Roman"/>
          <w:color w:val="000000"/>
          <w:shd w:val="clear" w:color="auto" w:fill="FFFFFF"/>
        </w:rPr>
        <w:t xml:space="preserve"> severity</w:t>
      </w:r>
      <w:r>
        <w:rPr>
          <w:rFonts w:cs="Times New Roman"/>
          <w:color w:val="000000"/>
          <w:shd w:val="clear" w:color="auto" w:fill="FFFFFF"/>
        </w:rPr>
        <w:t xml:space="preserve"> and</w:t>
      </w:r>
      <w:r w:rsidR="0069022C">
        <w:rPr>
          <w:rFonts w:cs="Times New Roman"/>
          <w:color w:val="000000"/>
          <w:shd w:val="clear" w:color="auto" w:fill="FFFFFF"/>
        </w:rPr>
        <w:t xml:space="preserve"> </w:t>
      </w:r>
      <w:r>
        <w:rPr>
          <w:rFonts w:cs="Times New Roman"/>
          <w:color w:val="000000"/>
          <w:shd w:val="clear" w:color="auto" w:fill="FFFFFF"/>
        </w:rPr>
        <w:t>reductions of 21-52% in plants with high disease</w:t>
      </w:r>
      <w:r w:rsidR="005456E1">
        <w:rPr>
          <w:rFonts w:cs="Times New Roman"/>
          <w:color w:val="000000"/>
          <w:shd w:val="clear" w:color="auto" w:fill="FFFFFF"/>
        </w:rPr>
        <w:t xml:space="preserve"> severity</w:t>
      </w:r>
      <w:r>
        <w:rPr>
          <w:rFonts w:cs="Times New Roman"/>
          <w:color w:val="000000"/>
          <w:shd w:val="clear" w:color="auto" w:fill="FFFFFF"/>
        </w:rPr>
        <w:t xml:space="preserve">. No other studies to date have examined the effect of pathogen infection on ethanol yield in switchgrass; however, these results are similar to reductions in digestibility observed in forage crops infected with </w:t>
      </w:r>
      <w:r>
        <w:rPr>
          <w:rFonts w:cs="Times New Roman"/>
          <w:i/>
          <w:color w:val="000000"/>
          <w:shd w:val="clear" w:color="auto" w:fill="FFFFFF"/>
        </w:rPr>
        <w:t>Puccinia</w:t>
      </w:r>
      <w:r>
        <w:rPr>
          <w:rFonts w:cs="Times New Roman"/>
          <w:color w:val="000000"/>
          <w:shd w:val="clear" w:color="auto" w:fill="FFFFFF"/>
        </w:rPr>
        <w:t xml:space="preserve"> spp</w:t>
      </w:r>
      <w:r w:rsidR="00954DB7">
        <w:rPr>
          <w:rFonts w:cs="Times New Roman"/>
          <w:color w:val="000000"/>
          <w:shd w:val="clear" w:color="auto" w:fill="FFFFFF"/>
        </w:rPr>
        <w:t xml:space="preserve">. </w:t>
      </w:r>
      <w:r w:rsidRPr="00BD4B8F">
        <w:rPr>
          <w:rFonts w:cs="Times New Roman"/>
          <w:color w:val="000000"/>
          <w:shd w:val="clear" w:color="auto" w:fill="FFFFFF"/>
        </w:rPr>
        <w:t>While the exact</w:t>
      </w:r>
      <w:r>
        <w:rPr>
          <w:rFonts w:cs="Times New Roman"/>
          <w:color w:val="000000"/>
          <w:shd w:val="clear" w:color="auto" w:fill="FFFFFF"/>
        </w:rPr>
        <w:t xml:space="preserve"> mechanisms by which </w:t>
      </w:r>
      <w:r w:rsidR="005456E1">
        <w:rPr>
          <w:rFonts w:cs="Times New Roman"/>
          <w:i/>
          <w:color w:val="000000"/>
          <w:shd w:val="clear" w:color="auto" w:fill="FFFFFF"/>
        </w:rPr>
        <w:t xml:space="preserve">P. emaculata </w:t>
      </w:r>
      <w:r>
        <w:rPr>
          <w:rFonts w:cs="Times New Roman"/>
          <w:color w:val="000000"/>
          <w:shd w:val="clear" w:color="auto" w:fill="FFFFFF"/>
        </w:rPr>
        <w:t xml:space="preserve">reduces </w:t>
      </w:r>
      <w:r w:rsidR="0095454C">
        <w:rPr>
          <w:rFonts w:cs="Times New Roman"/>
          <w:color w:val="000000"/>
          <w:shd w:val="clear" w:color="auto" w:fill="FFFFFF"/>
        </w:rPr>
        <w:t>predicted ethanol yield</w:t>
      </w:r>
      <w:r>
        <w:rPr>
          <w:rFonts w:cs="Times New Roman"/>
          <w:color w:val="000000"/>
          <w:shd w:val="clear" w:color="auto" w:fill="FFFFFF"/>
        </w:rPr>
        <w:t xml:space="preserve"> are still speculative, the altered cell wall composition and cellular components within infected switchgrass suggest losses may be due to a reduction in available digestible material and/or a reduction in the digestibility of that material. Results from this study suggest that biofuel production facilities may incur a hidden loss in ethanol yield when purchasing switchgrass that </w:t>
      </w:r>
      <w:r w:rsidR="005456E1">
        <w:rPr>
          <w:rFonts w:cs="Times New Roman"/>
          <w:color w:val="000000"/>
          <w:shd w:val="clear" w:color="auto" w:fill="FFFFFF"/>
        </w:rPr>
        <w:t>exhibits rust symptoms</w:t>
      </w:r>
      <w:r>
        <w:rPr>
          <w:rFonts w:cs="Times New Roman"/>
          <w:color w:val="000000"/>
          <w:shd w:val="clear" w:color="auto" w:fill="FFFFFF"/>
        </w:rPr>
        <w:t xml:space="preserve">. Further studies of biomass yield loss associated with </w:t>
      </w:r>
      <w:r w:rsidR="0087133D">
        <w:rPr>
          <w:rFonts w:cs="Times New Roman"/>
          <w:color w:val="000000"/>
          <w:shd w:val="clear" w:color="auto" w:fill="FFFFFF"/>
        </w:rPr>
        <w:t xml:space="preserve">switchgrass </w:t>
      </w:r>
      <w:r w:rsidR="009C1A48">
        <w:rPr>
          <w:rFonts w:cs="Times New Roman"/>
          <w:color w:val="000000"/>
          <w:shd w:val="clear" w:color="auto" w:fill="FFFFFF"/>
        </w:rPr>
        <w:t>rust</w:t>
      </w:r>
      <w:r>
        <w:rPr>
          <w:rFonts w:cs="Times New Roman"/>
          <w:color w:val="000000"/>
          <w:shd w:val="clear" w:color="auto" w:fill="FFFFFF"/>
        </w:rPr>
        <w:t>, the cost and effectiveness of disease control measures, and breeding efforts to produce cultivars with reduced disease susceptibility would provide producers with more information and options for effectively managing this potentially important disease</w:t>
      </w:r>
      <w:r w:rsidR="00954DB7">
        <w:rPr>
          <w:rFonts w:cs="Times New Roman"/>
          <w:color w:val="000000"/>
          <w:shd w:val="clear" w:color="auto" w:fill="FFFFFF"/>
        </w:rPr>
        <w:t xml:space="preserve">. </w:t>
      </w:r>
    </w:p>
    <w:p w14:paraId="1988D613" w14:textId="77777777" w:rsidR="00F57B43" w:rsidRDefault="00686D2D" w:rsidP="009B24A0">
      <w:pPr>
        <w:pStyle w:val="Heading2"/>
        <w:sectPr w:rsidR="00F57B43" w:rsidSect="00794998">
          <w:pgSz w:w="12240" w:h="15840"/>
          <w:pgMar w:top="1440" w:right="1440" w:bottom="1440" w:left="1440" w:header="720" w:footer="720" w:gutter="0"/>
          <w:pgNumType w:start="1"/>
          <w:cols w:space="720"/>
          <w:docGrid w:linePitch="360"/>
        </w:sectPr>
      </w:pPr>
      <w:r>
        <w:br w:type="page"/>
      </w:r>
    </w:p>
    <w:p w14:paraId="318961FB" w14:textId="77777777" w:rsidR="00382C84" w:rsidRDefault="00382C84" w:rsidP="009B24A0">
      <w:pPr>
        <w:pStyle w:val="Heading2"/>
      </w:pPr>
      <w:bookmarkStart w:id="36" w:name="_Toc404069829"/>
      <w:r>
        <w:lastRenderedPageBreak/>
        <w:t>Appendix I</w:t>
      </w:r>
      <w:bookmarkEnd w:id="36"/>
    </w:p>
    <w:p w14:paraId="7E80B42B" w14:textId="77777777" w:rsidR="00235C84" w:rsidRPr="00235C84" w:rsidRDefault="00235C84" w:rsidP="00EC28CD">
      <w:pPr>
        <w:jc w:val="center"/>
      </w:pPr>
      <w:r>
        <w:rPr>
          <w:noProof/>
        </w:rPr>
        <w:drawing>
          <wp:inline distT="0" distB="0" distL="0" distR="0" wp14:anchorId="5615A0A6" wp14:editId="16C0DB92">
            <wp:extent cx="7924800" cy="2247900"/>
            <wp:effectExtent l="0" t="0" r="0" b="0"/>
            <wp:docPr id="2016" name="Picture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JPG"/>
                    <pic:cNvPicPr/>
                  </pic:nvPicPr>
                  <pic:blipFill rotWithShape="1">
                    <a:blip r:embed="rId11" cstate="print">
                      <a:extLst>
                        <a:ext uri="{28A0092B-C50C-407E-A947-70E740481C1C}">
                          <a14:useLocalDpi xmlns:a14="http://schemas.microsoft.com/office/drawing/2010/main" val="0"/>
                        </a:ext>
                      </a:extLst>
                    </a:blip>
                    <a:srcRect t="37500" b="24680"/>
                    <a:stretch/>
                  </pic:blipFill>
                  <pic:spPr bwMode="auto">
                    <a:xfrm>
                      <a:off x="0" y="0"/>
                      <a:ext cx="7924800" cy="2247900"/>
                    </a:xfrm>
                    <a:prstGeom prst="rect">
                      <a:avLst/>
                    </a:prstGeom>
                    <a:ln>
                      <a:noFill/>
                    </a:ln>
                    <a:extLst>
                      <a:ext uri="{53640926-AAD7-44D8-BBD7-CCE9431645EC}">
                        <a14:shadowObscured xmlns:a14="http://schemas.microsoft.com/office/drawing/2010/main"/>
                      </a:ext>
                    </a:extLst>
                  </pic:spPr>
                </pic:pic>
              </a:graphicData>
            </a:graphic>
          </wp:inline>
        </w:drawing>
      </w:r>
    </w:p>
    <w:p w14:paraId="2A8CDB98" w14:textId="45A4F746" w:rsidR="00382C84" w:rsidRDefault="00C731BB" w:rsidP="00EC28CD">
      <w:pPr>
        <w:pStyle w:val="Heading4"/>
      </w:pPr>
      <w:bookmarkStart w:id="37" w:name="_Toc404070382"/>
      <w:r>
        <w:t>Figure 1-</w:t>
      </w:r>
      <w:r w:rsidR="00C159F0">
        <w:t>1.</w:t>
      </w:r>
      <w:r w:rsidR="00382C84" w:rsidRPr="00BD4B8F">
        <w:t xml:space="preserve"> Switchgrass leaves, viewed under two light conditions, expressing low disease symptoms - no sporulation and littl</w:t>
      </w:r>
      <w:r w:rsidR="005456E1">
        <w:t>e to no chlorosis or necrosis (A, B</w:t>
      </w:r>
      <w:r w:rsidR="00382C84" w:rsidRPr="00BD4B8F">
        <w:t>), medium disease symptoms - light to medium sporulation, medium chlorosis and necrosis, min</w:t>
      </w:r>
      <w:r w:rsidR="005456E1">
        <w:t>or tip dieback on some leaves (C, D</w:t>
      </w:r>
      <w:r w:rsidR="00382C84" w:rsidRPr="00BD4B8F">
        <w:t>), and high disease symptoms - heavy sporulation, chlorosis, and necrosis, tip dieback present but not e</w:t>
      </w:r>
      <w:r w:rsidR="005456E1">
        <w:t>xceeding 25% of the leaf area (E, F</w:t>
      </w:r>
      <w:r w:rsidR="00382C84" w:rsidRPr="00BD4B8F">
        <w:t>).</w:t>
      </w:r>
      <w:bookmarkEnd w:id="37"/>
    </w:p>
    <w:p w14:paraId="78D1275D" w14:textId="77777777" w:rsidR="00F57B43" w:rsidRPr="00BD4B8F" w:rsidRDefault="00F57B43" w:rsidP="00382C84">
      <w:pPr>
        <w:spacing w:line="360" w:lineRule="auto"/>
        <w:rPr>
          <w:rFonts w:cs="Times New Roman"/>
        </w:rPr>
      </w:pPr>
    </w:p>
    <w:p w14:paraId="0AE01020" w14:textId="77777777" w:rsidR="00382C84" w:rsidRPr="00BD4B8F" w:rsidRDefault="00382C84" w:rsidP="00382C84">
      <w:pPr>
        <w:spacing w:line="360" w:lineRule="auto"/>
        <w:rPr>
          <w:rFonts w:cs="Times New Roman"/>
        </w:rPr>
      </w:pPr>
    </w:p>
    <w:p w14:paraId="50D7607C" w14:textId="77777777" w:rsidR="00F57B43" w:rsidRDefault="00F57B43">
      <w:pPr>
        <w:spacing w:line="240" w:lineRule="auto"/>
        <w:rPr>
          <w:rFonts w:cs="Times New Roman"/>
        </w:rPr>
      </w:pPr>
      <w:r>
        <w:rPr>
          <w:rFonts w:cs="Times New Roman"/>
        </w:rPr>
        <w:br w:type="page"/>
      </w:r>
    </w:p>
    <w:p w14:paraId="719D4C1C" w14:textId="77777777" w:rsidR="00235C84" w:rsidRDefault="00235C84" w:rsidP="00EC28CD">
      <w:pPr>
        <w:jc w:val="center"/>
      </w:pPr>
      <w:bookmarkStart w:id="38" w:name="_Toc399942558"/>
      <w:r>
        <w:rPr>
          <w:noProof/>
        </w:rPr>
        <w:lastRenderedPageBreak/>
        <w:drawing>
          <wp:inline distT="0" distB="0" distL="0" distR="0" wp14:anchorId="7FB4381E" wp14:editId="3FD9CD10">
            <wp:extent cx="7924800" cy="2362200"/>
            <wp:effectExtent l="0" t="0" r="0" b="0"/>
            <wp:docPr id="2017" name="Picture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JPG"/>
                    <pic:cNvPicPr/>
                  </pic:nvPicPr>
                  <pic:blipFill rotWithShape="1">
                    <a:blip r:embed="rId12" cstate="print">
                      <a:extLst>
                        <a:ext uri="{28A0092B-C50C-407E-A947-70E740481C1C}">
                          <a14:useLocalDpi xmlns:a14="http://schemas.microsoft.com/office/drawing/2010/main" val="0"/>
                        </a:ext>
                      </a:extLst>
                    </a:blip>
                    <a:srcRect t="36057" b="24199"/>
                    <a:stretch/>
                  </pic:blipFill>
                  <pic:spPr bwMode="auto">
                    <a:xfrm>
                      <a:off x="0" y="0"/>
                      <a:ext cx="7924800" cy="2362200"/>
                    </a:xfrm>
                    <a:prstGeom prst="rect">
                      <a:avLst/>
                    </a:prstGeom>
                    <a:ln>
                      <a:noFill/>
                    </a:ln>
                    <a:extLst>
                      <a:ext uri="{53640926-AAD7-44D8-BBD7-CCE9431645EC}">
                        <a14:shadowObscured xmlns:a14="http://schemas.microsoft.com/office/drawing/2010/main"/>
                      </a:ext>
                    </a:extLst>
                  </pic:spPr>
                </pic:pic>
              </a:graphicData>
            </a:graphic>
          </wp:inline>
        </w:drawing>
      </w:r>
    </w:p>
    <w:p w14:paraId="3A7DD0EC" w14:textId="482BBB25" w:rsidR="00382C84" w:rsidRDefault="00382C84" w:rsidP="00EC28CD">
      <w:pPr>
        <w:pStyle w:val="Heading4"/>
      </w:pPr>
      <w:bookmarkStart w:id="39" w:name="_Toc404070383"/>
      <w:r w:rsidRPr="00BD4B8F">
        <w:t xml:space="preserve">Figure </w:t>
      </w:r>
      <w:r w:rsidR="00C731BB">
        <w:t>1-</w:t>
      </w:r>
      <w:r w:rsidRPr="00BD4B8F">
        <w:t xml:space="preserve">2. Magnification (4.5x) of pustules erupting through switchgrass cell membrane (A) and magnification (20x) of urediniospores (B) and teliospores (C) from cultures isolated from field grown switchgrass naturally infected with </w:t>
      </w:r>
      <w:r w:rsidRPr="00BD4B8F">
        <w:rPr>
          <w:i/>
        </w:rPr>
        <w:t>Puccinia emaculata</w:t>
      </w:r>
      <w:r w:rsidRPr="00BD4B8F">
        <w:t>.</w:t>
      </w:r>
      <w:bookmarkEnd w:id="38"/>
      <w:bookmarkEnd w:id="39"/>
    </w:p>
    <w:p w14:paraId="07C4C63A" w14:textId="77777777" w:rsidR="00F57B43" w:rsidRPr="00BD4B8F" w:rsidRDefault="00F57B43" w:rsidP="00382C84">
      <w:pPr>
        <w:spacing w:line="360" w:lineRule="auto"/>
        <w:rPr>
          <w:rFonts w:cs="Times New Roman"/>
        </w:rPr>
      </w:pPr>
    </w:p>
    <w:p w14:paraId="22F56667" w14:textId="77777777" w:rsidR="00382C84" w:rsidRPr="00BD4B8F" w:rsidRDefault="00382C84" w:rsidP="00382C84">
      <w:pPr>
        <w:spacing w:line="360" w:lineRule="auto"/>
        <w:rPr>
          <w:rFonts w:cs="Times New Roman"/>
        </w:rPr>
      </w:pPr>
      <w:r w:rsidRPr="00BD4B8F">
        <w:rPr>
          <w:rFonts w:cs="Times New Roman"/>
        </w:rPr>
        <w:t xml:space="preserve">  </w:t>
      </w:r>
    </w:p>
    <w:p w14:paraId="3B665443" w14:textId="77777777" w:rsidR="00F57B43" w:rsidRDefault="00F57B43">
      <w:pPr>
        <w:spacing w:line="240" w:lineRule="auto"/>
        <w:rPr>
          <w:rFonts w:cs="Times New Roman"/>
        </w:rPr>
      </w:pPr>
      <w:r>
        <w:rPr>
          <w:rFonts w:cs="Times New Roman"/>
        </w:rPr>
        <w:br w:type="page"/>
      </w:r>
    </w:p>
    <w:p w14:paraId="5FBB55D2" w14:textId="77777777" w:rsidR="00F57B43" w:rsidRDefault="00F57B43" w:rsidP="00382C84">
      <w:pPr>
        <w:spacing w:line="360" w:lineRule="auto"/>
        <w:rPr>
          <w:rFonts w:cs="Times New Roman"/>
        </w:rPr>
        <w:sectPr w:rsidR="00F57B43" w:rsidSect="00794998">
          <w:pgSz w:w="15840" w:h="12240" w:orient="landscape"/>
          <w:pgMar w:top="1440" w:right="1440" w:bottom="1440" w:left="1440" w:header="720" w:footer="720" w:gutter="0"/>
          <w:cols w:space="720"/>
          <w:docGrid w:linePitch="360"/>
        </w:sectPr>
      </w:pPr>
    </w:p>
    <w:p w14:paraId="30D83E12" w14:textId="777F10FC" w:rsidR="00235C84" w:rsidRDefault="0069022C" w:rsidP="00EC28CD">
      <w:pPr>
        <w:jc w:val="center"/>
      </w:pPr>
      <w:bookmarkStart w:id="40" w:name="_Toc399942559"/>
      <w:r>
        <w:rPr>
          <w:noProof/>
        </w:rPr>
        <w:lastRenderedPageBreak/>
        <w:drawing>
          <wp:inline distT="0" distB="0" distL="0" distR="0" wp14:anchorId="60BB8F40" wp14:editId="68F25D0D">
            <wp:extent cx="4572000" cy="2600325"/>
            <wp:effectExtent l="0" t="0" r="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2D1F7C7" w14:textId="07451F2F" w:rsidR="00382C84" w:rsidRDefault="00382C84" w:rsidP="00EC28CD">
      <w:pPr>
        <w:pStyle w:val="Heading4"/>
      </w:pPr>
      <w:bookmarkStart w:id="41" w:name="_Toc404070384"/>
      <w:r w:rsidRPr="00BD4B8F">
        <w:t xml:space="preserve">Figure </w:t>
      </w:r>
      <w:r w:rsidR="00C731BB">
        <w:t>1-</w:t>
      </w:r>
      <w:r w:rsidRPr="00BD4B8F">
        <w:t xml:space="preserve">3. </w:t>
      </w:r>
      <w:r w:rsidR="0069022C">
        <w:t>E</w:t>
      </w:r>
      <w:r w:rsidR="0095454C">
        <w:t>thanol yield</w:t>
      </w:r>
      <w:r w:rsidR="0087133D">
        <w:t xml:space="preserve"> (</w:t>
      </w:r>
      <w:r w:rsidR="0087133D" w:rsidRPr="00BD4B8F">
        <w:t>mg g</w:t>
      </w:r>
      <w:r w:rsidR="0087133D" w:rsidRPr="0069022C">
        <w:rPr>
          <w:vertAlign w:val="superscript"/>
        </w:rPr>
        <w:t>-1</w:t>
      </w:r>
      <w:r w:rsidR="0087133D">
        <w:t>)</w:t>
      </w:r>
      <w:r w:rsidRPr="00BD4B8F">
        <w:t xml:space="preserve"> by disease level (low, medium, and high) for switchgrass leaves collected from Knoxville, TN in 2010 and subjected to simultaneous </w:t>
      </w:r>
      <w:r w:rsidR="00501697" w:rsidRPr="00BD4B8F">
        <w:t>saccharification</w:t>
      </w:r>
      <w:r w:rsidRPr="00BD4B8F">
        <w:t xml:space="preserve"> and fermentation </w:t>
      </w:r>
      <w:r w:rsidR="0087133D">
        <w:t>(SSF)</w:t>
      </w:r>
      <w:r w:rsidRPr="00BD4B8F">
        <w:t xml:space="preserve">. </w:t>
      </w:r>
      <w:r w:rsidR="0069022C">
        <w:t>E</w:t>
      </w:r>
      <w:r w:rsidRPr="00BD4B8F">
        <w:t xml:space="preserve">thanol yields were averaged across cultivar since </w:t>
      </w:r>
      <w:r>
        <w:t>cultivar and cultivar by disease interaction were not significant</w:t>
      </w:r>
      <w:r w:rsidRPr="00BD4B8F">
        <w:t>. Means followed the same letter do not differ significantly at α = 0.05</w:t>
      </w:r>
      <w:bookmarkEnd w:id="40"/>
      <w:r w:rsidR="00954DB7">
        <w:t>.</w:t>
      </w:r>
      <w:bookmarkEnd w:id="41"/>
      <w:r w:rsidR="00954DB7">
        <w:t xml:space="preserve"> </w:t>
      </w:r>
    </w:p>
    <w:p w14:paraId="7C1B72D1" w14:textId="77777777" w:rsidR="00F57B43" w:rsidRPr="00BD4B8F" w:rsidRDefault="00F57B43" w:rsidP="00382C84">
      <w:pPr>
        <w:spacing w:line="360" w:lineRule="auto"/>
        <w:rPr>
          <w:rFonts w:cs="Times New Roman"/>
        </w:rPr>
      </w:pPr>
    </w:p>
    <w:p w14:paraId="4410C0EC" w14:textId="77777777" w:rsidR="00F57B43" w:rsidRDefault="00F57B43">
      <w:pPr>
        <w:spacing w:line="240" w:lineRule="auto"/>
        <w:rPr>
          <w:rFonts w:cs="Times New Roman"/>
        </w:rPr>
      </w:pPr>
      <w:r>
        <w:rPr>
          <w:rFonts w:cs="Times New Roman"/>
        </w:rPr>
        <w:br w:type="page"/>
      </w:r>
    </w:p>
    <w:p w14:paraId="51C60775" w14:textId="0693FAD7" w:rsidR="00235C84" w:rsidRDefault="0069022C" w:rsidP="00EC28CD">
      <w:pPr>
        <w:jc w:val="center"/>
      </w:pPr>
      <w:bookmarkStart w:id="42" w:name="_Toc399942560"/>
      <w:r>
        <w:rPr>
          <w:noProof/>
        </w:rPr>
        <w:lastRenderedPageBreak/>
        <w:drawing>
          <wp:inline distT="0" distB="0" distL="0" distR="0" wp14:anchorId="760AB1E4" wp14:editId="1A7CE112">
            <wp:extent cx="4572000" cy="2695575"/>
            <wp:effectExtent l="0" t="0" r="0"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518F8A8" w14:textId="5B9F7045" w:rsidR="00382C84" w:rsidRDefault="00382C84" w:rsidP="00EC28CD">
      <w:pPr>
        <w:pStyle w:val="Heading4"/>
      </w:pPr>
      <w:bookmarkStart w:id="43" w:name="_Toc404070385"/>
      <w:r w:rsidRPr="00BD4B8F">
        <w:t xml:space="preserve">Figure </w:t>
      </w:r>
      <w:r w:rsidR="00C731BB">
        <w:t>1-</w:t>
      </w:r>
      <w:r w:rsidRPr="00BD4B8F">
        <w:t xml:space="preserve">4. </w:t>
      </w:r>
      <w:r w:rsidR="0095454C">
        <w:t>Predicted ethanol yield</w:t>
      </w:r>
      <w:r w:rsidR="00A5049E">
        <w:t xml:space="preserve"> (mg g</w:t>
      </w:r>
      <w:r w:rsidR="00A5049E" w:rsidRPr="00A5049E">
        <w:rPr>
          <w:vertAlign w:val="superscript"/>
        </w:rPr>
        <w:t>-1</w:t>
      </w:r>
      <w:r w:rsidR="00A5049E">
        <w:t>)</w:t>
      </w:r>
      <w:r w:rsidRPr="00BD4B8F">
        <w:t xml:space="preserve"> by disease level (low, medium, and high) for switchgrass leav</w:t>
      </w:r>
      <w:r w:rsidR="005456E1">
        <w:t>es collected from Knoxville, TN</w:t>
      </w:r>
      <w:r w:rsidRPr="00BD4B8F">
        <w:t xml:space="preserve"> and Crossville, TN in 2012 and analyzed using near-infrared </w:t>
      </w:r>
      <w:r w:rsidR="00501697" w:rsidRPr="00BD4B8F">
        <w:t>spectroscopy</w:t>
      </w:r>
      <w:r w:rsidRPr="00BD4B8F">
        <w:t xml:space="preserve"> (</w:t>
      </w:r>
      <w:r>
        <w:t>NIRS</w:t>
      </w:r>
      <w:r w:rsidRPr="00BD4B8F">
        <w:t xml:space="preserve">). </w:t>
      </w:r>
      <w:r w:rsidR="0095454C">
        <w:t>Predicted ethanol yield</w:t>
      </w:r>
      <w:r w:rsidRPr="00BD4B8F">
        <w:t xml:space="preserve">s were averaged across cultivar since </w:t>
      </w:r>
      <w:r>
        <w:t>cultivar and cultivar by disease interaction were not significant</w:t>
      </w:r>
      <w:r w:rsidRPr="00BD4B8F">
        <w:t>. Means followed the same letter do not differ significantly at α = 0.05.</w:t>
      </w:r>
      <w:bookmarkEnd w:id="42"/>
      <w:bookmarkEnd w:id="43"/>
      <w:r w:rsidRPr="00BD4B8F">
        <w:t xml:space="preserve"> </w:t>
      </w:r>
    </w:p>
    <w:p w14:paraId="1A08271D" w14:textId="77777777" w:rsidR="008E7D64" w:rsidRDefault="00382C84" w:rsidP="008E7D64">
      <w:r>
        <w:br w:type="page"/>
      </w:r>
    </w:p>
    <w:p w14:paraId="45D15475" w14:textId="3AA679B0" w:rsidR="00382C84" w:rsidRDefault="00C731BB" w:rsidP="008E7D64">
      <w:pPr>
        <w:pStyle w:val="Caption"/>
      </w:pPr>
      <w:bookmarkStart w:id="44" w:name="_Toc404070373"/>
      <w:r w:rsidRPr="008E7D64">
        <w:rPr>
          <w:rFonts w:eastAsiaTheme="majorEastAsia"/>
        </w:rPr>
        <w:lastRenderedPageBreak/>
        <w:t>Table 1-</w:t>
      </w:r>
      <w:r w:rsidR="00C159F0" w:rsidRPr="008E7D64">
        <w:rPr>
          <w:rFonts w:eastAsiaTheme="majorEastAsia"/>
        </w:rPr>
        <w:t>1</w:t>
      </w:r>
      <w:r w:rsidR="006C55E2" w:rsidRPr="008E7D64">
        <w:rPr>
          <w:rFonts w:eastAsiaTheme="majorEastAsia"/>
        </w:rPr>
        <w:t>.</w:t>
      </w:r>
      <w:r w:rsidR="00382C84" w:rsidRPr="008E7D64">
        <w:rPr>
          <w:rFonts w:eastAsiaTheme="majorEastAsia"/>
        </w:rPr>
        <w:t xml:space="preserve"> </w:t>
      </w:r>
      <w:r w:rsidR="009E6A39">
        <w:rPr>
          <w:rFonts w:eastAsiaTheme="majorEastAsia"/>
        </w:rPr>
        <w:t>M</w:t>
      </w:r>
      <w:r w:rsidR="005456E1">
        <w:rPr>
          <w:rFonts w:eastAsiaTheme="majorEastAsia"/>
        </w:rPr>
        <w:t>ean</w:t>
      </w:r>
      <w:r w:rsidR="00224FDB">
        <w:rPr>
          <w:rFonts w:eastAsiaTheme="majorEastAsia"/>
        </w:rPr>
        <w:t>s, R</w:t>
      </w:r>
      <w:r w:rsidR="00224FDB">
        <w:rPr>
          <w:rFonts w:eastAsiaTheme="majorEastAsia"/>
          <w:vertAlign w:val="superscript"/>
        </w:rPr>
        <w:t>2</w:t>
      </w:r>
      <w:r w:rsidR="00224FDB">
        <w:rPr>
          <w:rFonts w:eastAsiaTheme="majorEastAsia"/>
        </w:rPr>
        <w:t>, and p values of</w:t>
      </w:r>
      <w:r w:rsidR="00570DAC">
        <w:rPr>
          <w:rFonts w:eastAsiaTheme="majorEastAsia"/>
        </w:rPr>
        <w:t xml:space="preserve"> compositional elements measured </w:t>
      </w:r>
      <w:r w:rsidR="0071789A">
        <w:rPr>
          <w:rFonts w:eastAsiaTheme="majorEastAsia"/>
        </w:rPr>
        <w:t>using n</w:t>
      </w:r>
      <w:r w:rsidR="0069022C">
        <w:rPr>
          <w:rFonts w:eastAsiaTheme="majorEastAsia"/>
        </w:rPr>
        <w:t>ear-infrared spectroscop</w:t>
      </w:r>
      <w:r w:rsidR="00570DAC">
        <w:rPr>
          <w:rFonts w:eastAsiaTheme="majorEastAsia"/>
        </w:rPr>
        <w:t>y that exhibited</w:t>
      </w:r>
      <w:r w:rsidR="00224FDB">
        <w:rPr>
          <w:rFonts w:eastAsiaTheme="majorEastAsia"/>
        </w:rPr>
        <w:t xml:space="preserve"> significant association with rust severity (P &lt; 0.05). </w:t>
      </w:r>
      <w:r w:rsidR="00570DAC">
        <w:rPr>
          <w:rFonts w:eastAsiaTheme="majorEastAsia"/>
        </w:rPr>
        <w:t>Means are given for categories of</w:t>
      </w:r>
      <w:r w:rsidR="009E6A39">
        <w:rPr>
          <w:rFonts w:eastAsiaTheme="majorEastAsia"/>
        </w:rPr>
        <w:t xml:space="preserve"> low, medium and high rust </w:t>
      </w:r>
      <w:r w:rsidR="00224FDB">
        <w:rPr>
          <w:rFonts w:eastAsiaTheme="majorEastAsia"/>
        </w:rPr>
        <w:t>severity</w:t>
      </w:r>
      <w:r w:rsidR="00570DAC">
        <w:rPr>
          <w:rFonts w:eastAsiaTheme="majorEastAsia"/>
        </w:rPr>
        <w:t>.</w:t>
      </w:r>
      <w:bookmarkEnd w:id="44"/>
    </w:p>
    <w:p w14:paraId="0AA1ECF1" w14:textId="77777777" w:rsidR="00F57B43" w:rsidRPr="00BD4B8F" w:rsidRDefault="00382C84" w:rsidP="00382C84">
      <w:pPr>
        <w:spacing w:line="360" w:lineRule="auto"/>
        <w:rPr>
          <w:rFonts w:cs="Times New Roman"/>
        </w:rPr>
      </w:pPr>
      <w:r w:rsidRPr="00BD4B8F">
        <w:rPr>
          <w:rFonts w:cs="Times New Roma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5"/>
        <w:gridCol w:w="812"/>
        <w:gridCol w:w="488"/>
        <w:gridCol w:w="821"/>
        <w:gridCol w:w="593"/>
        <w:gridCol w:w="823"/>
        <w:gridCol w:w="529"/>
        <w:gridCol w:w="642"/>
        <w:gridCol w:w="1005"/>
      </w:tblGrid>
      <w:tr w:rsidR="00224FDB" w:rsidRPr="00F57B43" w14:paraId="67171063" w14:textId="23E794EB" w:rsidTr="00224FDB">
        <w:tc>
          <w:tcPr>
            <w:tcW w:w="1585" w:type="dxa"/>
          </w:tcPr>
          <w:p w14:paraId="010B8444" w14:textId="77777777" w:rsidR="00224FDB" w:rsidRPr="00F57B43" w:rsidRDefault="00224FDB" w:rsidP="00224FDB">
            <w:pPr>
              <w:spacing w:line="360" w:lineRule="auto"/>
              <w:rPr>
                <w:rFonts w:cs="Times New Roman"/>
              </w:rPr>
            </w:pPr>
            <w:r w:rsidRPr="00F57B43">
              <w:rPr>
                <w:rFonts w:cs="Times New Roman"/>
              </w:rPr>
              <w:t>Component</w:t>
            </w:r>
          </w:p>
        </w:tc>
        <w:tc>
          <w:tcPr>
            <w:tcW w:w="4066" w:type="dxa"/>
            <w:gridSpan w:val="6"/>
          </w:tcPr>
          <w:p w14:paraId="7078D883" w14:textId="77777777" w:rsidR="00224FDB" w:rsidRPr="00F57B43" w:rsidRDefault="00224FDB" w:rsidP="00224FDB">
            <w:pPr>
              <w:spacing w:line="360" w:lineRule="auto"/>
              <w:rPr>
                <w:rFonts w:cs="Times New Roman"/>
              </w:rPr>
            </w:pPr>
            <w:r w:rsidRPr="00F57B43">
              <w:rPr>
                <w:rFonts w:cs="Times New Roman"/>
              </w:rPr>
              <w:t xml:space="preserve">Mean Component Value by Disease Level </w:t>
            </w:r>
          </w:p>
        </w:tc>
        <w:tc>
          <w:tcPr>
            <w:tcW w:w="642" w:type="dxa"/>
          </w:tcPr>
          <w:p w14:paraId="74832E14" w14:textId="7850D5D6" w:rsidR="00224FDB" w:rsidRPr="00F57B43" w:rsidRDefault="00224FDB" w:rsidP="00224FDB">
            <w:pPr>
              <w:spacing w:line="360" w:lineRule="auto"/>
              <w:rPr>
                <w:rFonts w:cs="Times New Roman"/>
              </w:rPr>
            </w:pPr>
            <w:r w:rsidRPr="00F57B43">
              <w:rPr>
                <w:rFonts w:cs="Times New Roman"/>
              </w:rPr>
              <w:t>R</w:t>
            </w:r>
            <w:r w:rsidRPr="00F57B43">
              <w:rPr>
                <w:rFonts w:cs="Times New Roman"/>
                <w:vertAlign w:val="superscript"/>
              </w:rPr>
              <w:t>2</w:t>
            </w:r>
          </w:p>
        </w:tc>
        <w:tc>
          <w:tcPr>
            <w:tcW w:w="1005" w:type="dxa"/>
          </w:tcPr>
          <w:p w14:paraId="0648BE37" w14:textId="50287CD6" w:rsidR="00224FDB" w:rsidRPr="00F57B43" w:rsidRDefault="00224FDB" w:rsidP="00224FDB">
            <w:pPr>
              <w:spacing w:line="360" w:lineRule="auto"/>
              <w:rPr>
                <w:rFonts w:cs="Times New Roman"/>
              </w:rPr>
            </w:pPr>
            <w:r w:rsidRPr="00F57B43">
              <w:rPr>
                <w:rFonts w:cs="Times New Roman"/>
              </w:rPr>
              <w:t>p-value</w:t>
            </w:r>
          </w:p>
        </w:tc>
      </w:tr>
      <w:tr w:rsidR="00224FDB" w:rsidRPr="00F57B43" w14:paraId="1A34093B" w14:textId="2FB5E8FF" w:rsidTr="00224FDB">
        <w:tc>
          <w:tcPr>
            <w:tcW w:w="1585" w:type="dxa"/>
            <w:tcBorders>
              <w:bottom w:val="single" w:sz="4" w:space="0" w:color="auto"/>
            </w:tcBorders>
          </w:tcPr>
          <w:p w14:paraId="7ADC92AF" w14:textId="77777777" w:rsidR="00224FDB" w:rsidRPr="00F57B43" w:rsidRDefault="00224FDB" w:rsidP="00F57B43">
            <w:pPr>
              <w:spacing w:line="360" w:lineRule="auto"/>
              <w:rPr>
                <w:rFonts w:cs="Times New Roman"/>
              </w:rPr>
            </w:pPr>
          </w:p>
        </w:tc>
        <w:tc>
          <w:tcPr>
            <w:tcW w:w="1300" w:type="dxa"/>
            <w:gridSpan w:val="2"/>
            <w:tcBorders>
              <w:bottom w:val="single" w:sz="4" w:space="0" w:color="auto"/>
            </w:tcBorders>
          </w:tcPr>
          <w:p w14:paraId="3E435D8A" w14:textId="77777777" w:rsidR="00224FDB" w:rsidRPr="00F57B43" w:rsidRDefault="00224FDB" w:rsidP="00F57B43">
            <w:pPr>
              <w:spacing w:line="360" w:lineRule="auto"/>
              <w:rPr>
                <w:rFonts w:cs="Times New Roman"/>
              </w:rPr>
            </w:pPr>
            <w:r w:rsidRPr="00F57B43">
              <w:rPr>
                <w:rFonts w:cs="Times New Roman"/>
              </w:rPr>
              <w:t>Low</w:t>
            </w:r>
          </w:p>
        </w:tc>
        <w:tc>
          <w:tcPr>
            <w:tcW w:w="1414" w:type="dxa"/>
            <w:gridSpan w:val="2"/>
            <w:tcBorders>
              <w:bottom w:val="single" w:sz="4" w:space="0" w:color="auto"/>
            </w:tcBorders>
          </w:tcPr>
          <w:p w14:paraId="39683C84" w14:textId="77777777" w:rsidR="00224FDB" w:rsidRPr="00F57B43" w:rsidRDefault="00224FDB" w:rsidP="00F57B43">
            <w:pPr>
              <w:spacing w:line="360" w:lineRule="auto"/>
              <w:rPr>
                <w:rFonts w:cs="Times New Roman"/>
              </w:rPr>
            </w:pPr>
            <w:r w:rsidRPr="00F57B43">
              <w:rPr>
                <w:rFonts w:cs="Times New Roman"/>
              </w:rPr>
              <w:t>Medium</w:t>
            </w:r>
          </w:p>
        </w:tc>
        <w:tc>
          <w:tcPr>
            <w:tcW w:w="1352" w:type="dxa"/>
            <w:gridSpan w:val="2"/>
            <w:tcBorders>
              <w:bottom w:val="single" w:sz="4" w:space="0" w:color="auto"/>
            </w:tcBorders>
          </w:tcPr>
          <w:p w14:paraId="6EE6756F" w14:textId="77777777" w:rsidR="00224FDB" w:rsidRPr="00F57B43" w:rsidRDefault="00224FDB" w:rsidP="00F57B43">
            <w:pPr>
              <w:spacing w:line="360" w:lineRule="auto"/>
              <w:rPr>
                <w:rFonts w:cs="Times New Roman"/>
              </w:rPr>
            </w:pPr>
            <w:r w:rsidRPr="00F57B43">
              <w:rPr>
                <w:rFonts w:cs="Times New Roman"/>
              </w:rPr>
              <w:t>High</w:t>
            </w:r>
          </w:p>
        </w:tc>
        <w:tc>
          <w:tcPr>
            <w:tcW w:w="642" w:type="dxa"/>
            <w:tcBorders>
              <w:bottom w:val="single" w:sz="4" w:space="0" w:color="auto"/>
            </w:tcBorders>
          </w:tcPr>
          <w:p w14:paraId="73D7C445" w14:textId="77777777" w:rsidR="00224FDB" w:rsidRPr="00F57B43" w:rsidRDefault="00224FDB" w:rsidP="00F57B43">
            <w:pPr>
              <w:spacing w:line="360" w:lineRule="auto"/>
              <w:rPr>
                <w:rFonts w:cs="Times New Roman"/>
              </w:rPr>
            </w:pPr>
          </w:p>
        </w:tc>
        <w:tc>
          <w:tcPr>
            <w:tcW w:w="1005" w:type="dxa"/>
            <w:tcBorders>
              <w:bottom w:val="single" w:sz="4" w:space="0" w:color="auto"/>
            </w:tcBorders>
          </w:tcPr>
          <w:p w14:paraId="70B84E22" w14:textId="77777777" w:rsidR="00224FDB" w:rsidRPr="00F57B43" w:rsidRDefault="00224FDB" w:rsidP="00F57B43">
            <w:pPr>
              <w:spacing w:line="360" w:lineRule="auto"/>
              <w:rPr>
                <w:rFonts w:cs="Times New Roman"/>
              </w:rPr>
            </w:pPr>
          </w:p>
        </w:tc>
      </w:tr>
      <w:tr w:rsidR="00224FDB" w:rsidRPr="00F57B43" w14:paraId="737FF90D" w14:textId="699A63D6" w:rsidTr="00224FDB">
        <w:tc>
          <w:tcPr>
            <w:tcW w:w="1585" w:type="dxa"/>
          </w:tcPr>
          <w:p w14:paraId="5952D11B" w14:textId="77777777" w:rsidR="00224FDB" w:rsidRPr="00F57B43" w:rsidRDefault="00224FDB" w:rsidP="00224FDB">
            <w:pPr>
              <w:spacing w:line="360" w:lineRule="auto"/>
              <w:rPr>
                <w:rFonts w:cs="Times New Roman"/>
              </w:rPr>
            </w:pPr>
            <w:r w:rsidRPr="00F57B43">
              <w:rPr>
                <w:rFonts w:cs="Times New Roman"/>
              </w:rPr>
              <w:t>DM</w:t>
            </w:r>
          </w:p>
        </w:tc>
        <w:tc>
          <w:tcPr>
            <w:tcW w:w="812" w:type="dxa"/>
          </w:tcPr>
          <w:p w14:paraId="45095665" w14:textId="77777777" w:rsidR="00224FDB" w:rsidRPr="00F57B43" w:rsidRDefault="00224FDB" w:rsidP="00224FDB">
            <w:pPr>
              <w:spacing w:line="360" w:lineRule="auto"/>
              <w:rPr>
                <w:rFonts w:cs="Times New Roman"/>
              </w:rPr>
            </w:pPr>
            <w:r w:rsidRPr="00F57B43">
              <w:rPr>
                <w:rFonts w:cs="Times New Roman"/>
              </w:rPr>
              <w:t>93.90</w:t>
            </w:r>
          </w:p>
        </w:tc>
        <w:tc>
          <w:tcPr>
            <w:tcW w:w="488" w:type="dxa"/>
          </w:tcPr>
          <w:p w14:paraId="124440D4" w14:textId="682BD3E5" w:rsidR="00224FDB" w:rsidRPr="00F57B43" w:rsidRDefault="00224FDB" w:rsidP="00224FDB">
            <w:pPr>
              <w:spacing w:line="360" w:lineRule="auto"/>
              <w:rPr>
                <w:rFonts w:cs="Times New Roman"/>
              </w:rPr>
            </w:pPr>
            <w:r w:rsidRPr="00F57B43">
              <w:rPr>
                <w:rFonts w:cs="Times New Roman"/>
              </w:rPr>
              <w:t>A</w:t>
            </w:r>
            <w:r w:rsidRPr="00224FDB">
              <w:rPr>
                <w:rFonts w:cs="Times New Roman"/>
                <w:color w:val="000000"/>
                <w:vertAlign w:val="superscript"/>
              </w:rPr>
              <w:t>†</w:t>
            </w:r>
          </w:p>
        </w:tc>
        <w:tc>
          <w:tcPr>
            <w:tcW w:w="821" w:type="dxa"/>
          </w:tcPr>
          <w:p w14:paraId="5F77BA37" w14:textId="77777777" w:rsidR="00224FDB" w:rsidRPr="00F57B43" w:rsidRDefault="00224FDB" w:rsidP="00224FDB">
            <w:pPr>
              <w:spacing w:line="360" w:lineRule="auto"/>
              <w:rPr>
                <w:rFonts w:cs="Times New Roman"/>
              </w:rPr>
            </w:pPr>
            <w:r w:rsidRPr="00F57B43">
              <w:rPr>
                <w:rFonts w:cs="Times New Roman"/>
              </w:rPr>
              <w:t>93.41</w:t>
            </w:r>
          </w:p>
        </w:tc>
        <w:tc>
          <w:tcPr>
            <w:tcW w:w="593" w:type="dxa"/>
          </w:tcPr>
          <w:p w14:paraId="0F2FA879" w14:textId="77777777" w:rsidR="00224FDB" w:rsidRPr="00F57B43" w:rsidRDefault="00224FDB" w:rsidP="00224FDB">
            <w:pPr>
              <w:spacing w:line="360" w:lineRule="auto"/>
              <w:rPr>
                <w:rFonts w:cs="Times New Roman"/>
              </w:rPr>
            </w:pPr>
            <w:r w:rsidRPr="00F57B43">
              <w:rPr>
                <w:rFonts w:cs="Times New Roman"/>
              </w:rPr>
              <w:t>A</w:t>
            </w:r>
          </w:p>
        </w:tc>
        <w:tc>
          <w:tcPr>
            <w:tcW w:w="823" w:type="dxa"/>
          </w:tcPr>
          <w:p w14:paraId="325EF14A" w14:textId="77777777" w:rsidR="00224FDB" w:rsidRPr="00F57B43" w:rsidRDefault="00224FDB" w:rsidP="00224FDB">
            <w:pPr>
              <w:spacing w:line="360" w:lineRule="auto"/>
              <w:rPr>
                <w:rFonts w:cs="Times New Roman"/>
              </w:rPr>
            </w:pPr>
            <w:r w:rsidRPr="00F57B43">
              <w:rPr>
                <w:rFonts w:cs="Times New Roman"/>
              </w:rPr>
              <w:t>92.61</w:t>
            </w:r>
          </w:p>
        </w:tc>
        <w:tc>
          <w:tcPr>
            <w:tcW w:w="529" w:type="dxa"/>
          </w:tcPr>
          <w:p w14:paraId="7F5B7AB9" w14:textId="77777777" w:rsidR="00224FDB" w:rsidRPr="00F57B43" w:rsidRDefault="00224FDB" w:rsidP="00224FDB">
            <w:pPr>
              <w:spacing w:line="360" w:lineRule="auto"/>
              <w:rPr>
                <w:rFonts w:cs="Times New Roman"/>
              </w:rPr>
            </w:pPr>
            <w:r w:rsidRPr="00F57B43">
              <w:rPr>
                <w:rFonts w:cs="Times New Roman"/>
              </w:rPr>
              <w:t>B</w:t>
            </w:r>
          </w:p>
        </w:tc>
        <w:tc>
          <w:tcPr>
            <w:tcW w:w="642" w:type="dxa"/>
          </w:tcPr>
          <w:p w14:paraId="62C1689B" w14:textId="7639B161" w:rsidR="00224FDB" w:rsidRPr="00F57B43" w:rsidRDefault="00224FDB" w:rsidP="00224FDB">
            <w:pPr>
              <w:spacing w:line="360" w:lineRule="auto"/>
              <w:rPr>
                <w:rFonts w:cs="Times New Roman"/>
              </w:rPr>
            </w:pPr>
            <w:r w:rsidRPr="00F57B43">
              <w:rPr>
                <w:rFonts w:cs="Times New Roman"/>
              </w:rPr>
              <w:t>0.71</w:t>
            </w:r>
          </w:p>
        </w:tc>
        <w:tc>
          <w:tcPr>
            <w:tcW w:w="1005" w:type="dxa"/>
          </w:tcPr>
          <w:p w14:paraId="62F501C0" w14:textId="2F90CD76" w:rsidR="00224FDB" w:rsidRPr="00F57B43" w:rsidRDefault="00224FDB" w:rsidP="00224FDB">
            <w:pPr>
              <w:spacing w:line="360" w:lineRule="auto"/>
              <w:rPr>
                <w:rFonts w:cs="Times New Roman"/>
              </w:rPr>
            </w:pPr>
            <w:r w:rsidRPr="00F57B43">
              <w:rPr>
                <w:rFonts w:cs="Times New Roman"/>
              </w:rPr>
              <w:t>0.0002</w:t>
            </w:r>
          </w:p>
        </w:tc>
      </w:tr>
      <w:tr w:rsidR="00224FDB" w:rsidRPr="00F57B43" w14:paraId="7844F425" w14:textId="6C510A00" w:rsidTr="00224FDB">
        <w:tc>
          <w:tcPr>
            <w:tcW w:w="1585" w:type="dxa"/>
          </w:tcPr>
          <w:p w14:paraId="0F824CA8" w14:textId="77777777" w:rsidR="00224FDB" w:rsidRPr="00F57B43" w:rsidRDefault="00224FDB" w:rsidP="00224FDB">
            <w:pPr>
              <w:spacing w:line="360" w:lineRule="auto"/>
              <w:rPr>
                <w:rFonts w:cs="Times New Roman"/>
              </w:rPr>
            </w:pPr>
            <w:r w:rsidRPr="00F57B43">
              <w:rPr>
                <w:rFonts w:cs="Times New Roman"/>
              </w:rPr>
              <w:t>Cellulose</w:t>
            </w:r>
          </w:p>
        </w:tc>
        <w:tc>
          <w:tcPr>
            <w:tcW w:w="812" w:type="dxa"/>
          </w:tcPr>
          <w:p w14:paraId="0705CB51" w14:textId="77777777" w:rsidR="00224FDB" w:rsidRPr="00F57B43" w:rsidRDefault="00224FDB" w:rsidP="00224FDB">
            <w:pPr>
              <w:spacing w:line="360" w:lineRule="auto"/>
              <w:rPr>
                <w:rFonts w:cs="Times New Roman"/>
              </w:rPr>
            </w:pPr>
            <w:r w:rsidRPr="00F57B43">
              <w:rPr>
                <w:rFonts w:cs="Times New Roman"/>
              </w:rPr>
              <w:t>30.48</w:t>
            </w:r>
          </w:p>
        </w:tc>
        <w:tc>
          <w:tcPr>
            <w:tcW w:w="488" w:type="dxa"/>
          </w:tcPr>
          <w:p w14:paraId="04559814" w14:textId="77777777" w:rsidR="00224FDB" w:rsidRPr="00F57B43" w:rsidRDefault="00224FDB" w:rsidP="00224FDB">
            <w:pPr>
              <w:spacing w:line="360" w:lineRule="auto"/>
              <w:rPr>
                <w:rFonts w:cs="Times New Roman"/>
              </w:rPr>
            </w:pPr>
            <w:r w:rsidRPr="00F57B43">
              <w:rPr>
                <w:rFonts w:cs="Times New Roman"/>
              </w:rPr>
              <w:t>B</w:t>
            </w:r>
          </w:p>
        </w:tc>
        <w:tc>
          <w:tcPr>
            <w:tcW w:w="821" w:type="dxa"/>
          </w:tcPr>
          <w:p w14:paraId="62B7ECD6" w14:textId="77777777" w:rsidR="00224FDB" w:rsidRPr="00F57B43" w:rsidRDefault="00224FDB" w:rsidP="00224FDB">
            <w:pPr>
              <w:spacing w:line="360" w:lineRule="auto"/>
              <w:rPr>
                <w:rFonts w:cs="Times New Roman"/>
              </w:rPr>
            </w:pPr>
            <w:r w:rsidRPr="00F57B43">
              <w:rPr>
                <w:rFonts w:cs="Times New Roman"/>
              </w:rPr>
              <w:t>31.66</w:t>
            </w:r>
          </w:p>
        </w:tc>
        <w:tc>
          <w:tcPr>
            <w:tcW w:w="593" w:type="dxa"/>
          </w:tcPr>
          <w:p w14:paraId="4505C913" w14:textId="77777777" w:rsidR="00224FDB" w:rsidRPr="00F57B43" w:rsidRDefault="00224FDB" w:rsidP="00224FDB">
            <w:pPr>
              <w:spacing w:line="360" w:lineRule="auto"/>
              <w:rPr>
                <w:rFonts w:cs="Times New Roman"/>
              </w:rPr>
            </w:pPr>
            <w:r w:rsidRPr="00F57B43">
              <w:rPr>
                <w:rFonts w:cs="Times New Roman"/>
              </w:rPr>
              <w:t>B</w:t>
            </w:r>
          </w:p>
        </w:tc>
        <w:tc>
          <w:tcPr>
            <w:tcW w:w="823" w:type="dxa"/>
          </w:tcPr>
          <w:p w14:paraId="09FFB6FF" w14:textId="77777777" w:rsidR="00224FDB" w:rsidRPr="00F57B43" w:rsidRDefault="00224FDB" w:rsidP="00224FDB">
            <w:pPr>
              <w:spacing w:line="360" w:lineRule="auto"/>
              <w:rPr>
                <w:rFonts w:cs="Times New Roman"/>
              </w:rPr>
            </w:pPr>
            <w:r w:rsidRPr="00F57B43">
              <w:rPr>
                <w:rFonts w:cs="Times New Roman"/>
              </w:rPr>
              <w:t>33.46</w:t>
            </w:r>
          </w:p>
        </w:tc>
        <w:tc>
          <w:tcPr>
            <w:tcW w:w="529" w:type="dxa"/>
          </w:tcPr>
          <w:p w14:paraId="321C06FD" w14:textId="77777777" w:rsidR="00224FDB" w:rsidRPr="00F57B43" w:rsidRDefault="00224FDB" w:rsidP="00224FDB">
            <w:pPr>
              <w:spacing w:line="360" w:lineRule="auto"/>
              <w:rPr>
                <w:rFonts w:cs="Times New Roman"/>
              </w:rPr>
            </w:pPr>
            <w:r w:rsidRPr="00F57B43">
              <w:rPr>
                <w:rFonts w:cs="Times New Roman"/>
              </w:rPr>
              <w:t>A</w:t>
            </w:r>
          </w:p>
        </w:tc>
        <w:tc>
          <w:tcPr>
            <w:tcW w:w="642" w:type="dxa"/>
          </w:tcPr>
          <w:p w14:paraId="40D36C6E" w14:textId="1E56DC10" w:rsidR="00224FDB" w:rsidRPr="00F57B43" w:rsidRDefault="00224FDB" w:rsidP="00224FDB">
            <w:pPr>
              <w:spacing w:line="360" w:lineRule="auto"/>
              <w:rPr>
                <w:rFonts w:cs="Times New Roman"/>
              </w:rPr>
            </w:pPr>
            <w:r w:rsidRPr="00F57B43">
              <w:rPr>
                <w:rFonts w:cs="Times New Roman"/>
              </w:rPr>
              <w:t>0.63</w:t>
            </w:r>
          </w:p>
        </w:tc>
        <w:tc>
          <w:tcPr>
            <w:tcW w:w="1005" w:type="dxa"/>
          </w:tcPr>
          <w:p w14:paraId="7BF98760" w14:textId="6126FAD0" w:rsidR="00224FDB" w:rsidRPr="00F57B43" w:rsidRDefault="00224FDB" w:rsidP="00224FDB">
            <w:pPr>
              <w:spacing w:line="360" w:lineRule="auto"/>
              <w:rPr>
                <w:rFonts w:cs="Times New Roman"/>
              </w:rPr>
            </w:pPr>
            <w:r w:rsidRPr="00F57B43">
              <w:rPr>
                <w:rFonts w:cs="Times New Roman"/>
              </w:rPr>
              <w:t>0.0010</w:t>
            </w:r>
          </w:p>
        </w:tc>
      </w:tr>
      <w:tr w:rsidR="00224FDB" w:rsidRPr="00F57B43" w14:paraId="751B5878" w14:textId="2ECB64F0" w:rsidTr="00224FDB">
        <w:tc>
          <w:tcPr>
            <w:tcW w:w="1585" w:type="dxa"/>
          </w:tcPr>
          <w:p w14:paraId="0857204A" w14:textId="77777777" w:rsidR="00224FDB" w:rsidRPr="00F57B43" w:rsidRDefault="00224FDB" w:rsidP="00224FDB">
            <w:pPr>
              <w:spacing w:line="360" w:lineRule="auto"/>
              <w:rPr>
                <w:rFonts w:cs="Times New Roman"/>
              </w:rPr>
            </w:pPr>
            <w:r w:rsidRPr="00F57B43">
              <w:rPr>
                <w:rFonts w:cs="Times New Roman"/>
              </w:rPr>
              <w:t>Hemicellulose</w:t>
            </w:r>
          </w:p>
        </w:tc>
        <w:tc>
          <w:tcPr>
            <w:tcW w:w="812" w:type="dxa"/>
          </w:tcPr>
          <w:p w14:paraId="5689AC09" w14:textId="77777777" w:rsidR="00224FDB" w:rsidRPr="00F57B43" w:rsidRDefault="00224FDB" w:rsidP="00224FDB">
            <w:pPr>
              <w:spacing w:line="360" w:lineRule="auto"/>
              <w:rPr>
                <w:rFonts w:cs="Times New Roman"/>
              </w:rPr>
            </w:pPr>
            <w:r w:rsidRPr="00F57B43">
              <w:rPr>
                <w:rFonts w:cs="Times New Roman"/>
              </w:rPr>
              <w:t>27.69</w:t>
            </w:r>
          </w:p>
        </w:tc>
        <w:tc>
          <w:tcPr>
            <w:tcW w:w="488" w:type="dxa"/>
          </w:tcPr>
          <w:p w14:paraId="7A99C12A" w14:textId="77777777" w:rsidR="00224FDB" w:rsidRPr="00F57B43" w:rsidRDefault="00224FDB" w:rsidP="00224FDB">
            <w:pPr>
              <w:spacing w:line="360" w:lineRule="auto"/>
              <w:rPr>
                <w:rFonts w:cs="Times New Roman"/>
              </w:rPr>
            </w:pPr>
            <w:r w:rsidRPr="00F57B43">
              <w:rPr>
                <w:rFonts w:cs="Times New Roman"/>
              </w:rPr>
              <w:t>A</w:t>
            </w:r>
          </w:p>
        </w:tc>
        <w:tc>
          <w:tcPr>
            <w:tcW w:w="821" w:type="dxa"/>
          </w:tcPr>
          <w:p w14:paraId="779457AC" w14:textId="77777777" w:rsidR="00224FDB" w:rsidRPr="00F57B43" w:rsidRDefault="00224FDB" w:rsidP="00224FDB">
            <w:pPr>
              <w:spacing w:line="360" w:lineRule="auto"/>
              <w:rPr>
                <w:rFonts w:cs="Times New Roman"/>
              </w:rPr>
            </w:pPr>
            <w:r w:rsidRPr="00F57B43">
              <w:rPr>
                <w:rFonts w:cs="Times New Roman"/>
              </w:rPr>
              <w:t>25.87</w:t>
            </w:r>
          </w:p>
        </w:tc>
        <w:tc>
          <w:tcPr>
            <w:tcW w:w="593" w:type="dxa"/>
          </w:tcPr>
          <w:p w14:paraId="10F46596" w14:textId="77777777" w:rsidR="00224FDB" w:rsidRPr="00F57B43" w:rsidRDefault="00224FDB" w:rsidP="00224FDB">
            <w:pPr>
              <w:spacing w:line="360" w:lineRule="auto"/>
              <w:rPr>
                <w:rFonts w:cs="Times New Roman"/>
              </w:rPr>
            </w:pPr>
            <w:r w:rsidRPr="00F57B43">
              <w:rPr>
                <w:rFonts w:cs="Times New Roman"/>
              </w:rPr>
              <w:t>AB</w:t>
            </w:r>
          </w:p>
        </w:tc>
        <w:tc>
          <w:tcPr>
            <w:tcW w:w="823" w:type="dxa"/>
          </w:tcPr>
          <w:p w14:paraId="0AE9E7F6" w14:textId="77777777" w:rsidR="00224FDB" w:rsidRPr="00F57B43" w:rsidRDefault="00224FDB" w:rsidP="00224FDB">
            <w:pPr>
              <w:spacing w:line="360" w:lineRule="auto"/>
              <w:rPr>
                <w:rFonts w:cs="Times New Roman"/>
              </w:rPr>
            </w:pPr>
            <w:r w:rsidRPr="00F57B43">
              <w:rPr>
                <w:rFonts w:cs="Times New Roman"/>
              </w:rPr>
              <w:t>23.35</w:t>
            </w:r>
          </w:p>
        </w:tc>
        <w:tc>
          <w:tcPr>
            <w:tcW w:w="529" w:type="dxa"/>
          </w:tcPr>
          <w:p w14:paraId="4A74923F" w14:textId="77777777" w:rsidR="00224FDB" w:rsidRPr="00F57B43" w:rsidRDefault="00224FDB" w:rsidP="00224FDB">
            <w:pPr>
              <w:spacing w:line="360" w:lineRule="auto"/>
              <w:rPr>
                <w:rFonts w:cs="Times New Roman"/>
              </w:rPr>
            </w:pPr>
            <w:r w:rsidRPr="00F57B43">
              <w:rPr>
                <w:rFonts w:cs="Times New Roman"/>
              </w:rPr>
              <w:t>B</w:t>
            </w:r>
          </w:p>
        </w:tc>
        <w:tc>
          <w:tcPr>
            <w:tcW w:w="642" w:type="dxa"/>
          </w:tcPr>
          <w:p w14:paraId="5F781F4A" w14:textId="0545152D" w:rsidR="00224FDB" w:rsidRPr="00F57B43" w:rsidRDefault="00224FDB" w:rsidP="00224FDB">
            <w:pPr>
              <w:spacing w:line="360" w:lineRule="auto"/>
              <w:rPr>
                <w:rFonts w:cs="Times New Roman"/>
              </w:rPr>
            </w:pPr>
            <w:r w:rsidRPr="00F57B43">
              <w:rPr>
                <w:rFonts w:cs="Times New Roman"/>
              </w:rPr>
              <w:t>0.44</w:t>
            </w:r>
          </w:p>
        </w:tc>
        <w:tc>
          <w:tcPr>
            <w:tcW w:w="1005" w:type="dxa"/>
          </w:tcPr>
          <w:p w14:paraId="4BEC16CA" w14:textId="2F70DA53" w:rsidR="00224FDB" w:rsidRPr="00F57B43" w:rsidRDefault="00224FDB" w:rsidP="00224FDB">
            <w:pPr>
              <w:spacing w:line="360" w:lineRule="auto"/>
              <w:rPr>
                <w:rFonts w:cs="Times New Roman"/>
              </w:rPr>
            </w:pPr>
            <w:r w:rsidRPr="00F57B43">
              <w:rPr>
                <w:rFonts w:cs="Times New Roman"/>
              </w:rPr>
              <w:t>0.0183</w:t>
            </w:r>
          </w:p>
        </w:tc>
      </w:tr>
      <w:tr w:rsidR="00224FDB" w:rsidRPr="00F57B43" w14:paraId="42BCFB6F" w14:textId="3B3327CA" w:rsidTr="00224FDB">
        <w:tc>
          <w:tcPr>
            <w:tcW w:w="1585" w:type="dxa"/>
          </w:tcPr>
          <w:p w14:paraId="351DEEC7" w14:textId="77777777" w:rsidR="00224FDB" w:rsidRPr="00F57B43" w:rsidRDefault="00224FDB" w:rsidP="00224FDB">
            <w:pPr>
              <w:spacing w:line="360" w:lineRule="auto"/>
              <w:rPr>
                <w:rFonts w:cs="Times New Roman"/>
              </w:rPr>
            </w:pPr>
            <w:r w:rsidRPr="00F57B43">
              <w:rPr>
                <w:rFonts w:cs="Times New Roman"/>
              </w:rPr>
              <w:t>dNDF48</w:t>
            </w:r>
          </w:p>
        </w:tc>
        <w:tc>
          <w:tcPr>
            <w:tcW w:w="812" w:type="dxa"/>
          </w:tcPr>
          <w:p w14:paraId="6A6560FF" w14:textId="77777777" w:rsidR="00224FDB" w:rsidRPr="00F57B43" w:rsidRDefault="00224FDB" w:rsidP="00224FDB">
            <w:pPr>
              <w:spacing w:line="360" w:lineRule="auto"/>
              <w:rPr>
                <w:rFonts w:cs="Times New Roman"/>
              </w:rPr>
            </w:pPr>
            <w:r w:rsidRPr="00F57B43">
              <w:rPr>
                <w:rFonts w:cs="Times New Roman"/>
              </w:rPr>
              <w:t>33.06</w:t>
            </w:r>
          </w:p>
        </w:tc>
        <w:tc>
          <w:tcPr>
            <w:tcW w:w="488" w:type="dxa"/>
          </w:tcPr>
          <w:p w14:paraId="4E470E85" w14:textId="77777777" w:rsidR="00224FDB" w:rsidRPr="00F57B43" w:rsidRDefault="00224FDB" w:rsidP="00224FDB">
            <w:pPr>
              <w:spacing w:line="360" w:lineRule="auto"/>
              <w:rPr>
                <w:rFonts w:cs="Times New Roman"/>
              </w:rPr>
            </w:pPr>
            <w:r w:rsidRPr="00F57B43">
              <w:rPr>
                <w:rFonts w:cs="Times New Roman"/>
              </w:rPr>
              <w:t>A</w:t>
            </w:r>
          </w:p>
        </w:tc>
        <w:tc>
          <w:tcPr>
            <w:tcW w:w="821" w:type="dxa"/>
          </w:tcPr>
          <w:p w14:paraId="1704F623" w14:textId="77777777" w:rsidR="00224FDB" w:rsidRPr="00F57B43" w:rsidRDefault="00224FDB" w:rsidP="00224FDB">
            <w:pPr>
              <w:spacing w:line="360" w:lineRule="auto"/>
              <w:rPr>
                <w:rFonts w:cs="Times New Roman"/>
              </w:rPr>
            </w:pPr>
            <w:r w:rsidRPr="00F57B43">
              <w:rPr>
                <w:rFonts w:cs="Times New Roman"/>
              </w:rPr>
              <w:t>29.50</w:t>
            </w:r>
          </w:p>
        </w:tc>
        <w:tc>
          <w:tcPr>
            <w:tcW w:w="593" w:type="dxa"/>
          </w:tcPr>
          <w:p w14:paraId="34634CD2" w14:textId="77777777" w:rsidR="00224FDB" w:rsidRPr="00F57B43" w:rsidRDefault="00224FDB" w:rsidP="00224FDB">
            <w:pPr>
              <w:spacing w:line="360" w:lineRule="auto"/>
              <w:rPr>
                <w:rFonts w:cs="Times New Roman"/>
              </w:rPr>
            </w:pPr>
            <w:r w:rsidRPr="00F57B43">
              <w:rPr>
                <w:rFonts w:cs="Times New Roman"/>
              </w:rPr>
              <w:t>B</w:t>
            </w:r>
          </w:p>
        </w:tc>
        <w:tc>
          <w:tcPr>
            <w:tcW w:w="823" w:type="dxa"/>
          </w:tcPr>
          <w:p w14:paraId="6086DF4A" w14:textId="77777777" w:rsidR="00224FDB" w:rsidRPr="00F57B43" w:rsidRDefault="00224FDB" w:rsidP="00224FDB">
            <w:pPr>
              <w:spacing w:line="360" w:lineRule="auto"/>
              <w:rPr>
                <w:rFonts w:cs="Times New Roman"/>
              </w:rPr>
            </w:pPr>
            <w:r w:rsidRPr="00F57B43">
              <w:rPr>
                <w:rFonts w:cs="Times New Roman"/>
              </w:rPr>
              <w:t>27.32</w:t>
            </w:r>
          </w:p>
        </w:tc>
        <w:tc>
          <w:tcPr>
            <w:tcW w:w="529" w:type="dxa"/>
          </w:tcPr>
          <w:p w14:paraId="31311345" w14:textId="77777777" w:rsidR="00224FDB" w:rsidRPr="00F57B43" w:rsidRDefault="00224FDB" w:rsidP="00224FDB">
            <w:pPr>
              <w:spacing w:line="360" w:lineRule="auto"/>
              <w:rPr>
                <w:rFonts w:cs="Times New Roman"/>
              </w:rPr>
            </w:pPr>
            <w:r w:rsidRPr="00F57B43">
              <w:rPr>
                <w:rFonts w:cs="Times New Roman"/>
              </w:rPr>
              <w:t>C</w:t>
            </w:r>
          </w:p>
        </w:tc>
        <w:tc>
          <w:tcPr>
            <w:tcW w:w="642" w:type="dxa"/>
          </w:tcPr>
          <w:p w14:paraId="4A067FD4" w14:textId="464A1E23" w:rsidR="00224FDB" w:rsidRPr="00F57B43" w:rsidRDefault="00224FDB" w:rsidP="00224FDB">
            <w:pPr>
              <w:spacing w:line="360" w:lineRule="auto"/>
              <w:rPr>
                <w:rFonts w:cs="Times New Roman"/>
              </w:rPr>
            </w:pPr>
            <w:r w:rsidRPr="00F57B43">
              <w:rPr>
                <w:rFonts w:cs="Times New Roman"/>
              </w:rPr>
              <w:t>0.78</w:t>
            </w:r>
          </w:p>
        </w:tc>
        <w:tc>
          <w:tcPr>
            <w:tcW w:w="1005" w:type="dxa"/>
          </w:tcPr>
          <w:p w14:paraId="348A3325" w14:textId="1774770D" w:rsidR="00224FDB" w:rsidRPr="00F57B43" w:rsidRDefault="00224FDB" w:rsidP="00224FDB">
            <w:pPr>
              <w:spacing w:line="360" w:lineRule="auto"/>
              <w:rPr>
                <w:rFonts w:cs="Times New Roman"/>
              </w:rPr>
            </w:pPr>
            <w:r w:rsidRPr="00F57B43">
              <w:rPr>
                <w:rFonts w:cs="Times New Roman"/>
              </w:rPr>
              <w:t>&lt;0.0001</w:t>
            </w:r>
          </w:p>
        </w:tc>
      </w:tr>
      <w:tr w:rsidR="00224FDB" w:rsidRPr="00F57B43" w14:paraId="136B32A9" w14:textId="34D8E636" w:rsidTr="00224FDB">
        <w:tc>
          <w:tcPr>
            <w:tcW w:w="1585" w:type="dxa"/>
          </w:tcPr>
          <w:p w14:paraId="6706A218" w14:textId="77777777" w:rsidR="00224FDB" w:rsidRPr="00F57B43" w:rsidRDefault="00224FDB" w:rsidP="00224FDB">
            <w:pPr>
              <w:spacing w:line="360" w:lineRule="auto"/>
              <w:rPr>
                <w:rFonts w:cs="Times New Roman"/>
              </w:rPr>
            </w:pPr>
            <w:r w:rsidRPr="00F57B43">
              <w:rPr>
                <w:rFonts w:cs="Times New Roman"/>
              </w:rPr>
              <w:t>NDFD48</w:t>
            </w:r>
          </w:p>
        </w:tc>
        <w:tc>
          <w:tcPr>
            <w:tcW w:w="812" w:type="dxa"/>
          </w:tcPr>
          <w:p w14:paraId="0B937AE4" w14:textId="77777777" w:rsidR="00224FDB" w:rsidRPr="00F57B43" w:rsidRDefault="00224FDB" w:rsidP="00224FDB">
            <w:pPr>
              <w:spacing w:line="360" w:lineRule="auto"/>
              <w:rPr>
                <w:rFonts w:cs="Times New Roman"/>
              </w:rPr>
            </w:pPr>
            <w:r w:rsidRPr="00F57B43">
              <w:rPr>
                <w:rFonts w:cs="Times New Roman"/>
              </w:rPr>
              <w:t>54.53</w:t>
            </w:r>
          </w:p>
        </w:tc>
        <w:tc>
          <w:tcPr>
            <w:tcW w:w="488" w:type="dxa"/>
          </w:tcPr>
          <w:p w14:paraId="33DE2657" w14:textId="77777777" w:rsidR="00224FDB" w:rsidRPr="00F57B43" w:rsidRDefault="00224FDB" w:rsidP="00224FDB">
            <w:pPr>
              <w:spacing w:line="360" w:lineRule="auto"/>
              <w:rPr>
                <w:rFonts w:cs="Times New Roman"/>
              </w:rPr>
            </w:pPr>
            <w:r w:rsidRPr="00F57B43">
              <w:rPr>
                <w:rFonts w:cs="Times New Roman"/>
              </w:rPr>
              <w:t>A</w:t>
            </w:r>
          </w:p>
        </w:tc>
        <w:tc>
          <w:tcPr>
            <w:tcW w:w="821" w:type="dxa"/>
          </w:tcPr>
          <w:p w14:paraId="6C71A335" w14:textId="77777777" w:rsidR="00224FDB" w:rsidRPr="00F57B43" w:rsidRDefault="00224FDB" w:rsidP="00224FDB">
            <w:pPr>
              <w:spacing w:line="360" w:lineRule="auto"/>
              <w:rPr>
                <w:rFonts w:cs="Times New Roman"/>
              </w:rPr>
            </w:pPr>
            <w:r w:rsidRPr="00F57B43">
              <w:rPr>
                <w:rFonts w:cs="Times New Roman"/>
              </w:rPr>
              <w:t>49.28</w:t>
            </w:r>
          </w:p>
        </w:tc>
        <w:tc>
          <w:tcPr>
            <w:tcW w:w="593" w:type="dxa"/>
          </w:tcPr>
          <w:p w14:paraId="5E8F0CA8" w14:textId="77777777" w:rsidR="00224FDB" w:rsidRPr="00F57B43" w:rsidRDefault="00224FDB" w:rsidP="00224FDB">
            <w:pPr>
              <w:spacing w:line="360" w:lineRule="auto"/>
              <w:rPr>
                <w:rFonts w:cs="Times New Roman"/>
              </w:rPr>
            </w:pPr>
            <w:r w:rsidRPr="00F57B43">
              <w:rPr>
                <w:rFonts w:cs="Times New Roman"/>
              </w:rPr>
              <w:t>B</w:t>
            </w:r>
          </w:p>
        </w:tc>
        <w:tc>
          <w:tcPr>
            <w:tcW w:w="823" w:type="dxa"/>
          </w:tcPr>
          <w:p w14:paraId="30E57228" w14:textId="77777777" w:rsidR="00224FDB" w:rsidRPr="00F57B43" w:rsidRDefault="00224FDB" w:rsidP="00224FDB">
            <w:pPr>
              <w:spacing w:line="360" w:lineRule="auto"/>
              <w:rPr>
                <w:rFonts w:cs="Times New Roman"/>
              </w:rPr>
            </w:pPr>
            <w:r w:rsidRPr="00F57B43">
              <w:rPr>
                <w:rFonts w:cs="Times New Roman"/>
              </w:rPr>
              <w:t>46.15</w:t>
            </w:r>
          </w:p>
        </w:tc>
        <w:tc>
          <w:tcPr>
            <w:tcW w:w="529" w:type="dxa"/>
          </w:tcPr>
          <w:p w14:paraId="6D593C4C" w14:textId="77777777" w:rsidR="00224FDB" w:rsidRPr="00F57B43" w:rsidRDefault="00224FDB" w:rsidP="00224FDB">
            <w:pPr>
              <w:spacing w:line="360" w:lineRule="auto"/>
              <w:rPr>
                <w:rFonts w:cs="Times New Roman"/>
              </w:rPr>
            </w:pPr>
            <w:r w:rsidRPr="00F57B43">
              <w:rPr>
                <w:rFonts w:cs="Times New Roman"/>
              </w:rPr>
              <w:t>B</w:t>
            </w:r>
          </w:p>
        </w:tc>
        <w:tc>
          <w:tcPr>
            <w:tcW w:w="642" w:type="dxa"/>
          </w:tcPr>
          <w:p w14:paraId="481804AF" w14:textId="247306CC" w:rsidR="00224FDB" w:rsidRPr="00F57B43" w:rsidRDefault="00224FDB" w:rsidP="00224FDB">
            <w:pPr>
              <w:spacing w:line="360" w:lineRule="auto"/>
              <w:rPr>
                <w:rFonts w:cs="Times New Roman"/>
              </w:rPr>
            </w:pPr>
            <w:r w:rsidRPr="00F57B43">
              <w:rPr>
                <w:rFonts w:cs="Times New Roman"/>
              </w:rPr>
              <w:t>0.66</w:t>
            </w:r>
          </w:p>
        </w:tc>
        <w:tc>
          <w:tcPr>
            <w:tcW w:w="1005" w:type="dxa"/>
          </w:tcPr>
          <w:p w14:paraId="0004824F" w14:textId="6A07D97B" w:rsidR="00224FDB" w:rsidRPr="00F57B43" w:rsidRDefault="00224FDB" w:rsidP="00224FDB">
            <w:pPr>
              <w:spacing w:line="360" w:lineRule="auto"/>
              <w:rPr>
                <w:rFonts w:cs="Times New Roman"/>
              </w:rPr>
            </w:pPr>
            <w:r w:rsidRPr="00F57B43">
              <w:rPr>
                <w:rFonts w:cs="Times New Roman"/>
              </w:rPr>
              <w:t>0.0005</w:t>
            </w:r>
          </w:p>
        </w:tc>
      </w:tr>
      <w:tr w:rsidR="00224FDB" w:rsidRPr="00F57B43" w14:paraId="2198313B" w14:textId="4807B843" w:rsidTr="00224FDB">
        <w:tc>
          <w:tcPr>
            <w:tcW w:w="1585" w:type="dxa"/>
          </w:tcPr>
          <w:p w14:paraId="12834B66" w14:textId="77777777" w:rsidR="00224FDB" w:rsidRPr="00F57B43" w:rsidRDefault="00224FDB" w:rsidP="00224FDB">
            <w:pPr>
              <w:spacing w:line="360" w:lineRule="auto"/>
              <w:rPr>
                <w:rFonts w:cs="Times New Roman"/>
              </w:rPr>
            </w:pPr>
            <w:r w:rsidRPr="00F57B43">
              <w:rPr>
                <w:rFonts w:cs="Times New Roman"/>
              </w:rPr>
              <w:t>ADF</w:t>
            </w:r>
          </w:p>
        </w:tc>
        <w:tc>
          <w:tcPr>
            <w:tcW w:w="812" w:type="dxa"/>
          </w:tcPr>
          <w:p w14:paraId="7C3F4FBB" w14:textId="77777777" w:rsidR="00224FDB" w:rsidRPr="00F57B43" w:rsidRDefault="00224FDB" w:rsidP="00224FDB">
            <w:pPr>
              <w:spacing w:line="360" w:lineRule="auto"/>
              <w:rPr>
                <w:rFonts w:cs="Times New Roman"/>
              </w:rPr>
            </w:pPr>
            <w:r w:rsidRPr="00F57B43">
              <w:rPr>
                <w:rFonts w:cs="Times New Roman"/>
              </w:rPr>
              <w:t>36.06</w:t>
            </w:r>
          </w:p>
        </w:tc>
        <w:tc>
          <w:tcPr>
            <w:tcW w:w="488" w:type="dxa"/>
          </w:tcPr>
          <w:p w14:paraId="23E2BE62" w14:textId="77777777" w:rsidR="00224FDB" w:rsidRPr="00F57B43" w:rsidRDefault="00224FDB" w:rsidP="00224FDB">
            <w:pPr>
              <w:spacing w:line="360" w:lineRule="auto"/>
              <w:rPr>
                <w:rFonts w:cs="Times New Roman"/>
              </w:rPr>
            </w:pPr>
            <w:r w:rsidRPr="00F57B43">
              <w:rPr>
                <w:rFonts w:cs="Times New Roman"/>
              </w:rPr>
              <w:t>A</w:t>
            </w:r>
          </w:p>
        </w:tc>
        <w:tc>
          <w:tcPr>
            <w:tcW w:w="821" w:type="dxa"/>
          </w:tcPr>
          <w:p w14:paraId="4CAE7C69" w14:textId="77777777" w:rsidR="00224FDB" w:rsidRPr="00F57B43" w:rsidRDefault="00224FDB" w:rsidP="00224FDB">
            <w:pPr>
              <w:spacing w:line="360" w:lineRule="auto"/>
              <w:rPr>
                <w:rFonts w:cs="Times New Roman"/>
              </w:rPr>
            </w:pPr>
            <w:r w:rsidRPr="00F57B43">
              <w:rPr>
                <w:rFonts w:cs="Times New Roman"/>
              </w:rPr>
              <w:t>33.07</w:t>
            </w:r>
          </w:p>
        </w:tc>
        <w:tc>
          <w:tcPr>
            <w:tcW w:w="593" w:type="dxa"/>
          </w:tcPr>
          <w:p w14:paraId="5CE79492" w14:textId="77777777" w:rsidR="00224FDB" w:rsidRPr="00F57B43" w:rsidRDefault="00224FDB" w:rsidP="00224FDB">
            <w:pPr>
              <w:spacing w:line="360" w:lineRule="auto"/>
              <w:rPr>
                <w:rFonts w:cs="Times New Roman"/>
              </w:rPr>
            </w:pPr>
            <w:r w:rsidRPr="00F57B43">
              <w:rPr>
                <w:rFonts w:cs="Times New Roman"/>
              </w:rPr>
              <w:t>B</w:t>
            </w:r>
          </w:p>
        </w:tc>
        <w:tc>
          <w:tcPr>
            <w:tcW w:w="823" w:type="dxa"/>
          </w:tcPr>
          <w:p w14:paraId="3B3B895E" w14:textId="77777777" w:rsidR="00224FDB" w:rsidRPr="00F57B43" w:rsidRDefault="00224FDB" w:rsidP="00224FDB">
            <w:pPr>
              <w:spacing w:line="360" w:lineRule="auto"/>
              <w:rPr>
                <w:rFonts w:cs="Times New Roman"/>
              </w:rPr>
            </w:pPr>
            <w:r w:rsidRPr="00F57B43">
              <w:rPr>
                <w:rFonts w:cs="Times New Roman"/>
              </w:rPr>
              <w:t>34.09</w:t>
            </w:r>
          </w:p>
        </w:tc>
        <w:tc>
          <w:tcPr>
            <w:tcW w:w="529" w:type="dxa"/>
          </w:tcPr>
          <w:p w14:paraId="7611BD4D" w14:textId="77777777" w:rsidR="00224FDB" w:rsidRPr="00F57B43" w:rsidRDefault="00224FDB" w:rsidP="00224FDB">
            <w:pPr>
              <w:spacing w:line="360" w:lineRule="auto"/>
              <w:rPr>
                <w:rFonts w:cs="Times New Roman"/>
              </w:rPr>
            </w:pPr>
            <w:r w:rsidRPr="00F57B43">
              <w:rPr>
                <w:rFonts w:cs="Times New Roman"/>
              </w:rPr>
              <w:t>B</w:t>
            </w:r>
          </w:p>
        </w:tc>
        <w:tc>
          <w:tcPr>
            <w:tcW w:w="642" w:type="dxa"/>
          </w:tcPr>
          <w:p w14:paraId="1790B7F1" w14:textId="6BD89108" w:rsidR="00224FDB" w:rsidRPr="00F57B43" w:rsidRDefault="00224FDB" w:rsidP="00224FDB">
            <w:pPr>
              <w:spacing w:line="360" w:lineRule="auto"/>
              <w:rPr>
                <w:rFonts w:cs="Times New Roman"/>
              </w:rPr>
            </w:pPr>
            <w:r w:rsidRPr="00F57B43">
              <w:rPr>
                <w:rFonts w:cs="Times New Roman"/>
              </w:rPr>
              <w:t>0.62</w:t>
            </w:r>
          </w:p>
        </w:tc>
        <w:tc>
          <w:tcPr>
            <w:tcW w:w="1005" w:type="dxa"/>
          </w:tcPr>
          <w:p w14:paraId="6B34B895" w14:textId="4A2F2085" w:rsidR="00224FDB" w:rsidRPr="00F57B43" w:rsidRDefault="00224FDB" w:rsidP="00224FDB">
            <w:pPr>
              <w:spacing w:line="360" w:lineRule="auto"/>
              <w:rPr>
                <w:rFonts w:cs="Times New Roman"/>
              </w:rPr>
            </w:pPr>
            <w:r w:rsidRPr="00F57B43">
              <w:rPr>
                <w:rFonts w:cs="Times New Roman"/>
              </w:rPr>
              <w:t>0.0013</w:t>
            </w:r>
          </w:p>
        </w:tc>
      </w:tr>
      <w:tr w:rsidR="00224FDB" w:rsidRPr="00F57B43" w14:paraId="4E1581C3" w14:textId="609A1673" w:rsidTr="00224FDB">
        <w:tc>
          <w:tcPr>
            <w:tcW w:w="1585" w:type="dxa"/>
          </w:tcPr>
          <w:p w14:paraId="66A55A74" w14:textId="77777777" w:rsidR="00224FDB" w:rsidRPr="00F57B43" w:rsidRDefault="00224FDB" w:rsidP="00224FDB">
            <w:pPr>
              <w:spacing w:line="360" w:lineRule="auto"/>
              <w:rPr>
                <w:rFonts w:cs="Times New Roman"/>
              </w:rPr>
            </w:pPr>
            <w:r w:rsidRPr="00F57B43">
              <w:rPr>
                <w:rFonts w:cs="Times New Roman"/>
              </w:rPr>
              <w:t>Ash</w:t>
            </w:r>
          </w:p>
        </w:tc>
        <w:tc>
          <w:tcPr>
            <w:tcW w:w="812" w:type="dxa"/>
          </w:tcPr>
          <w:p w14:paraId="5543A21E" w14:textId="77777777" w:rsidR="00224FDB" w:rsidRPr="00F57B43" w:rsidRDefault="00224FDB" w:rsidP="00224FDB">
            <w:pPr>
              <w:spacing w:line="360" w:lineRule="auto"/>
              <w:rPr>
                <w:rFonts w:cs="Times New Roman"/>
              </w:rPr>
            </w:pPr>
            <w:r w:rsidRPr="00F57B43">
              <w:rPr>
                <w:rFonts w:cs="Times New Roman"/>
              </w:rPr>
              <w:t>5.17</w:t>
            </w:r>
          </w:p>
        </w:tc>
        <w:tc>
          <w:tcPr>
            <w:tcW w:w="488" w:type="dxa"/>
          </w:tcPr>
          <w:p w14:paraId="1EAF4D57" w14:textId="77777777" w:rsidR="00224FDB" w:rsidRPr="00F57B43" w:rsidRDefault="00224FDB" w:rsidP="00224FDB">
            <w:pPr>
              <w:spacing w:line="360" w:lineRule="auto"/>
              <w:rPr>
                <w:rFonts w:cs="Times New Roman"/>
              </w:rPr>
            </w:pPr>
            <w:r w:rsidRPr="00F57B43">
              <w:rPr>
                <w:rFonts w:cs="Times New Roman"/>
              </w:rPr>
              <w:t>B</w:t>
            </w:r>
          </w:p>
        </w:tc>
        <w:tc>
          <w:tcPr>
            <w:tcW w:w="821" w:type="dxa"/>
          </w:tcPr>
          <w:p w14:paraId="4636C06C" w14:textId="77777777" w:rsidR="00224FDB" w:rsidRPr="00F57B43" w:rsidRDefault="00224FDB" w:rsidP="00224FDB">
            <w:pPr>
              <w:spacing w:line="360" w:lineRule="auto"/>
              <w:rPr>
                <w:rFonts w:cs="Times New Roman"/>
              </w:rPr>
            </w:pPr>
            <w:r w:rsidRPr="00F57B43">
              <w:rPr>
                <w:rFonts w:cs="Times New Roman"/>
              </w:rPr>
              <w:t>6.36</w:t>
            </w:r>
          </w:p>
        </w:tc>
        <w:tc>
          <w:tcPr>
            <w:tcW w:w="593" w:type="dxa"/>
          </w:tcPr>
          <w:p w14:paraId="3D80C374" w14:textId="77777777" w:rsidR="00224FDB" w:rsidRPr="00F57B43" w:rsidRDefault="00224FDB" w:rsidP="00224FDB">
            <w:pPr>
              <w:spacing w:line="360" w:lineRule="auto"/>
              <w:rPr>
                <w:rFonts w:cs="Times New Roman"/>
              </w:rPr>
            </w:pPr>
            <w:r w:rsidRPr="00F57B43">
              <w:rPr>
                <w:rFonts w:cs="Times New Roman"/>
              </w:rPr>
              <w:t>AB</w:t>
            </w:r>
          </w:p>
        </w:tc>
        <w:tc>
          <w:tcPr>
            <w:tcW w:w="823" w:type="dxa"/>
          </w:tcPr>
          <w:p w14:paraId="0FD71947" w14:textId="77777777" w:rsidR="00224FDB" w:rsidRPr="00F57B43" w:rsidRDefault="00224FDB" w:rsidP="00224FDB">
            <w:pPr>
              <w:spacing w:line="360" w:lineRule="auto"/>
              <w:rPr>
                <w:rFonts w:cs="Times New Roman"/>
              </w:rPr>
            </w:pPr>
            <w:r w:rsidRPr="00F57B43">
              <w:rPr>
                <w:rFonts w:cs="Times New Roman"/>
              </w:rPr>
              <w:t>7.63</w:t>
            </w:r>
          </w:p>
        </w:tc>
        <w:tc>
          <w:tcPr>
            <w:tcW w:w="529" w:type="dxa"/>
          </w:tcPr>
          <w:p w14:paraId="49F16DFE" w14:textId="77777777" w:rsidR="00224FDB" w:rsidRPr="00F57B43" w:rsidRDefault="00224FDB" w:rsidP="00224FDB">
            <w:pPr>
              <w:spacing w:line="360" w:lineRule="auto"/>
              <w:rPr>
                <w:rFonts w:cs="Times New Roman"/>
              </w:rPr>
            </w:pPr>
            <w:r w:rsidRPr="00F57B43">
              <w:rPr>
                <w:rFonts w:cs="Times New Roman"/>
              </w:rPr>
              <w:t>A</w:t>
            </w:r>
          </w:p>
        </w:tc>
        <w:tc>
          <w:tcPr>
            <w:tcW w:w="642" w:type="dxa"/>
          </w:tcPr>
          <w:p w14:paraId="1B623C07" w14:textId="6E40C056" w:rsidR="00224FDB" w:rsidRPr="00F57B43" w:rsidRDefault="00224FDB" w:rsidP="00224FDB">
            <w:pPr>
              <w:spacing w:line="360" w:lineRule="auto"/>
              <w:rPr>
                <w:rFonts w:cs="Times New Roman"/>
              </w:rPr>
            </w:pPr>
            <w:r w:rsidRPr="00F57B43">
              <w:rPr>
                <w:rFonts w:cs="Times New Roman"/>
              </w:rPr>
              <w:t>0.55</w:t>
            </w:r>
          </w:p>
        </w:tc>
        <w:tc>
          <w:tcPr>
            <w:tcW w:w="1005" w:type="dxa"/>
          </w:tcPr>
          <w:p w14:paraId="125C3064" w14:textId="0CFF6A2F" w:rsidR="00224FDB" w:rsidRPr="00F57B43" w:rsidRDefault="00224FDB" w:rsidP="00224FDB">
            <w:pPr>
              <w:spacing w:line="360" w:lineRule="auto"/>
              <w:rPr>
                <w:rFonts w:cs="Times New Roman"/>
              </w:rPr>
            </w:pPr>
            <w:r w:rsidRPr="00F57B43">
              <w:rPr>
                <w:rFonts w:cs="Times New Roman"/>
              </w:rPr>
              <w:t>0.0036</w:t>
            </w:r>
          </w:p>
        </w:tc>
      </w:tr>
      <w:tr w:rsidR="00224FDB" w:rsidRPr="00F57B43" w14:paraId="2186569F" w14:textId="75B93468" w:rsidTr="00224FDB">
        <w:tc>
          <w:tcPr>
            <w:tcW w:w="1585" w:type="dxa"/>
          </w:tcPr>
          <w:p w14:paraId="2A200389" w14:textId="77777777" w:rsidR="00224FDB" w:rsidRPr="00F57B43" w:rsidRDefault="00224FDB" w:rsidP="00224FDB">
            <w:pPr>
              <w:spacing w:line="360" w:lineRule="auto"/>
              <w:rPr>
                <w:rFonts w:cs="Times New Roman"/>
              </w:rPr>
            </w:pPr>
            <w:r w:rsidRPr="00F57B43">
              <w:rPr>
                <w:rFonts w:cs="Times New Roman"/>
              </w:rPr>
              <w:t>Fat</w:t>
            </w:r>
          </w:p>
        </w:tc>
        <w:tc>
          <w:tcPr>
            <w:tcW w:w="812" w:type="dxa"/>
          </w:tcPr>
          <w:p w14:paraId="3A75DFBB" w14:textId="77777777" w:rsidR="00224FDB" w:rsidRPr="00F57B43" w:rsidRDefault="00224FDB" w:rsidP="00224FDB">
            <w:pPr>
              <w:spacing w:line="360" w:lineRule="auto"/>
              <w:rPr>
                <w:rFonts w:cs="Times New Roman"/>
              </w:rPr>
            </w:pPr>
            <w:r w:rsidRPr="00F57B43">
              <w:rPr>
                <w:rFonts w:cs="Times New Roman"/>
              </w:rPr>
              <w:t>2.18</w:t>
            </w:r>
          </w:p>
        </w:tc>
        <w:tc>
          <w:tcPr>
            <w:tcW w:w="488" w:type="dxa"/>
          </w:tcPr>
          <w:p w14:paraId="5714EE89" w14:textId="77777777" w:rsidR="00224FDB" w:rsidRPr="00F57B43" w:rsidRDefault="00224FDB" w:rsidP="00224FDB">
            <w:pPr>
              <w:spacing w:line="360" w:lineRule="auto"/>
              <w:rPr>
                <w:rFonts w:cs="Times New Roman"/>
              </w:rPr>
            </w:pPr>
            <w:r w:rsidRPr="00F57B43">
              <w:rPr>
                <w:rFonts w:cs="Times New Roman"/>
              </w:rPr>
              <w:t>B</w:t>
            </w:r>
          </w:p>
        </w:tc>
        <w:tc>
          <w:tcPr>
            <w:tcW w:w="821" w:type="dxa"/>
          </w:tcPr>
          <w:p w14:paraId="590FE34C" w14:textId="77777777" w:rsidR="00224FDB" w:rsidRPr="00F57B43" w:rsidRDefault="00224FDB" w:rsidP="00224FDB">
            <w:pPr>
              <w:spacing w:line="360" w:lineRule="auto"/>
              <w:rPr>
                <w:rFonts w:cs="Times New Roman"/>
              </w:rPr>
            </w:pPr>
            <w:r w:rsidRPr="00F57B43">
              <w:rPr>
                <w:rFonts w:cs="Times New Roman"/>
              </w:rPr>
              <w:t>2.42</w:t>
            </w:r>
          </w:p>
        </w:tc>
        <w:tc>
          <w:tcPr>
            <w:tcW w:w="593" w:type="dxa"/>
          </w:tcPr>
          <w:p w14:paraId="518FB92B" w14:textId="77777777" w:rsidR="00224FDB" w:rsidRPr="00F57B43" w:rsidRDefault="00224FDB" w:rsidP="00224FDB">
            <w:pPr>
              <w:spacing w:line="360" w:lineRule="auto"/>
              <w:rPr>
                <w:rFonts w:cs="Times New Roman"/>
              </w:rPr>
            </w:pPr>
            <w:r w:rsidRPr="00F57B43">
              <w:rPr>
                <w:rFonts w:cs="Times New Roman"/>
              </w:rPr>
              <w:t>AB</w:t>
            </w:r>
          </w:p>
        </w:tc>
        <w:tc>
          <w:tcPr>
            <w:tcW w:w="823" w:type="dxa"/>
          </w:tcPr>
          <w:p w14:paraId="11BF894E" w14:textId="77777777" w:rsidR="00224FDB" w:rsidRPr="00F57B43" w:rsidRDefault="00224FDB" w:rsidP="00224FDB">
            <w:pPr>
              <w:spacing w:line="360" w:lineRule="auto"/>
              <w:rPr>
                <w:rFonts w:cs="Times New Roman"/>
              </w:rPr>
            </w:pPr>
            <w:r w:rsidRPr="00F57B43">
              <w:rPr>
                <w:rFonts w:cs="Times New Roman"/>
              </w:rPr>
              <w:t>2.52</w:t>
            </w:r>
          </w:p>
        </w:tc>
        <w:tc>
          <w:tcPr>
            <w:tcW w:w="529" w:type="dxa"/>
          </w:tcPr>
          <w:p w14:paraId="7C033146" w14:textId="77777777" w:rsidR="00224FDB" w:rsidRPr="00F57B43" w:rsidRDefault="00224FDB" w:rsidP="00224FDB">
            <w:pPr>
              <w:spacing w:line="360" w:lineRule="auto"/>
              <w:rPr>
                <w:rFonts w:cs="Times New Roman"/>
              </w:rPr>
            </w:pPr>
            <w:r w:rsidRPr="00F57B43">
              <w:rPr>
                <w:rFonts w:cs="Times New Roman"/>
              </w:rPr>
              <w:t>A</w:t>
            </w:r>
          </w:p>
        </w:tc>
        <w:tc>
          <w:tcPr>
            <w:tcW w:w="642" w:type="dxa"/>
          </w:tcPr>
          <w:p w14:paraId="46CDCCE6" w14:textId="451F9AC1" w:rsidR="00224FDB" w:rsidRPr="00F57B43" w:rsidRDefault="00224FDB" w:rsidP="00224FDB">
            <w:pPr>
              <w:spacing w:line="360" w:lineRule="auto"/>
              <w:rPr>
                <w:rFonts w:cs="Times New Roman"/>
              </w:rPr>
            </w:pPr>
            <w:r w:rsidRPr="00F57B43">
              <w:rPr>
                <w:rFonts w:cs="Times New Roman"/>
              </w:rPr>
              <w:t>0.48</w:t>
            </w:r>
          </w:p>
        </w:tc>
        <w:tc>
          <w:tcPr>
            <w:tcW w:w="1005" w:type="dxa"/>
          </w:tcPr>
          <w:p w14:paraId="5D1C6FF1" w14:textId="3D9934B6" w:rsidR="00224FDB" w:rsidRPr="00F57B43" w:rsidRDefault="00224FDB" w:rsidP="00224FDB">
            <w:pPr>
              <w:spacing w:line="360" w:lineRule="auto"/>
              <w:rPr>
                <w:rFonts w:cs="Times New Roman"/>
              </w:rPr>
            </w:pPr>
            <w:r w:rsidRPr="00F57B43">
              <w:rPr>
                <w:rFonts w:cs="Times New Roman"/>
              </w:rPr>
              <w:t>0.0108</w:t>
            </w:r>
          </w:p>
        </w:tc>
      </w:tr>
      <w:tr w:rsidR="00224FDB" w:rsidRPr="00F57B43" w14:paraId="681BE162" w14:textId="26FF5BA0" w:rsidTr="00224FDB">
        <w:tc>
          <w:tcPr>
            <w:tcW w:w="1585" w:type="dxa"/>
          </w:tcPr>
          <w:p w14:paraId="39B5E5E8" w14:textId="77777777" w:rsidR="00224FDB" w:rsidRPr="00F57B43" w:rsidRDefault="00224FDB" w:rsidP="00224FDB">
            <w:pPr>
              <w:spacing w:line="360" w:lineRule="auto"/>
              <w:rPr>
                <w:rFonts w:cs="Times New Roman"/>
              </w:rPr>
            </w:pPr>
            <w:r w:rsidRPr="00F57B43">
              <w:rPr>
                <w:rFonts w:cs="Times New Roman"/>
              </w:rPr>
              <w:t>Mg</w:t>
            </w:r>
          </w:p>
        </w:tc>
        <w:tc>
          <w:tcPr>
            <w:tcW w:w="812" w:type="dxa"/>
          </w:tcPr>
          <w:p w14:paraId="04115634" w14:textId="77777777" w:rsidR="00224FDB" w:rsidRPr="00F57B43" w:rsidRDefault="00224FDB" w:rsidP="00224FDB">
            <w:pPr>
              <w:spacing w:line="360" w:lineRule="auto"/>
              <w:rPr>
                <w:rFonts w:cs="Times New Roman"/>
              </w:rPr>
            </w:pPr>
            <w:r w:rsidRPr="00F57B43">
              <w:rPr>
                <w:rFonts w:cs="Times New Roman"/>
              </w:rPr>
              <w:t>0.21</w:t>
            </w:r>
          </w:p>
        </w:tc>
        <w:tc>
          <w:tcPr>
            <w:tcW w:w="488" w:type="dxa"/>
          </w:tcPr>
          <w:p w14:paraId="2824AD62" w14:textId="77777777" w:rsidR="00224FDB" w:rsidRPr="00F57B43" w:rsidRDefault="00224FDB" w:rsidP="00224FDB">
            <w:pPr>
              <w:spacing w:line="360" w:lineRule="auto"/>
              <w:rPr>
                <w:rFonts w:cs="Times New Roman"/>
              </w:rPr>
            </w:pPr>
            <w:r w:rsidRPr="00F57B43">
              <w:rPr>
                <w:rFonts w:cs="Times New Roman"/>
              </w:rPr>
              <w:t>B</w:t>
            </w:r>
          </w:p>
        </w:tc>
        <w:tc>
          <w:tcPr>
            <w:tcW w:w="821" w:type="dxa"/>
          </w:tcPr>
          <w:p w14:paraId="221C592F" w14:textId="77777777" w:rsidR="00224FDB" w:rsidRPr="00F57B43" w:rsidRDefault="00224FDB" w:rsidP="00224FDB">
            <w:pPr>
              <w:spacing w:line="360" w:lineRule="auto"/>
              <w:rPr>
                <w:rFonts w:cs="Times New Roman"/>
              </w:rPr>
            </w:pPr>
            <w:r w:rsidRPr="00F57B43">
              <w:rPr>
                <w:rFonts w:cs="Times New Roman"/>
              </w:rPr>
              <w:t>0.27</w:t>
            </w:r>
          </w:p>
        </w:tc>
        <w:tc>
          <w:tcPr>
            <w:tcW w:w="593" w:type="dxa"/>
          </w:tcPr>
          <w:p w14:paraId="34962CB0" w14:textId="77777777" w:rsidR="00224FDB" w:rsidRPr="00F57B43" w:rsidRDefault="00224FDB" w:rsidP="00224FDB">
            <w:pPr>
              <w:spacing w:line="360" w:lineRule="auto"/>
              <w:rPr>
                <w:rFonts w:cs="Times New Roman"/>
              </w:rPr>
            </w:pPr>
            <w:r w:rsidRPr="00F57B43">
              <w:rPr>
                <w:rFonts w:cs="Times New Roman"/>
              </w:rPr>
              <w:t>B</w:t>
            </w:r>
          </w:p>
        </w:tc>
        <w:tc>
          <w:tcPr>
            <w:tcW w:w="823" w:type="dxa"/>
          </w:tcPr>
          <w:p w14:paraId="003D3E83" w14:textId="77777777" w:rsidR="00224FDB" w:rsidRPr="00F57B43" w:rsidRDefault="00224FDB" w:rsidP="00224FDB">
            <w:pPr>
              <w:spacing w:line="360" w:lineRule="auto"/>
              <w:rPr>
                <w:rFonts w:cs="Times New Roman"/>
              </w:rPr>
            </w:pPr>
            <w:r w:rsidRPr="00F57B43">
              <w:rPr>
                <w:rFonts w:cs="Times New Roman"/>
              </w:rPr>
              <w:t>0.33</w:t>
            </w:r>
          </w:p>
        </w:tc>
        <w:tc>
          <w:tcPr>
            <w:tcW w:w="529" w:type="dxa"/>
          </w:tcPr>
          <w:p w14:paraId="4893C5E6" w14:textId="77777777" w:rsidR="00224FDB" w:rsidRPr="00F57B43" w:rsidRDefault="00224FDB" w:rsidP="00224FDB">
            <w:pPr>
              <w:spacing w:line="360" w:lineRule="auto"/>
              <w:rPr>
                <w:rFonts w:cs="Times New Roman"/>
              </w:rPr>
            </w:pPr>
            <w:r w:rsidRPr="00F57B43">
              <w:rPr>
                <w:rFonts w:cs="Times New Roman"/>
              </w:rPr>
              <w:t>A</w:t>
            </w:r>
          </w:p>
        </w:tc>
        <w:tc>
          <w:tcPr>
            <w:tcW w:w="642" w:type="dxa"/>
          </w:tcPr>
          <w:p w14:paraId="3C0AD2CC" w14:textId="6880AD29" w:rsidR="00224FDB" w:rsidRPr="00F57B43" w:rsidRDefault="00224FDB" w:rsidP="00224FDB">
            <w:pPr>
              <w:spacing w:line="360" w:lineRule="auto"/>
              <w:rPr>
                <w:rFonts w:cs="Times New Roman"/>
              </w:rPr>
            </w:pPr>
            <w:r w:rsidRPr="00F57B43">
              <w:rPr>
                <w:rFonts w:cs="Times New Roman"/>
              </w:rPr>
              <w:t>0.68</w:t>
            </w:r>
          </w:p>
        </w:tc>
        <w:tc>
          <w:tcPr>
            <w:tcW w:w="1005" w:type="dxa"/>
          </w:tcPr>
          <w:p w14:paraId="2D6AD242" w14:textId="39880754" w:rsidR="00224FDB" w:rsidRPr="00F57B43" w:rsidRDefault="00224FDB" w:rsidP="00224FDB">
            <w:pPr>
              <w:spacing w:line="360" w:lineRule="auto"/>
              <w:rPr>
                <w:rFonts w:cs="Times New Roman"/>
              </w:rPr>
            </w:pPr>
            <w:r w:rsidRPr="00F57B43">
              <w:rPr>
                <w:rFonts w:cs="Times New Roman"/>
              </w:rPr>
              <w:t>0.0003</w:t>
            </w:r>
          </w:p>
        </w:tc>
      </w:tr>
      <w:tr w:rsidR="00224FDB" w:rsidRPr="00F57B43" w14:paraId="28A748DF" w14:textId="7610EC3D" w:rsidTr="00224FDB">
        <w:tc>
          <w:tcPr>
            <w:tcW w:w="1585" w:type="dxa"/>
          </w:tcPr>
          <w:p w14:paraId="10A24E76" w14:textId="77777777" w:rsidR="00224FDB" w:rsidRPr="00F57B43" w:rsidRDefault="00224FDB" w:rsidP="00224FDB">
            <w:pPr>
              <w:spacing w:line="360" w:lineRule="auto"/>
              <w:rPr>
                <w:rFonts w:cs="Times New Roman"/>
              </w:rPr>
            </w:pPr>
            <w:r w:rsidRPr="00F57B43">
              <w:rPr>
                <w:rFonts w:cs="Times New Roman"/>
              </w:rPr>
              <w:t>Ca</w:t>
            </w:r>
          </w:p>
        </w:tc>
        <w:tc>
          <w:tcPr>
            <w:tcW w:w="812" w:type="dxa"/>
          </w:tcPr>
          <w:p w14:paraId="2C696981" w14:textId="77777777" w:rsidR="00224FDB" w:rsidRPr="00F57B43" w:rsidRDefault="00224FDB" w:rsidP="00224FDB">
            <w:pPr>
              <w:spacing w:line="360" w:lineRule="auto"/>
              <w:rPr>
                <w:rFonts w:cs="Times New Roman"/>
              </w:rPr>
            </w:pPr>
            <w:r w:rsidRPr="00F57B43">
              <w:rPr>
                <w:rFonts w:cs="Times New Roman"/>
              </w:rPr>
              <w:t>0.41</w:t>
            </w:r>
          </w:p>
        </w:tc>
        <w:tc>
          <w:tcPr>
            <w:tcW w:w="488" w:type="dxa"/>
          </w:tcPr>
          <w:p w14:paraId="63014C6F" w14:textId="77777777" w:rsidR="00224FDB" w:rsidRPr="00F57B43" w:rsidRDefault="00224FDB" w:rsidP="00224FDB">
            <w:pPr>
              <w:spacing w:line="360" w:lineRule="auto"/>
              <w:rPr>
                <w:rFonts w:cs="Times New Roman"/>
              </w:rPr>
            </w:pPr>
            <w:r w:rsidRPr="00F57B43">
              <w:rPr>
                <w:rFonts w:cs="Times New Roman"/>
              </w:rPr>
              <w:t>C</w:t>
            </w:r>
          </w:p>
        </w:tc>
        <w:tc>
          <w:tcPr>
            <w:tcW w:w="821" w:type="dxa"/>
          </w:tcPr>
          <w:p w14:paraId="43DE1E9B" w14:textId="77777777" w:rsidR="00224FDB" w:rsidRPr="00F57B43" w:rsidRDefault="00224FDB" w:rsidP="00224FDB">
            <w:pPr>
              <w:spacing w:line="360" w:lineRule="auto"/>
              <w:rPr>
                <w:rFonts w:cs="Times New Roman"/>
              </w:rPr>
            </w:pPr>
            <w:r w:rsidRPr="00F57B43">
              <w:rPr>
                <w:rFonts w:cs="Times New Roman"/>
              </w:rPr>
              <w:t>0.53</w:t>
            </w:r>
          </w:p>
        </w:tc>
        <w:tc>
          <w:tcPr>
            <w:tcW w:w="593" w:type="dxa"/>
          </w:tcPr>
          <w:p w14:paraId="3B4909CF" w14:textId="77777777" w:rsidR="00224FDB" w:rsidRPr="00F57B43" w:rsidRDefault="00224FDB" w:rsidP="00224FDB">
            <w:pPr>
              <w:spacing w:line="360" w:lineRule="auto"/>
              <w:rPr>
                <w:rFonts w:cs="Times New Roman"/>
              </w:rPr>
            </w:pPr>
            <w:r w:rsidRPr="00F57B43">
              <w:rPr>
                <w:rFonts w:cs="Times New Roman"/>
              </w:rPr>
              <w:t>B</w:t>
            </w:r>
          </w:p>
        </w:tc>
        <w:tc>
          <w:tcPr>
            <w:tcW w:w="823" w:type="dxa"/>
          </w:tcPr>
          <w:p w14:paraId="7C0A1A72" w14:textId="77777777" w:rsidR="00224FDB" w:rsidRPr="00F57B43" w:rsidRDefault="00224FDB" w:rsidP="00224FDB">
            <w:pPr>
              <w:spacing w:line="360" w:lineRule="auto"/>
              <w:rPr>
                <w:rFonts w:cs="Times New Roman"/>
              </w:rPr>
            </w:pPr>
            <w:r w:rsidRPr="00F57B43">
              <w:rPr>
                <w:rFonts w:cs="Times New Roman"/>
              </w:rPr>
              <w:t>0.62</w:t>
            </w:r>
          </w:p>
        </w:tc>
        <w:tc>
          <w:tcPr>
            <w:tcW w:w="529" w:type="dxa"/>
          </w:tcPr>
          <w:p w14:paraId="2AA575DC" w14:textId="77777777" w:rsidR="00224FDB" w:rsidRPr="00F57B43" w:rsidRDefault="00224FDB" w:rsidP="00224FDB">
            <w:pPr>
              <w:spacing w:line="360" w:lineRule="auto"/>
              <w:rPr>
                <w:rFonts w:cs="Times New Roman"/>
              </w:rPr>
            </w:pPr>
            <w:r w:rsidRPr="00F57B43">
              <w:rPr>
                <w:rFonts w:cs="Times New Roman"/>
              </w:rPr>
              <w:t>A</w:t>
            </w:r>
          </w:p>
        </w:tc>
        <w:tc>
          <w:tcPr>
            <w:tcW w:w="642" w:type="dxa"/>
          </w:tcPr>
          <w:p w14:paraId="38821E0F" w14:textId="2B7FEFF0" w:rsidR="00224FDB" w:rsidRPr="00F57B43" w:rsidRDefault="00224FDB" w:rsidP="00224FDB">
            <w:pPr>
              <w:spacing w:line="360" w:lineRule="auto"/>
              <w:rPr>
                <w:rFonts w:cs="Times New Roman"/>
              </w:rPr>
            </w:pPr>
            <w:r w:rsidRPr="00F57B43">
              <w:rPr>
                <w:rFonts w:cs="Times New Roman"/>
              </w:rPr>
              <w:t>0.87</w:t>
            </w:r>
          </w:p>
        </w:tc>
        <w:tc>
          <w:tcPr>
            <w:tcW w:w="1005" w:type="dxa"/>
          </w:tcPr>
          <w:p w14:paraId="0243DE32" w14:textId="328DF9DB" w:rsidR="00224FDB" w:rsidRPr="00F57B43" w:rsidRDefault="00224FDB" w:rsidP="00224FDB">
            <w:pPr>
              <w:spacing w:line="360" w:lineRule="auto"/>
              <w:rPr>
                <w:rFonts w:cs="Times New Roman"/>
              </w:rPr>
            </w:pPr>
            <w:r w:rsidRPr="00F57B43">
              <w:rPr>
                <w:rFonts w:cs="Times New Roman"/>
              </w:rPr>
              <w:t>&lt;0.0001</w:t>
            </w:r>
          </w:p>
        </w:tc>
      </w:tr>
      <w:tr w:rsidR="00224FDB" w:rsidRPr="00F57B43" w14:paraId="20248F76" w14:textId="77777777" w:rsidTr="00197B57">
        <w:tc>
          <w:tcPr>
            <w:tcW w:w="7298" w:type="dxa"/>
            <w:gridSpan w:val="9"/>
            <w:tcBorders>
              <w:bottom w:val="single" w:sz="4" w:space="0" w:color="auto"/>
            </w:tcBorders>
          </w:tcPr>
          <w:p w14:paraId="6D8B9D75" w14:textId="3A139840" w:rsidR="00224FDB" w:rsidRPr="00224FDB" w:rsidRDefault="00224FDB" w:rsidP="00224FDB">
            <w:pPr>
              <w:spacing w:line="240" w:lineRule="auto"/>
              <w:rPr>
                <w:rFonts w:cs="Times New Roman"/>
                <w:vertAlign w:val="subscript"/>
              </w:rPr>
            </w:pPr>
            <w:r w:rsidRPr="00224FDB">
              <w:rPr>
                <w:rFonts w:cs="Times New Roman"/>
                <w:color w:val="000000"/>
                <w:vertAlign w:val="subscript"/>
              </w:rPr>
              <w:t xml:space="preserve">† Means were </w:t>
            </w:r>
            <w:r w:rsidRPr="00224FDB">
              <w:rPr>
                <w:rFonts w:cs="Times New Roman"/>
                <w:vertAlign w:val="subscript"/>
              </w:rPr>
              <w:t>separated using Tukey’s HSD. Means followed by the same letter do not differ significantly at p &lt; 0.05</w:t>
            </w:r>
          </w:p>
        </w:tc>
      </w:tr>
    </w:tbl>
    <w:p w14:paraId="34A36595" w14:textId="77777777" w:rsidR="00382C84" w:rsidRPr="00BD4B8F" w:rsidRDefault="00382C84" w:rsidP="00382C84">
      <w:pPr>
        <w:spacing w:line="360" w:lineRule="auto"/>
        <w:rPr>
          <w:rFonts w:cs="Times New Roman"/>
        </w:rPr>
      </w:pPr>
    </w:p>
    <w:p w14:paraId="7B7CE569" w14:textId="77777777" w:rsidR="00686D2D" w:rsidRDefault="00686D2D" w:rsidP="00686D2D">
      <w:pPr>
        <w:rPr>
          <w:rFonts w:cs="Times New Roman"/>
        </w:rPr>
      </w:pPr>
    </w:p>
    <w:p w14:paraId="0179D6A6" w14:textId="77777777" w:rsidR="00686D2D" w:rsidRDefault="00686D2D" w:rsidP="00686D2D">
      <w:pPr>
        <w:rPr>
          <w:rFonts w:cs="Times New Roman"/>
        </w:rPr>
      </w:pPr>
    </w:p>
    <w:p w14:paraId="3A2C4831" w14:textId="77777777" w:rsidR="00686D2D" w:rsidRDefault="00686D2D" w:rsidP="00686D2D">
      <w:pPr>
        <w:rPr>
          <w:rFonts w:cs="Times New Roman"/>
        </w:rPr>
      </w:pPr>
    </w:p>
    <w:p w14:paraId="4FDA47E2" w14:textId="77777777" w:rsidR="00686D2D" w:rsidRDefault="00686D2D" w:rsidP="00686D2D">
      <w:pPr>
        <w:rPr>
          <w:rFonts w:cs="Times New Roman"/>
        </w:rPr>
      </w:pPr>
    </w:p>
    <w:p w14:paraId="0404845E" w14:textId="77777777" w:rsidR="00F57B43" w:rsidRDefault="00F57B43">
      <w:pPr>
        <w:spacing w:line="240" w:lineRule="auto"/>
        <w:rPr>
          <w:b/>
          <w:sz w:val="28"/>
          <w:szCs w:val="28"/>
        </w:rPr>
        <w:sectPr w:rsidR="00F57B43" w:rsidSect="00794998">
          <w:footerReference w:type="default" r:id="rId15"/>
          <w:pgSz w:w="12240" w:h="15840" w:code="1"/>
          <w:pgMar w:top="1440" w:right="1440" w:bottom="1440" w:left="1440" w:header="720" w:footer="720" w:gutter="0"/>
          <w:cols w:space="720"/>
          <w:docGrid w:linePitch="360"/>
        </w:sectPr>
      </w:pPr>
    </w:p>
    <w:p w14:paraId="3C56C6C4" w14:textId="77777777" w:rsidR="00596A40" w:rsidRPr="00BA3F3D" w:rsidRDefault="004C212B" w:rsidP="0099190A">
      <w:pPr>
        <w:pStyle w:val="Heading1"/>
      </w:pPr>
      <w:bookmarkStart w:id="45" w:name="_Toc289175825"/>
      <w:bookmarkStart w:id="46" w:name="_Toc290383535"/>
      <w:bookmarkStart w:id="47" w:name="_Toc404069830"/>
      <w:r>
        <w:lastRenderedPageBreak/>
        <w:t>CHAPTER 2</w:t>
      </w:r>
      <w:r w:rsidR="00433FC9">
        <w:t xml:space="preserve"> - </w:t>
      </w:r>
      <w:r>
        <w:t>DIALLEL ANALYSIS TO ASSESS QUANTITATIVE GENETICS OF BIOFUEL PRODUCTION TRAITS IN SWITCHGRASS</w:t>
      </w:r>
      <w:bookmarkEnd w:id="45"/>
      <w:bookmarkEnd w:id="46"/>
      <w:bookmarkEnd w:id="47"/>
    </w:p>
    <w:p w14:paraId="68142504" w14:textId="77777777" w:rsidR="00596A40" w:rsidRPr="00BA3F3D" w:rsidRDefault="00596A40" w:rsidP="00596A40">
      <w:pPr>
        <w:rPr>
          <w:rFonts w:cs="Times New Roman"/>
        </w:rPr>
      </w:pPr>
    </w:p>
    <w:p w14:paraId="67DD0628" w14:textId="77777777" w:rsidR="00596A40" w:rsidRPr="00BA3F3D" w:rsidRDefault="00596A40" w:rsidP="00596A40">
      <w:pPr>
        <w:rPr>
          <w:rFonts w:cs="Times New Roman"/>
        </w:rPr>
      </w:pPr>
    </w:p>
    <w:p w14:paraId="25422877" w14:textId="77777777" w:rsidR="00596A40" w:rsidRPr="00BA3F3D" w:rsidRDefault="00596A40" w:rsidP="00596A40">
      <w:pPr>
        <w:keepNext/>
        <w:spacing w:before="240" w:after="60"/>
        <w:outlineLvl w:val="2"/>
        <w:rPr>
          <w:rFonts w:cs="Times New Roman"/>
          <w:b/>
          <w:bCs/>
          <w:i/>
          <w:szCs w:val="26"/>
        </w:rPr>
      </w:pPr>
      <w:r w:rsidRPr="00BA3F3D">
        <w:rPr>
          <w:rFonts w:cs="Times New Roman"/>
          <w:b/>
          <w:bCs/>
          <w:i/>
          <w:szCs w:val="26"/>
        </w:rPr>
        <w:br w:type="page"/>
      </w:r>
    </w:p>
    <w:p w14:paraId="76172156" w14:textId="77777777" w:rsidR="00596A40" w:rsidRPr="00BA3F3D" w:rsidRDefault="00596A40" w:rsidP="009B24A0">
      <w:pPr>
        <w:pStyle w:val="Heading2"/>
      </w:pPr>
      <w:bookmarkStart w:id="48" w:name="_Toc289175826"/>
      <w:bookmarkStart w:id="49" w:name="_Toc290383536"/>
      <w:bookmarkStart w:id="50" w:name="_Toc404069831"/>
      <w:r w:rsidRPr="00BA3F3D">
        <w:lastRenderedPageBreak/>
        <w:t>Abstract</w:t>
      </w:r>
      <w:bookmarkEnd w:id="48"/>
      <w:bookmarkEnd w:id="49"/>
      <w:bookmarkEnd w:id="50"/>
    </w:p>
    <w:p w14:paraId="7066E4B6" w14:textId="2E0D76D0" w:rsidR="00596A40" w:rsidRPr="004A209F" w:rsidRDefault="00596A40" w:rsidP="00493F48">
      <w:r w:rsidRPr="00BA3F3D">
        <w:tab/>
      </w:r>
      <w:r w:rsidRPr="004A209F">
        <w:t>Switchgrass (</w:t>
      </w:r>
      <w:r w:rsidRPr="004A209F">
        <w:rPr>
          <w:i/>
        </w:rPr>
        <w:t>Panicum virgatum</w:t>
      </w:r>
      <w:r w:rsidRPr="004A209F">
        <w:t xml:space="preserve"> L.) is a perennial, warm season grass </w:t>
      </w:r>
      <w:r>
        <w:t xml:space="preserve">that can be </w:t>
      </w:r>
      <w:r w:rsidRPr="004A209F">
        <w:t xml:space="preserve">used as a biofuel. </w:t>
      </w:r>
      <w:r>
        <w:t xml:space="preserve">A greater understanding of the underlying genetic parameters of biomass yield and ethanol yield in switchgrass could help breeders more effectively develop improved </w:t>
      </w:r>
      <w:r w:rsidR="00892C10">
        <w:t xml:space="preserve">biofuel </w:t>
      </w:r>
      <w:r>
        <w:t xml:space="preserve">switchgrass cultivars. </w:t>
      </w:r>
      <w:r w:rsidRPr="004A209F">
        <w:t xml:space="preserve">Eight parents, representative of the varieties </w:t>
      </w:r>
      <w:r w:rsidR="00975ED7">
        <w:t>‘</w:t>
      </w:r>
      <w:r w:rsidRPr="00975ED7">
        <w:t>Kanlow</w:t>
      </w:r>
      <w:r w:rsidR="00975ED7">
        <w:t>’</w:t>
      </w:r>
      <w:r w:rsidRPr="00975ED7">
        <w:t xml:space="preserve">, </w:t>
      </w:r>
      <w:r w:rsidR="00975ED7">
        <w:t>‘</w:t>
      </w:r>
      <w:r w:rsidRPr="00975ED7">
        <w:t>Alamo</w:t>
      </w:r>
      <w:r w:rsidR="00975ED7">
        <w:t>’</w:t>
      </w:r>
      <w:r w:rsidRPr="00975ED7">
        <w:t xml:space="preserve">, and </w:t>
      </w:r>
      <w:r w:rsidR="00975ED7">
        <w:t>‘</w:t>
      </w:r>
      <w:r w:rsidRPr="00975ED7">
        <w:t>Miami</w:t>
      </w:r>
      <w:r w:rsidR="00975ED7">
        <w:t>’</w:t>
      </w:r>
      <w:r w:rsidRPr="004A209F">
        <w:t xml:space="preserve"> were crossed in a diallel design. Greenhouse started seedlings were planted at Knoxville, TN and Crossville, TN in single plant plots in a </w:t>
      </w:r>
      <w:r>
        <w:t>RCB</w:t>
      </w:r>
      <w:r w:rsidRPr="004A209F">
        <w:t xml:space="preserve"> design with four blocks and twenty replications per cross. Plants were evaluated for biomass at 8 weeks post-emergence. After transfer to the field, plants were evaluated for </w:t>
      </w:r>
      <w:r>
        <w:t xml:space="preserve">height, </w:t>
      </w:r>
      <w:r w:rsidR="009C1A48">
        <w:t>rust severity</w:t>
      </w:r>
      <w:r>
        <w:t xml:space="preserve">, </w:t>
      </w:r>
      <w:r w:rsidRPr="004A209F">
        <w:t>biomass</w:t>
      </w:r>
      <w:r w:rsidR="00892C10">
        <w:t xml:space="preserve"> yield</w:t>
      </w:r>
      <w:r>
        <w:t xml:space="preserve">, </w:t>
      </w:r>
      <w:r w:rsidRPr="004A209F">
        <w:t xml:space="preserve">and </w:t>
      </w:r>
      <w:r w:rsidR="00892C10">
        <w:t xml:space="preserve">predicted </w:t>
      </w:r>
      <w:r w:rsidRPr="004A209F">
        <w:t>ethanol</w:t>
      </w:r>
      <w:r w:rsidR="00892C10">
        <w:t xml:space="preserve"> yield</w:t>
      </w:r>
      <w:r w:rsidRPr="004A209F">
        <w:t xml:space="preserve"> in the fall of the first and second year</w:t>
      </w:r>
      <w:r>
        <w:t xml:space="preserve"> and for height, tiller number, tiller diameter, </w:t>
      </w:r>
      <w:r w:rsidR="00B8390A">
        <w:t>leaf width</w:t>
      </w:r>
      <w:r>
        <w:t xml:space="preserve">, </w:t>
      </w:r>
      <w:r w:rsidR="00DB61CB">
        <w:t>plant color</w:t>
      </w:r>
      <w:r>
        <w:t xml:space="preserve">, and </w:t>
      </w:r>
      <w:r w:rsidR="00DA675F">
        <w:t>canopy density</w:t>
      </w:r>
      <w:r>
        <w:t xml:space="preserve"> in the spring of the second and third year</w:t>
      </w:r>
      <w:r w:rsidRPr="004A209F">
        <w:t>.</w:t>
      </w:r>
      <w:r>
        <w:t xml:space="preserve"> Calculated values included correlations between morphological traits and biomass </w:t>
      </w:r>
      <w:r w:rsidR="0001022C">
        <w:t>or</w:t>
      </w:r>
      <w:r>
        <w:t xml:space="preserve"> </w:t>
      </w:r>
      <w:r w:rsidR="0095454C">
        <w:t>predicted ethanol yield</w:t>
      </w:r>
      <w:r>
        <w:t xml:space="preserve">, </w:t>
      </w:r>
      <w:r>
        <w:rPr>
          <w:rFonts w:eastAsiaTheme="minorHAnsi"/>
          <w:szCs w:val="22"/>
        </w:rPr>
        <w:t>estimates of</w:t>
      </w:r>
      <w:r w:rsidRPr="00BA3F3D">
        <w:rPr>
          <w:rFonts w:eastAsiaTheme="minorHAnsi"/>
          <w:szCs w:val="22"/>
        </w:rPr>
        <w:t xml:space="preserve"> </w:t>
      </w:r>
      <w:r>
        <w:rPr>
          <w:rFonts w:eastAsiaTheme="minorHAnsi"/>
          <w:szCs w:val="22"/>
        </w:rPr>
        <w:t xml:space="preserve">additive and dominance genetic variance components, heritability, general and specific combining ability, maternal effects, </w:t>
      </w:r>
      <w:r w:rsidR="00892C10">
        <w:rPr>
          <w:rFonts w:eastAsiaTheme="minorHAnsi"/>
          <w:szCs w:val="22"/>
        </w:rPr>
        <w:t xml:space="preserve">and </w:t>
      </w:r>
      <w:r>
        <w:rPr>
          <w:rFonts w:eastAsiaTheme="minorHAnsi"/>
          <w:szCs w:val="22"/>
        </w:rPr>
        <w:t xml:space="preserve">heterosis, and evaluation of early selection potential for biomass and </w:t>
      </w:r>
      <w:r w:rsidR="0095454C">
        <w:rPr>
          <w:rFonts w:eastAsiaTheme="minorHAnsi"/>
          <w:szCs w:val="22"/>
        </w:rPr>
        <w:t>predicted ethanol yield</w:t>
      </w:r>
      <w:r w:rsidRPr="00BA3F3D">
        <w:rPr>
          <w:rFonts w:eastAsiaTheme="minorHAnsi"/>
          <w:szCs w:val="22"/>
        </w:rPr>
        <w:t xml:space="preserve"> in lowland switchgrass.</w:t>
      </w:r>
      <w:r>
        <w:rPr>
          <w:rFonts w:eastAsiaTheme="minorHAnsi"/>
          <w:szCs w:val="22"/>
        </w:rPr>
        <w:t xml:space="preserve"> </w:t>
      </w:r>
      <w:r w:rsidRPr="00ED44DE">
        <w:t>Correlations of morphological traits to biomass yield indicate</w:t>
      </w:r>
      <w:r>
        <w:t>d</w:t>
      </w:r>
      <w:r w:rsidRPr="00ED44DE">
        <w:t xml:space="preserve"> an ideotype of a tall plant with a high number of thick tillers, wide leaves, and an open </w:t>
      </w:r>
      <w:r w:rsidR="00DA675F">
        <w:t>canopy density</w:t>
      </w:r>
      <w:r w:rsidRPr="00ED44DE">
        <w:t>.</w:t>
      </w:r>
      <w:r>
        <w:t xml:space="preserve"> Traits with moderate correlations to biomass yield showed </w:t>
      </w:r>
      <w:r w:rsidR="00892C10">
        <w:t xml:space="preserve">significant, but </w:t>
      </w:r>
      <w:r>
        <w:t>weak</w:t>
      </w:r>
      <w:r w:rsidR="00892C10">
        <w:t>,</w:t>
      </w:r>
      <w:r>
        <w:t xml:space="preserve"> negative correlations to </w:t>
      </w:r>
      <w:r w:rsidR="0095454C">
        <w:t>predicted ethanol yield</w:t>
      </w:r>
      <w:r>
        <w:t xml:space="preserve">. Heritability values were low (0.13-0.21) with dominance variation predominant for biomass yield, </w:t>
      </w:r>
      <w:r w:rsidR="0095454C">
        <w:t>predicted ethanol yield</w:t>
      </w:r>
      <w:r>
        <w:t xml:space="preserve">, fall height, </w:t>
      </w:r>
      <w:r w:rsidR="00DA675F">
        <w:t>canopy density</w:t>
      </w:r>
      <w:r>
        <w:t xml:space="preserve">, and tiller number and were higher (0.22-0.50) with additive variation predominant for spring height, </w:t>
      </w:r>
      <w:r w:rsidR="00DB61CB">
        <w:t>plant color</w:t>
      </w:r>
      <w:r>
        <w:t xml:space="preserve">, leaf angle, and </w:t>
      </w:r>
      <w:r w:rsidR="009C1A48">
        <w:t>rust severity</w:t>
      </w:r>
      <w:r>
        <w:t xml:space="preserve">. Based on GCA values, A1 and A10 had the highest potential as parents for improving biomass yield. Significant SCA effects, maternal effects, and high parent heterosis were found </w:t>
      </w:r>
      <w:r>
        <w:lastRenderedPageBreak/>
        <w:t>within all traits. Results for</w:t>
      </w:r>
      <w:r w:rsidR="0001022C">
        <w:t xml:space="preserve"> selection prior to achieving full biomass potential indicate selection</w:t>
      </w:r>
      <w:r>
        <w:t xml:space="preserve"> during the establishment year may be as effective as selection in </w:t>
      </w:r>
      <w:r w:rsidR="0001022C">
        <w:t>the second year</w:t>
      </w:r>
      <w:r>
        <w:t xml:space="preserve">. Results from this study should help breeders identify more efficient and effective methods for improving </w:t>
      </w:r>
      <w:r w:rsidR="00892C10">
        <w:t xml:space="preserve">biofuel </w:t>
      </w:r>
      <w:r>
        <w:t>switchgrass cultivars</w:t>
      </w:r>
      <w:r w:rsidR="00954DB7">
        <w:t xml:space="preserve">. </w:t>
      </w:r>
      <w:r>
        <w:t xml:space="preserve"> </w:t>
      </w:r>
    </w:p>
    <w:p w14:paraId="36611FB7" w14:textId="77777777" w:rsidR="00596A40" w:rsidRPr="00BA3F3D" w:rsidRDefault="00596A40" w:rsidP="009B24A0">
      <w:pPr>
        <w:pStyle w:val="Heading2"/>
      </w:pPr>
      <w:bookmarkStart w:id="51" w:name="_Toc404069832"/>
      <w:r w:rsidRPr="00BA3F3D">
        <w:t>Introduction</w:t>
      </w:r>
      <w:bookmarkEnd w:id="51"/>
    </w:p>
    <w:p w14:paraId="470A8439" w14:textId="7D72F5DA" w:rsidR="00596A40" w:rsidRPr="00BA3F3D" w:rsidRDefault="00596A40" w:rsidP="00596A40">
      <w:pPr>
        <w:ind w:firstLine="720"/>
        <w:rPr>
          <w:rFonts w:eastAsiaTheme="minorHAnsi" w:cs="Times New Roman"/>
          <w:szCs w:val="22"/>
        </w:rPr>
      </w:pPr>
      <w:r w:rsidRPr="00BA3F3D">
        <w:rPr>
          <w:rFonts w:eastAsiaTheme="minorHAnsi" w:cs="Times New Roman"/>
          <w:szCs w:val="22"/>
        </w:rPr>
        <w:t xml:space="preserve">Switchgrass is a warm season perennial grass, native to North American prairie lands </w:t>
      </w:r>
      <w:r w:rsidR="00301182" w:rsidRPr="00BA3F3D">
        <w:rPr>
          <w:rFonts w:eastAsiaTheme="minorHAnsi" w:cs="Times New Roman"/>
          <w:szCs w:val="22"/>
        </w:rPr>
        <w:fldChar w:fldCharType="begin"/>
      </w:r>
      <w:r w:rsidRPr="00BA3F3D">
        <w:rPr>
          <w:rFonts w:eastAsiaTheme="minorHAnsi" w:cs="Times New Roman"/>
          <w:szCs w:val="22"/>
        </w:rPr>
        <w:instrText xml:space="preserve"> ADDIN EN.CITE &lt;EndNote&gt;&lt;Cite&gt;&lt;Author&gt;Newell&lt;/Author&gt;&lt;Year&gt;1961&lt;/Year&gt;&lt;RecNum&gt;16&lt;/RecNum&gt;&lt;DisplayText&gt;(Newell and Eberhart, 1961)&lt;/DisplayText&gt;&lt;record&gt;&lt;rec-number&gt;16&lt;/rec-number&gt;&lt;foreign-keys&gt;&lt;key app="EN" db-id="sax2wrdsssrrrnetz9lvvd2xw25z5retvfpp"&gt;16&lt;/key&gt;&lt;/foreign-keys&gt;&lt;ref-type name="Journal Article"&gt;17&lt;/ref-type&gt;&lt;contributors&gt;&lt;authors&gt;&lt;author&gt;Newell, L.C.&lt;/author&gt;&lt;author&gt;Eberhart, S.A.&lt;/author&gt;&lt;/authors&gt;&lt;/contributors&gt;&lt;titles&gt;&lt;title&gt;&lt;style face="normal" font="default" size="100%"&gt;Clone and progeny evaluation in the improvement of switchgrass, &lt;/style&gt;&lt;style face="italic" font="default" size="100%"&gt;Panicum virgatum &lt;/style&gt;&lt;style face="normal" font="default" size="100%"&gt;L.&lt;/style&gt;&lt;/title&gt;&lt;secondary-title&gt;Crop Science&lt;/secondary-title&gt;&lt;/titles&gt;&lt;periodical&gt;&lt;full-title&gt;Crop Science&lt;/full-title&gt;&lt;/periodical&gt;&lt;pages&gt;117-121&lt;/pages&gt;&lt;volume&gt;1&lt;/volume&gt;&lt;section&gt;117&lt;/section&gt;&lt;dates&gt;&lt;year&gt;1961&lt;/year&gt;&lt;/dates&gt;&lt;urls&gt;&lt;/urls&gt;&lt;/record&gt;&lt;/Cite&gt;&lt;/EndNote&gt;</w:instrText>
      </w:r>
      <w:r w:rsidR="00301182" w:rsidRPr="00BA3F3D">
        <w:rPr>
          <w:rFonts w:eastAsiaTheme="minorHAnsi" w:cs="Times New Roman"/>
          <w:szCs w:val="22"/>
        </w:rPr>
        <w:fldChar w:fldCharType="separate"/>
      </w:r>
      <w:r w:rsidRPr="00BA3F3D">
        <w:rPr>
          <w:rFonts w:eastAsiaTheme="minorHAnsi" w:cs="Times New Roman"/>
          <w:noProof/>
          <w:szCs w:val="22"/>
        </w:rPr>
        <w:t>(</w:t>
      </w:r>
      <w:hyperlink w:anchor="_ENREF_74" w:tooltip="Newell, 1961 #1" w:history="1">
        <w:r w:rsidR="00FB5014" w:rsidRPr="00BA3F3D">
          <w:rPr>
            <w:rFonts w:eastAsiaTheme="minorHAnsi" w:cs="Times New Roman"/>
            <w:noProof/>
            <w:szCs w:val="22"/>
          </w:rPr>
          <w:t>Newell and Eberhart, 1961</w:t>
        </w:r>
      </w:hyperlink>
      <w:r w:rsidRPr="00BA3F3D">
        <w:rPr>
          <w:rFonts w:eastAsiaTheme="minorHAnsi" w:cs="Times New Roman"/>
          <w:noProof/>
          <w:szCs w:val="22"/>
        </w:rPr>
        <w:t>)</w:t>
      </w:r>
      <w:r w:rsidR="00301182" w:rsidRPr="00BA3F3D">
        <w:rPr>
          <w:rFonts w:eastAsiaTheme="minorHAnsi" w:cs="Times New Roman"/>
          <w:szCs w:val="22"/>
        </w:rPr>
        <w:fldChar w:fldCharType="end"/>
      </w:r>
      <w:r w:rsidRPr="00BA3F3D">
        <w:rPr>
          <w:rFonts w:eastAsiaTheme="minorHAnsi" w:cs="Times New Roman"/>
          <w:szCs w:val="22"/>
        </w:rPr>
        <w:t>. It is important both as a forage crop and, more recently, as a biofuel crop. While progress has been made on breeding switchgrass as a forage crop, the ideal composition of traits for switchgrass used as a biofuel crop and the genetic parameters associated with those traits are still</w:t>
      </w:r>
      <w:r w:rsidR="0001022C">
        <w:rPr>
          <w:rFonts w:eastAsiaTheme="minorHAnsi" w:cs="Times New Roman"/>
          <w:szCs w:val="22"/>
        </w:rPr>
        <w:t xml:space="preserve"> largely</w:t>
      </w:r>
      <w:r w:rsidRPr="00BA3F3D">
        <w:rPr>
          <w:rFonts w:eastAsiaTheme="minorHAnsi" w:cs="Times New Roman"/>
          <w:szCs w:val="22"/>
        </w:rPr>
        <w:t xml:space="preserve"> undefined. </w:t>
      </w:r>
    </w:p>
    <w:p w14:paraId="797F6940" w14:textId="46C4839A" w:rsidR="00596A40" w:rsidRPr="00BA3F3D" w:rsidRDefault="00596A40" w:rsidP="00596A40">
      <w:pPr>
        <w:ind w:firstLine="720"/>
        <w:rPr>
          <w:rFonts w:eastAsiaTheme="minorHAnsi" w:cs="Times New Roman"/>
          <w:szCs w:val="22"/>
        </w:rPr>
      </w:pPr>
      <w:r w:rsidRPr="00BA3F3D">
        <w:rPr>
          <w:rFonts w:eastAsiaTheme="minorHAnsi" w:cs="Times New Roman"/>
          <w:szCs w:val="22"/>
        </w:rPr>
        <w:t>Switchgrass breeding programs have focused primarily on improving forage</w:t>
      </w:r>
      <w:r w:rsidR="00646D1A">
        <w:rPr>
          <w:rFonts w:eastAsiaTheme="minorHAnsi" w:cs="Times New Roman"/>
          <w:szCs w:val="22"/>
        </w:rPr>
        <w:t>/</w:t>
      </w:r>
      <w:r w:rsidRPr="00BA3F3D">
        <w:rPr>
          <w:rFonts w:eastAsiaTheme="minorHAnsi" w:cs="Times New Roman"/>
          <w:szCs w:val="22"/>
        </w:rPr>
        <w:t xml:space="preserve">biomass yield and </w:t>
      </w:r>
      <w:r w:rsidR="00646D1A">
        <w:rPr>
          <w:rFonts w:eastAsiaTheme="minorHAnsi" w:cs="Times New Roman"/>
          <w:szCs w:val="22"/>
        </w:rPr>
        <w:t xml:space="preserve">forage </w:t>
      </w:r>
      <w:r w:rsidRPr="00BA3F3D">
        <w:rPr>
          <w:rFonts w:eastAsiaTheme="minorHAnsi" w:cs="Times New Roman"/>
          <w:szCs w:val="22"/>
        </w:rPr>
        <w:t xml:space="preserve">quality. Heritability estimates for </w:t>
      </w:r>
      <w:r>
        <w:rPr>
          <w:rFonts w:eastAsiaTheme="minorHAnsi" w:cs="Times New Roman"/>
          <w:szCs w:val="22"/>
        </w:rPr>
        <w:t xml:space="preserve">biomass </w:t>
      </w:r>
      <w:r w:rsidRPr="00BA3F3D">
        <w:rPr>
          <w:rFonts w:eastAsiaTheme="minorHAnsi" w:cs="Times New Roman"/>
          <w:szCs w:val="22"/>
        </w:rPr>
        <w:t xml:space="preserve">yield are relatively low and vary by population. Published narrow sense heritability values </w:t>
      </w:r>
      <w:r>
        <w:rPr>
          <w:rFonts w:eastAsiaTheme="minorHAnsi" w:cs="Times New Roman"/>
          <w:szCs w:val="22"/>
        </w:rPr>
        <w:t>for biomass yield</w:t>
      </w:r>
      <w:r w:rsidR="00412B11">
        <w:rPr>
          <w:rFonts w:eastAsiaTheme="minorHAnsi" w:cs="Times New Roman"/>
          <w:szCs w:val="22"/>
        </w:rPr>
        <w:t>,</w:t>
      </w:r>
      <w:r>
        <w:rPr>
          <w:rFonts w:eastAsiaTheme="minorHAnsi" w:cs="Times New Roman"/>
          <w:szCs w:val="22"/>
        </w:rPr>
        <w:t xml:space="preserve"> </w:t>
      </w:r>
      <w:r w:rsidRPr="00BA3F3D">
        <w:rPr>
          <w:rFonts w:eastAsiaTheme="minorHAnsi" w:cs="Times New Roman"/>
          <w:szCs w:val="22"/>
        </w:rPr>
        <w:t>calculated using parent pro</w:t>
      </w:r>
      <w:r w:rsidR="0001022C">
        <w:rPr>
          <w:rFonts w:eastAsiaTheme="minorHAnsi" w:cs="Times New Roman"/>
          <w:szCs w:val="22"/>
        </w:rPr>
        <w:t>geny regression</w:t>
      </w:r>
      <w:r w:rsidR="00412B11">
        <w:rPr>
          <w:rFonts w:eastAsiaTheme="minorHAnsi" w:cs="Times New Roman"/>
          <w:szCs w:val="22"/>
        </w:rPr>
        <w:t>,</w:t>
      </w:r>
      <w:r w:rsidR="0001022C">
        <w:rPr>
          <w:rFonts w:eastAsiaTheme="minorHAnsi" w:cs="Times New Roman"/>
          <w:szCs w:val="22"/>
        </w:rPr>
        <w:t xml:space="preserve"> range from 0.12 to </w:t>
      </w:r>
      <w:r w:rsidRPr="00BA3F3D">
        <w:rPr>
          <w:rFonts w:eastAsiaTheme="minorHAnsi" w:cs="Times New Roman"/>
          <w:szCs w:val="22"/>
        </w:rPr>
        <w:t>0.29</w:t>
      </w:r>
      <w:r w:rsidR="0001022C">
        <w:rPr>
          <w:rFonts w:eastAsiaTheme="minorHAnsi" w:cs="Times New Roman"/>
          <w:szCs w:val="22"/>
        </w:rPr>
        <w:t xml:space="preserve"> </w:t>
      </w:r>
      <w:r w:rsidRPr="00BA3F3D">
        <w:rPr>
          <w:rFonts w:eastAsiaTheme="minorHAnsi" w:cs="Times New Roman"/>
          <w:szCs w:val="22"/>
        </w:rPr>
        <w:t>in lowland populations, 0.22</w:t>
      </w:r>
      <w:r w:rsidR="0001022C">
        <w:rPr>
          <w:rFonts w:eastAsiaTheme="minorHAnsi" w:cs="Times New Roman"/>
          <w:szCs w:val="22"/>
        </w:rPr>
        <w:t xml:space="preserve"> to </w:t>
      </w:r>
      <w:r w:rsidRPr="00BA3F3D">
        <w:rPr>
          <w:rFonts w:eastAsiaTheme="minorHAnsi" w:cs="Times New Roman"/>
          <w:szCs w:val="22"/>
        </w:rPr>
        <w:t>0.47 in upland populations, and 0.05</w:t>
      </w:r>
      <w:r w:rsidR="0001022C">
        <w:rPr>
          <w:rFonts w:eastAsiaTheme="minorHAnsi" w:cs="Times New Roman"/>
          <w:szCs w:val="22"/>
        </w:rPr>
        <w:t xml:space="preserve"> to </w:t>
      </w:r>
      <w:r w:rsidRPr="00BA3F3D">
        <w:rPr>
          <w:rFonts w:eastAsiaTheme="minorHAnsi" w:cs="Times New Roman"/>
          <w:szCs w:val="22"/>
        </w:rPr>
        <w:t xml:space="preserve">0.52 in populations not classified as lowland or upland </w:t>
      </w:r>
      <w:r w:rsidR="00301182" w:rsidRPr="00BA3F3D">
        <w:rPr>
          <w:rFonts w:eastAsiaTheme="minorHAnsi" w:cs="Times New Roman"/>
          <w:szCs w:val="22"/>
        </w:rPr>
        <w:fldChar w:fldCharType="begin">
          <w:fldData xml:space="preserve">PEVuZE5vdGU+PENpdGU+PEF1dGhvcj5CaGFuZGFyaTwvQXV0aG9yPjxZZWFyPjIwMTA8L1llYXI+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</w:fldData>
        </w:fldChar>
      </w:r>
      <w:r w:rsidR="00B7572A">
        <w:rPr>
          <w:rFonts w:eastAsiaTheme="minorHAnsi" w:cs="Times New Roman"/>
          <w:szCs w:val="22"/>
        </w:rPr>
        <w:instrText xml:space="preserve"> ADDIN EN.CITE </w:instrText>
      </w:r>
      <w:r w:rsidR="00B7572A">
        <w:rPr>
          <w:rFonts w:eastAsiaTheme="minorHAnsi" w:cs="Times New Roman"/>
          <w:szCs w:val="22"/>
        </w:rPr>
        <w:fldChar w:fldCharType="begin">
          <w:fldData xml:space="preserve">PEVuZE5vdGU+PENpdGU+PEF1dGhvcj5CaGFuZGFyaTwvQXV0aG9yPjxZZWFyPjIwMTA8L1llYXI+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</w:fldData>
        </w:fldChar>
      </w:r>
      <w:r w:rsidR="00B7572A">
        <w:rPr>
          <w:rFonts w:eastAsiaTheme="minorHAnsi" w:cs="Times New Roman"/>
          <w:szCs w:val="22"/>
        </w:rPr>
        <w:instrText xml:space="preserve"> ADDIN EN.CITE.DATA </w:instrText>
      </w:r>
      <w:r w:rsidR="00B7572A">
        <w:rPr>
          <w:rFonts w:eastAsiaTheme="minorHAnsi" w:cs="Times New Roman"/>
          <w:szCs w:val="22"/>
        </w:rPr>
      </w:r>
      <w:r w:rsidR="00B7572A">
        <w:rPr>
          <w:rFonts w:eastAsiaTheme="minorHAnsi" w:cs="Times New Roman"/>
          <w:szCs w:val="22"/>
        </w:rPr>
        <w:fldChar w:fldCharType="end"/>
      </w:r>
      <w:r w:rsidR="00301182" w:rsidRPr="00BA3F3D">
        <w:rPr>
          <w:rFonts w:eastAsiaTheme="minorHAnsi" w:cs="Times New Roman"/>
          <w:szCs w:val="22"/>
        </w:rPr>
      </w:r>
      <w:r w:rsidR="00301182" w:rsidRPr="00BA3F3D">
        <w:rPr>
          <w:rFonts w:eastAsiaTheme="minorHAnsi" w:cs="Times New Roman"/>
          <w:szCs w:val="22"/>
        </w:rPr>
        <w:fldChar w:fldCharType="separate"/>
      </w:r>
      <w:r w:rsidR="00B7572A">
        <w:rPr>
          <w:rFonts w:eastAsiaTheme="minorHAnsi" w:cs="Times New Roman"/>
          <w:noProof/>
          <w:szCs w:val="22"/>
        </w:rPr>
        <w:t>(</w:t>
      </w:r>
      <w:hyperlink w:anchor="_ENREF_12" w:tooltip="Bhandari, 2010 #199" w:history="1">
        <w:r w:rsidR="00FB5014">
          <w:rPr>
            <w:rFonts w:eastAsiaTheme="minorHAnsi" w:cs="Times New Roman"/>
            <w:noProof/>
            <w:szCs w:val="22"/>
          </w:rPr>
          <w:t>Bhandari et al., 2010</w:t>
        </w:r>
      </w:hyperlink>
      <w:r w:rsidR="00B7572A">
        <w:rPr>
          <w:rFonts w:eastAsiaTheme="minorHAnsi" w:cs="Times New Roman"/>
          <w:noProof/>
          <w:szCs w:val="22"/>
        </w:rPr>
        <w:t xml:space="preserve">; </w:t>
      </w:r>
      <w:hyperlink w:anchor="_ENREF_48" w:tooltip="Hopkins, 1993 #201" w:history="1">
        <w:r w:rsidR="00FB5014">
          <w:rPr>
            <w:rFonts w:eastAsiaTheme="minorHAnsi" w:cs="Times New Roman"/>
            <w:noProof/>
            <w:szCs w:val="22"/>
          </w:rPr>
          <w:t>Hopkins et al., 1993</w:t>
        </w:r>
      </w:hyperlink>
      <w:r w:rsidR="00B7572A">
        <w:rPr>
          <w:rFonts w:eastAsiaTheme="minorHAnsi" w:cs="Times New Roman"/>
          <w:noProof/>
          <w:szCs w:val="22"/>
        </w:rPr>
        <w:t xml:space="preserve">; </w:t>
      </w:r>
      <w:hyperlink w:anchor="_ENREF_82" w:tooltip="Rose, 2007 #204" w:history="1">
        <w:r w:rsidR="00FB5014">
          <w:rPr>
            <w:rFonts w:eastAsiaTheme="minorHAnsi" w:cs="Times New Roman"/>
            <w:noProof/>
            <w:szCs w:val="22"/>
          </w:rPr>
          <w:t>Rose et al., 2007</w:t>
        </w:r>
      </w:hyperlink>
      <w:r w:rsidR="00B7572A">
        <w:rPr>
          <w:rFonts w:eastAsiaTheme="minorHAnsi" w:cs="Times New Roman"/>
          <w:noProof/>
          <w:szCs w:val="22"/>
        </w:rPr>
        <w:t xml:space="preserve">; </w:t>
      </w:r>
      <w:hyperlink w:anchor="_ENREF_92" w:tooltip="Talbert, 1983 #197" w:history="1">
        <w:r w:rsidR="00FB5014">
          <w:rPr>
            <w:rFonts w:eastAsiaTheme="minorHAnsi" w:cs="Times New Roman"/>
            <w:noProof/>
            <w:szCs w:val="22"/>
          </w:rPr>
          <w:t>Talbert et al., 1983</w:t>
        </w:r>
      </w:hyperlink>
      <w:r w:rsidR="00B7572A">
        <w:rPr>
          <w:rFonts w:eastAsiaTheme="minorHAnsi" w:cs="Times New Roman"/>
          <w:noProof/>
          <w:szCs w:val="22"/>
        </w:rPr>
        <w:t>)</w:t>
      </w:r>
      <w:r w:rsidR="00301182" w:rsidRPr="00BA3F3D">
        <w:rPr>
          <w:rFonts w:eastAsiaTheme="minorHAnsi" w:cs="Times New Roman"/>
          <w:szCs w:val="22"/>
        </w:rPr>
        <w:fldChar w:fldCharType="end"/>
      </w:r>
      <w:r w:rsidRPr="00BA3F3D">
        <w:rPr>
          <w:rFonts w:eastAsiaTheme="minorHAnsi" w:cs="Times New Roman"/>
          <w:szCs w:val="22"/>
        </w:rPr>
        <w:t>. In order to develop an ideal selection type, assessments have been made of the relati</w:t>
      </w:r>
      <w:r w:rsidR="00646D1A">
        <w:rPr>
          <w:rFonts w:eastAsiaTheme="minorHAnsi" w:cs="Times New Roman"/>
          <w:szCs w:val="22"/>
        </w:rPr>
        <w:t xml:space="preserve">onship between biomass yield and/or forage </w:t>
      </w:r>
      <w:r w:rsidRPr="00BA3F3D">
        <w:rPr>
          <w:rFonts w:eastAsiaTheme="minorHAnsi" w:cs="Times New Roman"/>
          <w:szCs w:val="22"/>
        </w:rPr>
        <w:t xml:space="preserve">quality and numerous morphological traits including, but not limited to, plant height, tiller number, leaf blade width, leaf blade length, stem width, seed weight, disease, and seed mass per panicle </w:t>
      </w:r>
      <w:r w:rsidR="00301182" w:rsidRPr="00BA3F3D">
        <w:rPr>
          <w:rFonts w:eastAsiaTheme="minorHAnsi" w:cs="Times New Roman"/>
          <w:szCs w:val="22"/>
        </w:rPr>
        <w:fldChar w:fldCharType="begin">
          <w:fldData xml:space="preserve">PEVuZE5vdGU+PENpdGU+PEF1dGhvcj5CaGFuZGFyaTwvQXV0aG9yPjxZZWFyPjIwMTA8L1llYXI+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</w:fldData>
        </w:fldChar>
      </w:r>
      <w:r w:rsidR="00B7572A">
        <w:rPr>
          <w:rFonts w:eastAsiaTheme="minorHAnsi" w:cs="Times New Roman"/>
          <w:szCs w:val="22"/>
        </w:rPr>
        <w:instrText xml:space="preserve"> ADDIN EN.CITE </w:instrText>
      </w:r>
      <w:r w:rsidR="00B7572A">
        <w:rPr>
          <w:rFonts w:eastAsiaTheme="minorHAnsi" w:cs="Times New Roman"/>
          <w:szCs w:val="22"/>
        </w:rPr>
        <w:fldChar w:fldCharType="begin">
          <w:fldData xml:space="preserve">PEVuZE5vdGU+PENpdGU+PEF1dGhvcj5CaGFuZGFyaTwvQXV0aG9yPjxZZWFyPjIwMTA8L1llYXI+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</w:fldData>
        </w:fldChar>
      </w:r>
      <w:r w:rsidR="00B7572A">
        <w:rPr>
          <w:rFonts w:eastAsiaTheme="minorHAnsi" w:cs="Times New Roman"/>
          <w:szCs w:val="22"/>
        </w:rPr>
        <w:instrText xml:space="preserve"> ADDIN EN.CITE.DATA </w:instrText>
      </w:r>
      <w:r w:rsidR="00B7572A">
        <w:rPr>
          <w:rFonts w:eastAsiaTheme="minorHAnsi" w:cs="Times New Roman"/>
          <w:szCs w:val="22"/>
        </w:rPr>
      </w:r>
      <w:r w:rsidR="00B7572A">
        <w:rPr>
          <w:rFonts w:eastAsiaTheme="minorHAnsi" w:cs="Times New Roman"/>
          <w:szCs w:val="22"/>
        </w:rPr>
        <w:fldChar w:fldCharType="end"/>
      </w:r>
      <w:r w:rsidR="00301182" w:rsidRPr="00BA3F3D">
        <w:rPr>
          <w:rFonts w:eastAsiaTheme="minorHAnsi" w:cs="Times New Roman"/>
          <w:szCs w:val="22"/>
        </w:rPr>
      </w:r>
      <w:r w:rsidR="00301182" w:rsidRPr="00BA3F3D">
        <w:rPr>
          <w:rFonts w:eastAsiaTheme="minorHAnsi" w:cs="Times New Roman"/>
          <w:szCs w:val="22"/>
        </w:rPr>
        <w:fldChar w:fldCharType="separate"/>
      </w:r>
      <w:r w:rsidR="00B7572A">
        <w:rPr>
          <w:rFonts w:eastAsiaTheme="minorHAnsi" w:cs="Times New Roman"/>
          <w:noProof/>
          <w:szCs w:val="22"/>
        </w:rPr>
        <w:t>(</w:t>
      </w:r>
      <w:hyperlink w:anchor="_ENREF_12" w:tooltip="Bhandari, 2010 #199" w:history="1">
        <w:r w:rsidR="00FB5014">
          <w:rPr>
            <w:rFonts w:eastAsiaTheme="minorHAnsi" w:cs="Times New Roman"/>
            <w:noProof/>
            <w:szCs w:val="22"/>
          </w:rPr>
          <w:t>Bhandari et al., 2010</w:t>
        </w:r>
      </w:hyperlink>
      <w:r w:rsidR="00B7572A">
        <w:rPr>
          <w:rFonts w:eastAsiaTheme="minorHAnsi" w:cs="Times New Roman"/>
          <w:noProof/>
          <w:szCs w:val="22"/>
        </w:rPr>
        <w:t xml:space="preserve">; </w:t>
      </w:r>
      <w:hyperlink w:anchor="_ENREF_14" w:tooltip="Boe, 2007 #198" w:history="1">
        <w:r w:rsidR="00FB5014">
          <w:rPr>
            <w:rFonts w:eastAsiaTheme="minorHAnsi" w:cs="Times New Roman"/>
            <w:noProof/>
            <w:szCs w:val="22"/>
          </w:rPr>
          <w:t>Boe, 2007</w:t>
        </w:r>
      </w:hyperlink>
      <w:r w:rsidR="00B7572A">
        <w:rPr>
          <w:rFonts w:eastAsiaTheme="minorHAnsi" w:cs="Times New Roman"/>
          <w:noProof/>
          <w:szCs w:val="22"/>
        </w:rPr>
        <w:t xml:space="preserve">; </w:t>
      </w:r>
      <w:hyperlink w:anchor="_ENREF_29" w:tooltip="Das, 2004 #254" w:history="1">
        <w:r w:rsidR="00FB5014">
          <w:rPr>
            <w:rFonts w:eastAsiaTheme="minorHAnsi" w:cs="Times New Roman"/>
            <w:noProof/>
            <w:szCs w:val="22"/>
          </w:rPr>
          <w:t>Das et al., 2004</w:t>
        </w:r>
      </w:hyperlink>
      <w:r w:rsidR="00B7572A">
        <w:rPr>
          <w:rFonts w:eastAsiaTheme="minorHAnsi" w:cs="Times New Roman"/>
          <w:noProof/>
          <w:szCs w:val="22"/>
        </w:rPr>
        <w:t xml:space="preserve">; </w:t>
      </w:r>
      <w:hyperlink w:anchor="_ENREF_74" w:tooltip="Newell, 1961 #1" w:history="1">
        <w:r w:rsidR="00FB5014">
          <w:rPr>
            <w:rFonts w:eastAsiaTheme="minorHAnsi" w:cs="Times New Roman"/>
            <w:noProof/>
            <w:szCs w:val="22"/>
          </w:rPr>
          <w:t>Newell and Eberhart, 1961</w:t>
        </w:r>
      </w:hyperlink>
      <w:r w:rsidR="00B7572A">
        <w:rPr>
          <w:rFonts w:eastAsiaTheme="minorHAnsi" w:cs="Times New Roman"/>
          <w:noProof/>
          <w:szCs w:val="22"/>
        </w:rPr>
        <w:t xml:space="preserve">; </w:t>
      </w:r>
      <w:hyperlink w:anchor="_ENREF_89" w:tooltip="Smart, 2004 #200" w:history="1">
        <w:r w:rsidR="00FB5014">
          <w:rPr>
            <w:rFonts w:eastAsiaTheme="minorHAnsi" w:cs="Times New Roman"/>
            <w:noProof/>
            <w:szCs w:val="22"/>
          </w:rPr>
          <w:t>Smart et al., 2004</w:t>
        </w:r>
      </w:hyperlink>
      <w:r w:rsidR="00B7572A">
        <w:rPr>
          <w:rFonts w:eastAsiaTheme="minorHAnsi" w:cs="Times New Roman"/>
          <w:noProof/>
          <w:szCs w:val="22"/>
        </w:rPr>
        <w:t xml:space="preserve">; </w:t>
      </w:r>
      <w:hyperlink w:anchor="_ENREF_92" w:tooltip="Talbert, 1983 #197" w:history="1">
        <w:r w:rsidR="00FB5014">
          <w:rPr>
            <w:rFonts w:eastAsiaTheme="minorHAnsi" w:cs="Times New Roman"/>
            <w:noProof/>
            <w:szCs w:val="22"/>
          </w:rPr>
          <w:t>Talbert et al., 1983</w:t>
        </w:r>
      </w:hyperlink>
      <w:r w:rsidR="00B7572A">
        <w:rPr>
          <w:rFonts w:eastAsiaTheme="minorHAnsi" w:cs="Times New Roman"/>
          <w:noProof/>
          <w:szCs w:val="22"/>
        </w:rPr>
        <w:t>)</w:t>
      </w:r>
      <w:r w:rsidR="00301182" w:rsidRPr="00BA3F3D">
        <w:rPr>
          <w:rFonts w:eastAsiaTheme="minorHAnsi" w:cs="Times New Roman"/>
          <w:szCs w:val="22"/>
        </w:rPr>
        <w:fldChar w:fldCharType="end"/>
      </w:r>
      <w:r w:rsidRPr="00BA3F3D">
        <w:rPr>
          <w:rFonts w:eastAsiaTheme="minorHAnsi" w:cs="Times New Roman"/>
          <w:szCs w:val="22"/>
        </w:rPr>
        <w:t xml:space="preserve">. These correlations aid in the selection process by identifying </w:t>
      </w:r>
      <w:r w:rsidRPr="00BA3F3D">
        <w:rPr>
          <w:rFonts w:eastAsiaTheme="minorHAnsi" w:cs="Times New Roman"/>
          <w:szCs w:val="22"/>
        </w:rPr>
        <w:lastRenderedPageBreak/>
        <w:t xml:space="preserve">associated </w:t>
      </w:r>
      <w:r w:rsidR="00646D1A">
        <w:rPr>
          <w:rFonts w:eastAsiaTheme="minorHAnsi" w:cs="Times New Roman"/>
          <w:szCs w:val="22"/>
        </w:rPr>
        <w:t>traits</w:t>
      </w:r>
      <w:r w:rsidRPr="00BA3F3D">
        <w:rPr>
          <w:rFonts w:eastAsiaTheme="minorHAnsi" w:cs="Times New Roman"/>
          <w:szCs w:val="22"/>
        </w:rPr>
        <w:t xml:space="preserve"> and allowing for selection of traits that can be measured earlier or more easily than the trait of interest. </w:t>
      </w:r>
    </w:p>
    <w:p w14:paraId="27F5C7B1" w14:textId="053A9C21" w:rsidR="005108A2" w:rsidRPr="00BA3F3D" w:rsidRDefault="00596A40" w:rsidP="005108A2">
      <w:pPr>
        <w:ind w:firstLine="720"/>
        <w:rPr>
          <w:rFonts w:eastAsiaTheme="minorHAnsi" w:cs="Times New Roman"/>
          <w:szCs w:val="22"/>
        </w:rPr>
      </w:pPr>
      <w:r w:rsidRPr="00BA3F3D">
        <w:rPr>
          <w:rFonts w:eastAsiaTheme="minorHAnsi" w:cs="Times New Roman"/>
          <w:szCs w:val="22"/>
        </w:rPr>
        <w:t>Reports of significant correlations between yield and varying morphological traits include correlations of yield with tillering (r</w:t>
      </w:r>
      <w:r w:rsidR="006D29C5">
        <w:rPr>
          <w:rFonts w:eastAsiaTheme="minorHAnsi" w:cs="Times New Roman"/>
          <w:szCs w:val="22"/>
        </w:rPr>
        <w:t xml:space="preserve"> </w:t>
      </w:r>
      <w:r w:rsidRPr="00BA3F3D">
        <w:rPr>
          <w:rFonts w:eastAsiaTheme="minorHAnsi" w:cs="Times New Roman"/>
          <w:szCs w:val="22"/>
        </w:rPr>
        <w:t>=</w:t>
      </w:r>
      <w:r w:rsidR="006D29C5">
        <w:rPr>
          <w:rFonts w:eastAsiaTheme="minorHAnsi" w:cs="Times New Roman"/>
          <w:szCs w:val="22"/>
        </w:rPr>
        <w:t xml:space="preserve"> </w:t>
      </w:r>
      <w:r w:rsidRPr="00BA3F3D">
        <w:rPr>
          <w:rFonts w:eastAsiaTheme="minorHAnsi" w:cs="Times New Roman"/>
          <w:szCs w:val="22"/>
        </w:rPr>
        <w:t>0.60</w:t>
      </w:r>
      <w:r w:rsidR="005108A2">
        <w:rPr>
          <w:rFonts w:eastAsiaTheme="minorHAnsi" w:cs="Times New Roman"/>
          <w:szCs w:val="22"/>
        </w:rPr>
        <w:t xml:space="preserve"> </w:t>
      </w:r>
      <w:r w:rsidR="00153AE9">
        <w:rPr>
          <w:rFonts w:eastAsiaTheme="minorHAnsi" w:cs="Times New Roman"/>
          <w:szCs w:val="22"/>
        </w:rPr>
        <w:t xml:space="preserve">to </w:t>
      </w:r>
      <w:r w:rsidR="005108A2">
        <w:rPr>
          <w:rFonts w:eastAsiaTheme="minorHAnsi" w:cs="Times New Roman"/>
          <w:szCs w:val="22"/>
        </w:rPr>
        <w:t xml:space="preserve">0.73) </w:t>
      </w:r>
      <w:r w:rsidR="00301182" w:rsidRPr="00BA3F3D">
        <w:rPr>
          <w:rFonts w:eastAsiaTheme="minorHAnsi" w:cs="Times New Roman"/>
          <w:szCs w:val="22"/>
        </w:rPr>
        <w:fldChar w:fldCharType="begin"/>
      </w:r>
      <w:r w:rsidR="00B7572A">
        <w:rPr>
          <w:rFonts w:eastAsiaTheme="minorHAnsi" w:cs="Times New Roman"/>
          <w:szCs w:val="22"/>
        </w:rPr>
        <w:instrText xml:space="preserve"> ADDIN EN.CITE &lt;EndNote&gt;&lt;Cite&gt;&lt;Author&gt;Das&lt;/Author&gt;&lt;Year&gt;2004&lt;/Year&gt;&lt;RecNum&gt;254&lt;/RecNum&gt;&lt;DisplayText&gt;(Bhandari et al., 2010; Das et al., 2004)&lt;/DisplayText&gt;&lt;record&gt;&lt;rec-number&gt;254&lt;/rec-number&gt;&lt;foreign-keys&gt;&lt;key app="EN" db-id="9zfxt259rawwvce0pfa5efeuatdw0pz5va5z" timestamp="1323887731"&gt;254&lt;/key&gt;&lt;/foreign-keys&gt;&lt;ref-type name="Journal Article"&gt;17&lt;/ref-type&gt;&lt;contributors&gt;&lt;authors&gt;&lt;author&gt;Das, M. K.&lt;/author&gt;&lt;author&gt;Fuentes, R. G.&lt;/author&gt;&lt;author&gt;Taliaferro, C. M.&lt;/author&gt;&lt;/authors&gt;&lt;/contributors&gt;&lt;titles&gt;&lt;title&gt;Genetic variability and trait relationships in switchgrass&lt;/title&gt;&lt;secondary-title&gt;Crop Sci.&lt;/secondary-title&gt;&lt;/titles&gt;&lt;periodical&gt;&lt;full-title&gt;Crop Sci.&lt;/full-title&gt;&lt;/periodical&gt;&lt;pages&gt;443-448&lt;/pages&gt;&lt;volume&gt;44&lt;/volume&gt;&lt;section&gt;443&lt;/section&gt;&lt;dates&gt;&lt;year&gt;2004&lt;/year&gt;&lt;/dates&gt;&lt;urls&gt;&lt;/urls&gt;&lt;/record&gt;&lt;/Cite&gt;&lt;Cite&gt;&lt;Author&gt;Bhandari&lt;/Author&gt;&lt;Year&gt;2010&lt;/Year&gt;&lt;RecNum&gt;199&lt;/RecNum&gt;&lt;record&gt;&lt;rec-number&gt;199&lt;/rec-number&gt;&lt;foreign-keys&gt;&lt;key app="EN" db-id="9zfxt259rawwvce0pfa5efeuatdw0pz5va5z" timestamp="1316030756"&gt;199&lt;/key&gt;&lt;/foreign-keys&gt;&lt;ref-type name="Journal Article"&gt;17&lt;/ref-type&gt;&lt;contributors&gt;&lt;authors&gt;&lt;author&gt;Bhandari, H.S.&lt;/author&gt;&lt;author&gt;Saha, M.C.&lt;/author&gt;&lt;author&gt;Mascia, P.N.&lt;/author&gt;&lt;author&gt;Fasoula, V.A.&lt;/author&gt;&lt;author&gt;Bouton, J.H.&lt;/author&gt;&lt;/authors&gt;&lt;/contributors&gt;&lt;titles&gt;&lt;title&gt;&lt;style face="normal" font="default" size="100%"&gt;Variation among half-sib families and heritability for biomass yield and other traits in lowland switchgrass (&lt;/style&gt;&lt;style face="italic" font="default" size="100%"&gt;Panicum virgatum&lt;/style&gt;&lt;style face="normal" font="default" size="100%"&gt; L.)&lt;/style&gt;&lt;/title&gt;&lt;secondary-title&gt;Crop Sci.&lt;/secondary-title&gt;&lt;/titles&gt;&lt;periodical&gt;&lt;full-title&gt;Crop Sci.&lt;/full-title&gt;&lt;/periodical&gt;&lt;pages&gt;2355-2363&lt;/pages&gt;&lt;volume&gt;50&lt;/volume&gt;&lt;section&gt;2355&lt;/section&gt;&lt;dates&gt;&lt;year&gt;2010&lt;/year&gt;&lt;/dates&gt;&lt;urls&gt;&lt;/urls&gt;&lt;/record&gt;&lt;/Cite&gt;&lt;/EndNote&gt;</w:instrText>
      </w:r>
      <w:r w:rsidR="00301182" w:rsidRPr="00BA3F3D">
        <w:rPr>
          <w:rFonts w:eastAsiaTheme="minorHAnsi" w:cs="Times New Roman"/>
          <w:szCs w:val="22"/>
        </w:rPr>
        <w:fldChar w:fldCharType="separate"/>
      </w:r>
      <w:r w:rsidR="00B7572A">
        <w:rPr>
          <w:rFonts w:eastAsiaTheme="minorHAnsi" w:cs="Times New Roman"/>
          <w:noProof/>
          <w:szCs w:val="22"/>
        </w:rPr>
        <w:t>(</w:t>
      </w:r>
      <w:hyperlink w:anchor="_ENREF_12" w:tooltip="Bhandari, 2010 #199" w:history="1">
        <w:r w:rsidR="00FB5014">
          <w:rPr>
            <w:rFonts w:eastAsiaTheme="minorHAnsi" w:cs="Times New Roman"/>
            <w:noProof/>
            <w:szCs w:val="22"/>
          </w:rPr>
          <w:t>Bhandari et al., 2010</w:t>
        </w:r>
      </w:hyperlink>
      <w:r w:rsidR="00B7572A">
        <w:rPr>
          <w:rFonts w:eastAsiaTheme="minorHAnsi" w:cs="Times New Roman"/>
          <w:noProof/>
          <w:szCs w:val="22"/>
        </w:rPr>
        <w:t xml:space="preserve">; </w:t>
      </w:r>
      <w:hyperlink w:anchor="_ENREF_29" w:tooltip="Das, 2004 #254" w:history="1">
        <w:r w:rsidR="00FB5014">
          <w:rPr>
            <w:rFonts w:eastAsiaTheme="minorHAnsi" w:cs="Times New Roman"/>
            <w:noProof/>
            <w:szCs w:val="22"/>
          </w:rPr>
          <w:t>Das et al., 2004</w:t>
        </w:r>
      </w:hyperlink>
      <w:r w:rsidR="00B7572A">
        <w:rPr>
          <w:rFonts w:eastAsiaTheme="minorHAnsi" w:cs="Times New Roman"/>
          <w:noProof/>
          <w:szCs w:val="22"/>
        </w:rPr>
        <w:t>)</w:t>
      </w:r>
      <w:r w:rsidR="00301182" w:rsidRPr="00BA3F3D">
        <w:rPr>
          <w:rFonts w:eastAsiaTheme="minorHAnsi" w:cs="Times New Roman"/>
          <w:szCs w:val="22"/>
        </w:rPr>
        <w:fldChar w:fldCharType="end"/>
      </w:r>
      <w:r w:rsidR="005108A2">
        <w:rPr>
          <w:rFonts w:eastAsiaTheme="minorHAnsi" w:cs="Times New Roman"/>
          <w:szCs w:val="22"/>
        </w:rPr>
        <w:t xml:space="preserve">, </w:t>
      </w:r>
      <w:r w:rsidRPr="00BA3F3D">
        <w:rPr>
          <w:rFonts w:eastAsiaTheme="minorHAnsi" w:cs="Times New Roman"/>
          <w:szCs w:val="22"/>
        </w:rPr>
        <w:t>height (r</w:t>
      </w:r>
      <w:r w:rsidR="006D29C5">
        <w:rPr>
          <w:rFonts w:eastAsiaTheme="minorHAnsi" w:cs="Times New Roman"/>
          <w:szCs w:val="22"/>
        </w:rPr>
        <w:t xml:space="preserve"> </w:t>
      </w:r>
      <w:r w:rsidRPr="00BA3F3D">
        <w:rPr>
          <w:rFonts w:eastAsiaTheme="minorHAnsi" w:cs="Times New Roman"/>
          <w:szCs w:val="22"/>
        </w:rPr>
        <w:t>=</w:t>
      </w:r>
      <w:r w:rsidR="006D29C5">
        <w:rPr>
          <w:rFonts w:eastAsiaTheme="minorHAnsi" w:cs="Times New Roman"/>
          <w:szCs w:val="22"/>
        </w:rPr>
        <w:t xml:space="preserve"> </w:t>
      </w:r>
      <w:r w:rsidRPr="00BA3F3D">
        <w:rPr>
          <w:rFonts w:eastAsiaTheme="minorHAnsi" w:cs="Times New Roman"/>
          <w:szCs w:val="22"/>
        </w:rPr>
        <w:t>0.39</w:t>
      </w:r>
      <w:r w:rsidR="005108A2">
        <w:rPr>
          <w:rFonts w:eastAsiaTheme="minorHAnsi" w:cs="Times New Roman"/>
          <w:szCs w:val="22"/>
        </w:rPr>
        <w:t xml:space="preserve"> to 0.69) </w:t>
      </w:r>
      <w:r w:rsidR="00301182">
        <w:rPr>
          <w:rFonts w:eastAsiaTheme="minorHAnsi" w:cs="Times New Roman"/>
          <w:szCs w:val="22"/>
        </w:rPr>
        <w:fldChar w:fldCharType="begin"/>
      </w:r>
      <w:r w:rsidR="00B7572A">
        <w:rPr>
          <w:rFonts w:eastAsiaTheme="minorHAnsi" w:cs="Times New Roman"/>
          <w:szCs w:val="22"/>
        </w:rPr>
        <w:instrText xml:space="preserve"> ADDIN EN.CITE &lt;EndNote&gt;&lt;Cite&gt;&lt;Author&gt;Newell&lt;/Author&gt;&lt;Year&gt;1961&lt;/Year&gt;&lt;RecNum&gt;244&lt;/RecNum&gt;&lt;DisplayText&gt;(Newell and Eberhart, 1961; Talbert et al., 1983)&lt;/DisplayText&gt;&lt;record&gt;&lt;rec-number&gt;244&lt;/rec-number&gt;&lt;foreign-keys&gt;&lt;key app="EN" db-id="9zfxt259rawwvce0pfa5efeuatdw0pz5va5z" timestamp="1323887729"&gt;244&lt;/key&gt;&lt;/foreign-keys&gt;&lt;ref-type name="Journal Article"&gt;17&lt;/ref-type&gt;&lt;contributors&gt;&lt;authors&gt;&lt;author&gt;Newell, L.C.&lt;/author&gt;&lt;author&gt;Eberhart, S.A.&lt;/author&gt;&lt;/authors&gt;&lt;/contributors&gt;&lt;titles&gt;&lt;title&gt;&lt;style face="normal" font="default" size="100%"&gt;Clone and progeny evaluation in the improvement of switchgrass, &lt;/style&gt;&lt;style face="italic" font="default" size="100%"&gt;Panicum virgatum &lt;/style&gt;&lt;style face="normal" font="default" size="100%"&gt;L.&lt;/style&gt;&lt;/title&gt;&lt;secondary-title&gt;Crop Sci.&lt;/secondary-title&gt;&lt;/titles&gt;&lt;periodical&gt;&lt;full-title&gt;Crop Sci.&lt;/full-title&gt;&lt;/periodical&gt;&lt;pages&gt;117-121&lt;/pages&gt;&lt;volume&gt;1&lt;/volume&gt;&lt;section&gt;117&lt;/section&gt;&lt;dates&gt;&lt;year&gt;1961&lt;/year&gt;&lt;/dates&gt;&lt;urls&gt;&lt;/urls&gt;&lt;/record&gt;&lt;/Cite&gt;&lt;Cite&gt;&lt;Author&gt;Talbert&lt;/Author&gt;&lt;Year&gt;1983&lt;/Year&gt;&lt;RecNum&gt;197&lt;/RecNum&gt;&lt;record&gt;&lt;rec-number&gt;197&lt;/rec-number&gt;&lt;foreign-keys&gt;&lt;key app="EN" db-id="9zfxt259rawwvce0pfa5efeuatdw0pz5va5z" timestamp="1312483817"&gt;197&lt;/key&gt;&lt;/foreign-keys&gt;&lt;ref-type name="Journal Article"&gt;17&lt;/ref-type&gt;&lt;contributors&gt;&lt;authors&gt;&lt;author&gt;Talbert, L.E.&lt;/author&gt;&lt;author&gt;Timothy, D.H.&lt;/author&gt;&lt;author&gt;Burns, J.C.&lt;/author&gt;&lt;author&gt;Rawlings, J.O.&lt;/author&gt;&lt;author&gt;Moll, R.H.&lt;/author&gt;&lt;/authors&gt;&lt;/contributors&gt;&lt;titles&gt;&lt;title&gt;Estimates of genetic parameters in switchgrass&lt;/title&gt;&lt;secondary-title&gt;Crop Sci.&lt;/secondary-title&gt;&lt;/titles&gt;&lt;periodical&gt;&lt;full-title&gt;Crop Sci.&lt;/full-title&gt;&lt;/periodical&gt;&lt;pages&gt;725-728&lt;/pages&gt;&lt;volume&gt;23&lt;/volume&gt;&lt;dates&gt;&lt;year&gt;1983&lt;/year&gt;&lt;/dates&gt;&lt;urls&gt;&lt;/urls&gt;&lt;/record&gt;&lt;/Cite&gt;&lt;/EndNote&gt;</w:instrText>
      </w:r>
      <w:r w:rsidR="00301182">
        <w:rPr>
          <w:rFonts w:eastAsiaTheme="minorHAnsi" w:cs="Times New Roman"/>
          <w:szCs w:val="22"/>
        </w:rPr>
        <w:fldChar w:fldCharType="separate"/>
      </w:r>
      <w:r w:rsidR="00B7572A">
        <w:rPr>
          <w:rFonts w:eastAsiaTheme="minorHAnsi" w:cs="Times New Roman"/>
          <w:noProof/>
          <w:szCs w:val="22"/>
        </w:rPr>
        <w:t>(</w:t>
      </w:r>
      <w:hyperlink w:anchor="_ENREF_73" w:tooltip="Newell, 1961 #244" w:history="1">
        <w:r w:rsidR="00FB5014">
          <w:rPr>
            <w:rFonts w:eastAsiaTheme="minorHAnsi" w:cs="Times New Roman"/>
            <w:noProof/>
            <w:szCs w:val="22"/>
          </w:rPr>
          <w:t>Newell and Eberhart, 1961</w:t>
        </w:r>
      </w:hyperlink>
      <w:r w:rsidR="00B7572A">
        <w:rPr>
          <w:rFonts w:eastAsiaTheme="minorHAnsi" w:cs="Times New Roman"/>
          <w:noProof/>
          <w:szCs w:val="22"/>
        </w:rPr>
        <w:t xml:space="preserve">; </w:t>
      </w:r>
      <w:hyperlink w:anchor="_ENREF_92" w:tooltip="Talbert, 1983 #197" w:history="1">
        <w:r w:rsidR="00FB5014">
          <w:rPr>
            <w:rFonts w:eastAsiaTheme="minorHAnsi" w:cs="Times New Roman"/>
            <w:noProof/>
            <w:szCs w:val="22"/>
          </w:rPr>
          <w:t>Talbert et al., 1983</w:t>
        </w:r>
      </w:hyperlink>
      <w:r w:rsidR="00B7572A">
        <w:rPr>
          <w:rFonts w:eastAsiaTheme="minorHAnsi" w:cs="Times New Roman"/>
          <w:noProof/>
          <w:szCs w:val="22"/>
        </w:rPr>
        <w:t>)</w:t>
      </w:r>
      <w:r w:rsidR="00301182">
        <w:rPr>
          <w:rFonts w:eastAsiaTheme="minorHAnsi" w:cs="Times New Roman"/>
          <w:szCs w:val="22"/>
        </w:rPr>
        <w:fldChar w:fldCharType="end"/>
      </w:r>
      <w:r w:rsidR="005108A2">
        <w:rPr>
          <w:rFonts w:eastAsiaTheme="minorHAnsi" w:cs="Times New Roman"/>
          <w:szCs w:val="22"/>
        </w:rPr>
        <w:t xml:space="preserve">, </w:t>
      </w:r>
      <w:r w:rsidRPr="00BA3F3D">
        <w:rPr>
          <w:rFonts w:eastAsiaTheme="minorHAnsi" w:cs="Times New Roman"/>
          <w:szCs w:val="22"/>
        </w:rPr>
        <w:t>number of tillers m</w:t>
      </w:r>
      <w:r w:rsidRPr="00BA3F3D">
        <w:rPr>
          <w:rFonts w:eastAsiaTheme="minorHAnsi" w:cs="Times New Roman"/>
          <w:szCs w:val="22"/>
          <w:vertAlign w:val="superscript"/>
        </w:rPr>
        <w:t>-2</w:t>
      </w:r>
      <w:r w:rsidRPr="00BA3F3D">
        <w:rPr>
          <w:rFonts w:eastAsiaTheme="minorHAnsi" w:cs="Times New Roman"/>
          <w:szCs w:val="22"/>
        </w:rPr>
        <w:t xml:space="preserve"> (r</w:t>
      </w:r>
      <w:r w:rsidR="006D29C5">
        <w:rPr>
          <w:rFonts w:eastAsiaTheme="minorHAnsi" w:cs="Times New Roman"/>
          <w:szCs w:val="22"/>
        </w:rPr>
        <w:t xml:space="preserve"> </w:t>
      </w:r>
      <w:r w:rsidRPr="00BA3F3D">
        <w:rPr>
          <w:rFonts w:eastAsiaTheme="minorHAnsi" w:cs="Times New Roman"/>
          <w:szCs w:val="22"/>
        </w:rPr>
        <w:t>=</w:t>
      </w:r>
      <w:r w:rsidR="006D29C5">
        <w:rPr>
          <w:rFonts w:eastAsiaTheme="minorHAnsi" w:cs="Times New Roman"/>
          <w:szCs w:val="22"/>
        </w:rPr>
        <w:t xml:space="preserve"> </w:t>
      </w:r>
      <w:r w:rsidRPr="00BA3F3D">
        <w:rPr>
          <w:rFonts w:eastAsiaTheme="minorHAnsi" w:cs="Times New Roman"/>
          <w:szCs w:val="22"/>
        </w:rPr>
        <w:t xml:space="preserve">0.08) </w:t>
      </w:r>
      <w:r w:rsidR="00301182" w:rsidRPr="00BA3F3D">
        <w:rPr>
          <w:rFonts w:eastAsiaTheme="minorHAnsi" w:cs="Times New Roman"/>
          <w:szCs w:val="22"/>
        </w:rPr>
        <w:fldChar w:fldCharType="begin"/>
      </w:r>
      <w:r w:rsidRPr="00BA3F3D">
        <w:rPr>
          <w:rFonts w:eastAsiaTheme="minorHAnsi" w:cs="Times New Roman"/>
          <w:szCs w:val="22"/>
        </w:rPr>
        <w:instrText xml:space="preserve"> ADDIN EN.CITE &lt;EndNote&gt;&lt;Cite&gt;&lt;Author&gt;Boe&lt;/Author&gt;&lt;Year&gt;2007&lt;/Year&gt;&lt;RecNum&gt;198&lt;/RecNum&gt;&lt;DisplayText&gt;(Boe, 2007)&lt;/DisplayText&gt;&lt;record&gt;&lt;rec-number&gt;198&lt;/rec-number&gt;&lt;foreign-keys&gt;&lt;key app="EN" db-id="9zfxt259rawwvce0pfa5efeuatdw0pz5va5z" timestamp="1312490937"&gt;198&lt;/key&gt;&lt;/foreign-keys&gt;&lt;ref-type name="Journal Article"&gt;17&lt;/ref-type&gt;&lt;contributors&gt;&lt;authors&gt;&lt;author&gt;Boe, A.&lt;/author&gt;&lt;/authors&gt;&lt;/contributors&gt;&lt;titles&gt;&lt;title&gt;Variation between two switchgrass cultivars for components of vegetative and seed biomass&lt;/title&gt;&lt;secondary-title&gt;Crop Sci.&lt;/secondary-title&gt;&lt;/titles&gt;&lt;periodical&gt;&lt;full-title&gt;Crop Sci.&lt;/full-title&gt;&lt;/periodical&gt;&lt;pages&gt;636-642&lt;/pages&gt;&lt;volume&gt;47&lt;/volume&gt;&lt;dates&gt;&lt;year&gt;2007&lt;/year&gt;&lt;/dates&gt;&lt;urls&gt;&lt;/urls&gt;&lt;/record&gt;&lt;/Cite&gt;&lt;/EndNote&gt;</w:instrText>
      </w:r>
      <w:r w:rsidR="00301182" w:rsidRPr="00BA3F3D">
        <w:rPr>
          <w:rFonts w:eastAsiaTheme="minorHAnsi" w:cs="Times New Roman"/>
          <w:szCs w:val="22"/>
        </w:rPr>
        <w:fldChar w:fldCharType="separate"/>
      </w:r>
      <w:r w:rsidRPr="00BA3F3D">
        <w:rPr>
          <w:rFonts w:eastAsiaTheme="minorHAnsi" w:cs="Times New Roman"/>
          <w:noProof/>
          <w:szCs w:val="22"/>
        </w:rPr>
        <w:t>(</w:t>
      </w:r>
      <w:hyperlink w:anchor="_ENREF_14" w:tooltip="Boe, 2007 #198" w:history="1">
        <w:r w:rsidR="00FB5014" w:rsidRPr="00BA3F3D">
          <w:rPr>
            <w:rFonts w:eastAsiaTheme="minorHAnsi" w:cs="Times New Roman"/>
            <w:noProof/>
            <w:szCs w:val="22"/>
          </w:rPr>
          <w:t>Boe, 2007</w:t>
        </w:r>
      </w:hyperlink>
      <w:r w:rsidRPr="00BA3F3D">
        <w:rPr>
          <w:rFonts w:eastAsiaTheme="minorHAnsi" w:cs="Times New Roman"/>
          <w:noProof/>
          <w:szCs w:val="22"/>
        </w:rPr>
        <w:t>)</w:t>
      </w:r>
      <w:r w:rsidR="00301182" w:rsidRPr="00BA3F3D">
        <w:rPr>
          <w:rFonts w:eastAsiaTheme="minorHAnsi" w:cs="Times New Roman"/>
          <w:szCs w:val="22"/>
        </w:rPr>
        <w:fldChar w:fldCharType="end"/>
      </w:r>
      <w:r w:rsidRPr="00BA3F3D">
        <w:rPr>
          <w:rFonts w:eastAsiaTheme="minorHAnsi" w:cs="Times New Roman"/>
          <w:szCs w:val="22"/>
        </w:rPr>
        <w:t>, number of reproductive tillers m</w:t>
      </w:r>
      <w:r w:rsidRPr="00BA3F3D">
        <w:rPr>
          <w:rFonts w:eastAsiaTheme="minorHAnsi" w:cs="Times New Roman"/>
          <w:szCs w:val="22"/>
          <w:vertAlign w:val="superscript"/>
        </w:rPr>
        <w:t>-2</w:t>
      </w:r>
      <w:r w:rsidRPr="00BA3F3D">
        <w:rPr>
          <w:rFonts w:eastAsiaTheme="minorHAnsi" w:cs="Times New Roman"/>
          <w:szCs w:val="22"/>
        </w:rPr>
        <w:t xml:space="preserve"> (r</w:t>
      </w:r>
      <w:r w:rsidR="006D29C5">
        <w:rPr>
          <w:rFonts w:eastAsiaTheme="minorHAnsi" w:cs="Times New Roman"/>
          <w:szCs w:val="22"/>
        </w:rPr>
        <w:t xml:space="preserve"> </w:t>
      </w:r>
      <w:r w:rsidRPr="00BA3F3D">
        <w:rPr>
          <w:rFonts w:eastAsiaTheme="minorHAnsi" w:cs="Times New Roman"/>
          <w:szCs w:val="22"/>
        </w:rPr>
        <w:t>=</w:t>
      </w:r>
      <w:r w:rsidR="006D29C5">
        <w:rPr>
          <w:rFonts w:eastAsiaTheme="minorHAnsi" w:cs="Times New Roman"/>
          <w:szCs w:val="22"/>
        </w:rPr>
        <w:t xml:space="preserve"> </w:t>
      </w:r>
      <w:r w:rsidRPr="00BA3F3D">
        <w:rPr>
          <w:rFonts w:eastAsiaTheme="minorHAnsi" w:cs="Times New Roman"/>
          <w:szCs w:val="22"/>
        </w:rPr>
        <w:t xml:space="preserve">0.77) </w:t>
      </w:r>
      <w:r w:rsidR="00301182" w:rsidRPr="00BA3F3D">
        <w:rPr>
          <w:rFonts w:eastAsiaTheme="minorHAnsi" w:cs="Times New Roman"/>
          <w:szCs w:val="22"/>
        </w:rPr>
        <w:fldChar w:fldCharType="begin"/>
      </w:r>
      <w:r w:rsidRPr="00BA3F3D">
        <w:rPr>
          <w:rFonts w:eastAsiaTheme="minorHAnsi" w:cs="Times New Roman"/>
          <w:szCs w:val="22"/>
        </w:rPr>
        <w:instrText xml:space="preserve"> ADDIN EN.CITE &lt;EndNote&gt;&lt;Cite&gt;&lt;Author&gt;Boe&lt;/Author&gt;&lt;Year&gt;2007&lt;/Year&gt;&lt;RecNum&gt;198&lt;/RecNum&gt;&lt;DisplayText&gt;(Boe, 2007)&lt;/DisplayText&gt;&lt;record&gt;&lt;rec-number&gt;198&lt;/rec-number&gt;&lt;foreign-keys&gt;&lt;key app="EN" db-id="9zfxt259rawwvce0pfa5efeuatdw0pz5va5z" timestamp="1312490937"&gt;198&lt;/key&gt;&lt;/foreign-keys&gt;&lt;ref-type name="Journal Article"&gt;17&lt;/ref-type&gt;&lt;contributors&gt;&lt;authors&gt;&lt;author&gt;Boe, A.&lt;/author&gt;&lt;/authors&gt;&lt;/contributors&gt;&lt;titles&gt;&lt;title&gt;Variation between two switchgrass cultivars for components of vegetative and seed biomass&lt;/title&gt;&lt;secondary-title&gt;Crop Sci.&lt;/secondary-title&gt;&lt;/titles&gt;&lt;periodical&gt;&lt;full-title&gt;Crop Sci.&lt;/full-title&gt;&lt;/periodical&gt;&lt;pages&gt;636-642&lt;/pages&gt;&lt;volume&gt;47&lt;/volume&gt;&lt;dates&gt;&lt;year&gt;2007&lt;/year&gt;&lt;/dates&gt;&lt;urls&gt;&lt;/urls&gt;&lt;/record&gt;&lt;/Cite&gt;&lt;/EndNote&gt;</w:instrText>
      </w:r>
      <w:r w:rsidR="00301182" w:rsidRPr="00BA3F3D">
        <w:rPr>
          <w:rFonts w:eastAsiaTheme="minorHAnsi" w:cs="Times New Roman"/>
          <w:szCs w:val="22"/>
        </w:rPr>
        <w:fldChar w:fldCharType="separate"/>
      </w:r>
      <w:r w:rsidRPr="00BA3F3D">
        <w:rPr>
          <w:rFonts w:eastAsiaTheme="minorHAnsi" w:cs="Times New Roman"/>
          <w:noProof/>
          <w:szCs w:val="22"/>
        </w:rPr>
        <w:t>(</w:t>
      </w:r>
      <w:hyperlink w:anchor="_ENREF_14" w:tooltip="Boe, 2007 #198" w:history="1">
        <w:r w:rsidR="00FB5014" w:rsidRPr="00BA3F3D">
          <w:rPr>
            <w:rFonts w:eastAsiaTheme="minorHAnsi" w:cs="Times New Roman"/>
            <w:noProof/>
            <w:szCs w:val="22"/>
          </w:rPr>
          <w:t>Boe, 2007</w:t>
        </w:r>
      </w:hyperlink>
      <w:r w:rsidRPr="00BA3F3D">
        <w:rPr>
          <w:rFonts w:eastAsiaTheme="minorHAnsi" w:cs="Times New Roman"/>
          <w:noProof/>
          <w:szCs w:val="22"/>
        </w:rPr>
        <w:t>)</w:t>
      </w:r>
      <w:r w:rsidR="00301182" w:rsidRPr="00BA3F3D">
        <w:rPr>
          <w:rFonts w:eastAsiaTheme="minorHAnsi" w:cs="Times New Roman"/>
          <w:szCs w:val="22"/>
        </w:rPr>
        <w:fldChar w:fldCharType="end"/>
      </w:r>
      <w:r w:rsidRPr="00BA3F3D">
        <w:rPr>
          <w:rFonts w:eastAsiaTheme="minorHAnsi" w:cs="Times New Roman"/>
          <w:szCs w:val="22"/>
        </w:rPr>
        <w:t>, and mass tiller</w:t>
      </w:r>
      <w:r w:rsidRPr="00BA3F3D">
        <w:rPr>
          <w:rFonts w:eastAsiaTheme="minorHAnsi" w:cs="Times New Roman"/>
          <w:szCs w:val="22"/>
          <w:vertAlign w:val="superscript"/>
        </w:rPr>
        <w:t>-1</w:t>
      </w:r>
      <w:r w:rsidRPr="00BA3F3D">
        <w:rPr>
          <w:rFonts w:eastAsiaTheme="minorHAnsi" w:cs="Times New Roman"/>
          <w:szCs w:val="22"/>
        </w:rPr>
        <w:t xml:space="preserve"> (</w:t>
      </w:r>
      <w:r w:rsidRPr="006D29C5">
        <w:rPr>
          <w:rFonts w:eastAsiaTheme="minorHAnsi" w:cs="Times New Roman"/>
          <w:szCs w:val="22"/>
        </w:rPr>
        <w:t>r</w:t>
      </w:r>
      <w:r w:rsidR="006D29C5" w:rsidRPr="006D29C5">
        <w:rPr>
          <w:rFonts w:eastAsiaTheme="minorHAnsi" w:cs="Times New Roman"/>
          <w:szCs w:val="22"/>
          <w:vertAlign w:val="superscript"/>
        </w:rPr>
        <w:t xml:space="preserve"> </w:t>
      </w:r>
      <w:r w:rsidRPr="00BA3F3D">
        <w:rPr>
          <w:rFonts w:eastAsiaTheme="minorHAnsi" w:cs="Times New Roman"/>
          <w:szCs w:val="22"/>
        </w:rPr>
        <w:t>=</w:t>
      </w:r>
      <w:r w:rsidR="006D29C5">
        <w:rPr>
          <w:rFonts w:eastAsiaTheme="minorHAnsi" w:cs="Times New Roman"/>
          <w:szCs w:val="22"/>
        </w:rPr>
        <w:t xml:space="preserve"> </w:t>
      </w:r>
      <w:r w:rsidRPr="00BA3F3D">
        <w:rPr>
          <w:rFonts w:eastAsiaTheme="minorHAnsi" w:cs="Times New Roman"/>
          <w:szCs w:val="22"/>
        </w:rPr>
        <w:t xml:space="preserve">0.45) </w:t>
      </w:r>
      <w:r w:rsidR="00301182" w:rsidRPr="00BA3F3D">
        <w:rPr>
          <w:rFonts w:eastAsiaTheme="minorHAnsi" w:cs="Times New Roman"/>
          <w:szCs w:val="22"/>
        </w:rPr>
        <w:fldChar w:fldCharType="begin"/>
      </w:r>
      <w:r w:rsidRPr="00BA3F3D">
        <w:rPr>
          <w:rFonts w:eastAsiaTheme="minorHAnsi" w:cs="Times New Roman"/>
          <w:szCs w:val="22"/>
        </w:rPr>
        <w:instrText xml:space="preserve"> ADDIN EN.CITE &lt;EndNote&gt;&lt;Cite&gt;&lt;Author&gt;Boe&lt;/Author&gt;&lt;Year&gt;2007&lt;/Year&gt;&lt;RecNum&gt;198&lt;/RecNum&gt;&lt;DisplayText&gt;(Boe, 2007)&lt;/DisplayText&gt;&lt;record&gt;&lt;rec-number&gt;198&lt;/rec-number&gt;&lt;foreign-keys&gt;&lt;key app="EN" db-id="9zfxt259rawwvce0pfa5efeuatdw0pz5va5z" timestamp="1312490937"&gt;198&lt;/key&gt;&lt;/foreign-keys&gt;&lt;ref-type name="Journal Article"&gt;17&lt;/ref-type&gt;&lt;contributors&gt;&lt;authors&gt;&lt;author&gt;Boe, A.&lt;/author&gt;&lt;/authors&gt;&lt;/contributors&gt;&lt;titles&gt;&lt;title&gt;Variation between two switchgrass cultivars for components of vegetative and seed biomass&lt;/title&gt;&lt;secondary-title&gt;Crop Sci.&lt;/secondary-title&gt;&lt;/titles&gt;&lt;periodical&gt;&lt;full-title&gt;Crop Sci.&lt;/full-title&gt;&lt;/periodical&gt;&lt;pages&gt;636-642&lt;/pages&gt;&lt;volume&gt;47&lt;/volume&gt;&lt;dates&gt;&lt;year&gt;2007&lt;/year&gt;&lt;/dates&gt;&lt;urls&gt;&lt;/urls&gt;&lt;/record&gt;&lt;/Cite&gt;&lt;/EndNote&gt;</w:instrText>
      </w:r>
      <w:r w:rsidR="00301182" w:rsidRPr="00BA3F3D">
        <w:rPr>
          <w:rFonts w:eastAsiaTheme="minorHAnsi" w:cs="Times New Roman"/>
          <w:szCs w:val="22"/>
        </w:rPr>
        <w:fldChar w:fldCharType="separate"/>
      </w:r>
      <w:r w:rsidRPr="00BA3F3D">
        <w:rPr>
          <w:rFonts w:eastAsiaTheme="minorHAnsi" w:cs="Times New Roman"/>
          <w:noProof/>
          <w:szCs w:val="22"/>
        </w:rPr>
        <w:t>(</w:t>
      </w:r>
      <w:hyperlink w:anchor="_ENREF_14" w:tooltip="Boe, 2007 #198" w:history="1">
        <w:r w:rsidR="00FB5014" w:rsidRPr="00BA3F3D">
          <w:rPr>
            <w:rFonts w:eastAsiaTheme="minorHAnsi" w:cs="Times New Roman"/>
            <w:noProof/>
            <w:szCs w:val="22"/>
          </w:rPr>
          <w:t>Boe, 2007</w:t>
        </w:r>
      </w:hyperlink>
      <w:r w:rsidRPr="00BA3F3D">
        <w:rPr>
          <w:rFonts w:eastAsiaTheme="minorHAnsi" w:cs="Times New Roman"/>
          <w:noProof/>
          <w:szCs w:val="22"/>
        </w:rPr>
        <w:t>)</w:t>
      </w:r>
      <w:r w:rsidR="00301182" w:rsidRPr="00BA3F3D">
        <w:rPr>
          <w:rFonts w:eastAsiaTheme="minorHAnsi" w:cs="Times New Roman"/>
          <w:szCs w:val="22"/>
        </w:rPr>
        <w:fldChar w:fldCharType="end"/>
      </w:r>
      <w:r w:rsidRPr="00BA3F3D">
        <w:rPr>
          <w:rFonts w:eastAsiaTheme="minorHAnsi" w:cs="Times New Roman"/>
          <w:szCs w:val="22"/>
        </w:rPr>
        <w:t>. Results have varied in determining the significance of the relationship between tiller thickness and biomass yield, with a significant co</w:t>
      </w:r>
      <w:r w:rsidR="00797B6E">
        <w:rPr>
          <w:rFonts w:eastAsiaTheme="minorHAnsi" w:cs="Times New Roman"/>
          <w:szCs w:val="22"/>
        </w:rPr>
        <w:t>rrelation (r</w:t>
      </w:r>
      <w:r w:rsidR="006D29C5">
        <w:rPr>
          <w:rFonts w:eastAsiaTheme="minorHAnsi" w:cs="Times New Roman"/>
          <w:szCs w:val="22"/>
        </w:rPr>
        <w:t xml:space="preserve"> </w:t>
      </w:r>
      <w:r w:rsidR="00797B6E">
        <w:rPr>
          <w:rFonts w:eastAsiaTheme="minorHAnsi" w:cs="Times New Roman"/>
          <w:szCs w:val="22"/>
        </w:rPr>
        <w:t>=</w:t>
      </w:r>
      <w:r w:rsidR="006D29C5">
        <w:rPr>
          <w:rFonts w:eastAsiaTheme="minorHAnsi" w:cs="Times New Roman"/>
          <w:szCs w:val="22"/>
        </w:rPr>
        <w:t xml:space="preserve"> </w:t>
      </w:r>
      <w:r w:rsidR="00797B6E">
        <w:rPr>
          <w:rFonts w:eastAsiaTheme="minorHAnsi" w:cs="Times New Roman"/>
          <w:szCs w:val="22"/>
        </w:rPr>
        <w:t>0.38</w:t>
      </w:r>
      <w:r w:rsidRPr="00BA3F3D">
        <w:rPr>
          <w:rFonts w:eastAsiaTheme="minorHAnsi" w:cs="Times New Roman"/>
          <w:szCs w:val="22"/>
        </w:rPr>
        <w:t xml:space="preserve">) reported by Bhandari et al. </w:t>
      </w:r>
      <w:r w:rsidR="00301182" w:rsidRPr="00BA3F3D">
        <w:rPr>
          <w:rFonts w:eastAsiaTheme="minorHAnsi" w:cs="Times New Roman"/>
          <w:szCs w:val="22"/>
        </w:rPr>
        <w:fldChar w:fldCharType="begin"/>
      </w:r>
      <w:r w:rsidRPr="00BA3F3D">
        <w:rPr>
          <w:rFonts w:eastAsiaTheme="minorHAnsi" w:cs="Times New Roman"/>
          <w:szCs w:val="22"/>
        </w:rPr>
        <w:instrText xml:space="preserve"> ADDIN EN.CITE &lt;EndNote&gt;&lt;Cite ExcludeAuth="1"&gt;&lt;Author&gt;Bhandari&lt;/Author&gt;&lt;Year&gt;2010&lt;/Year&gt;&lt;RecNum&gt;199&lt;/RecNum&gt;&lt;DisplayText&gt;(2010)&lt;/DisplayText&gt;&lt;record&gt;&lt;rec-number&gt;199&lt;/rec-number&gt;&lt;foreign-keys&gt;&lt;key app="EN" db-id="9zfxt259rawwvce0pfa5efeuatdw0pz5va5z" timestamp="1316030756"&gt;199&lt;/key&gt;&lt;/foreign-keys&gt;&lt;ref-type name="Journal Article"&gt;17&lt;/ref-type&gt;&lt;contributors&gt;&lt;authors&gt;&lt;author&gt;Bhandari, H.S.&lt;/author&gt;&lt;author&gt;Saha, M.C.&lt;/author&gt;&lt;author&gt;Mascia, P.N.&lt;/author&gt;&lt;author&gt;Fasoula, V.A.&lt;/author&gt;&lt;author&gt;Bouton, J.H.&lt;/author&gt;&lt;/authors&gt;&lt;/contributors&gt;&lt;titles&gt;&lt;title&gt;&lt;style face="normal" font="default" size="100%"&gt;Variation among half-sib families and heritability for biomass yield and other traits in lowland switchgrass (&lt;/style&gt;&lt;style face="italic" font="default" size="100%"&gt;Panicum virgatum&lt;/style&gt;&lt;style face="normal" font="default" size="100%"&gt; L.)&lt;/style&gt;&lt;/title&gt;&lt;secondary-title&gt;Crop Sci.&lt;/secondary-title&gt;&lt;/titles&gt;&lt;periodical&gt;&lt;full-title&gt;Crop Sci.&lt;/full-title&gt;&lt;/periodical&gt;&lt;pages&gt;2355-2363&lt;/pages&gt;&lt;volume&gt;50&lt;/volume&gt;&lt;section&gt;2355&lt;/section&gt;&lt;dates&gt;&lt;year&gt;2010&lt;/year&gt;&lt;/dates&gt;&lt;urls&gt;&lt;/urls&gt;&lt;/record&gt;&lt;/Cite&gt;&lt;/EndNote&gt;</w:instrText>
      </w:r>
      <w:r w:rsidR="00301182" w:rsidRPr="00BA3F3D">
        <w:rPr>
          <w:rFonts w:eastAsiaTheme="minorHAnsi" w:cs="Times New Roman"/>
          <w:szCs w:val="22"/>
        </w:rPr>
        <w:fldChar w:fldCharType="separate"/>
      </w:r>
      <w:r w:rsidRPr="00BA3F3D">
        <w:rPr>
          <w:rFonts w:eastAsiaTheme="minorHAnsi" w:cs="Times New Roman"/>
          <w:noProof/>
          <w:szCs w:val="22"/>
        </w:rPr>
        <w:t>(</w:t>
      </w:r>
      <w:hyperlink w:anchor="_ENREF_12" w:tooltip="Bhandari, 2010 #199" w:history="1">
        <w:r w:rsidR="00FB5014" w:rsidRPr="00BA3F3D">
          <w:rPr>
            <w:rFonts w:eastAsiaTheme="minorHAnsi" w:cs="Times New Roman"/>
            <w:noProof/>
            <w:szCs w:val="22"/>
          </w:rPr>
          <w:t>2010</w:t>
        </w:r>
      </w:hyperlink>
      <w:r w:rsidRPr="00BA3F3D">
        <w:rPr>
          <w:rFonts w:eastAsiaTheme="minorHAnsi" w:cs="Times New Roman"/>
          <w:noProof/>
          <w:szCs w:val="22"/>
        </w:rPr>
        <w:t>)</w:t>
      </w:r>
      <w:r w:rsidR="00301182" w:rsidRPr="00BA3F3D">
        <w:rPr>
          <w:rFonts w:eastAsiaTheme="minorHAnsi" w:cs="Times New Roman"/>
          <w:szCs w:val="22"/>
        </w:rPr>
        <w:fldChar w:fldCharType="end"/>
      </w:r>
      <w:r w:rsidRPr="00BA3F3D">
        <w:rPr>
          <w:rFonts w:eastAsiaTheme="minorHAnsi" w:cs="Times New Roman"/>
          <w:szCs w:val="22"/>
        </w:rPr>
        <w:t xml:space="preserve"> and a non-significant correlation (r</w:t>
      </w:r>
      <w:r w:rsidR="006D29C5">
        <w:rPr>
          <w:rFonts w:eastAsiaTheme="minorHAnsi" w:cs="Times New Roman"/>
          <w:szCs w:val="22"/>
        </w:rPr>
        <w:t xml:space="preserve"> </w:t>
      </w:r>
      <w:r w:rsidRPr="00BA3F3D">
        <w:rPr>
          <w:rFonts w:eastAsiaTheme="minorHAnsi" w:cs="Times New Roman"/>
          <w:szCs w:val="22"/>
        </w:rPr>
        <w:t>=</w:t>
      </w:r>
      <w:r w:rsidR="006D29C5">
        <w:rPr>
          <w:rFonts w:eastAsiaTheme="minorHAnsi" w:cs="Times New Roman"/>
          <w:szCs w:val="22"/>
        </w:rPr>
        <w:t xml:space="preserve"> </w:t>
      </w:r>
      <w:r w:rsidRPr="00BA3F3D">
        <w:rPr>
          <w:rFonts w:eastAsiaTheme="minorHAnsi" w:cs="Times New Roman"/>
          <w:szCs w:val="22"/>
        </w:rPr>
        <w:t xml:space="preserve">0.27) reported by Das et al </w:t>
      </w:r>
      <w:r w:rsidR="00301182" w:rsidRPr="00BA3F3D">
        <w:rPr>
          <w:rFonts w:eastAsiaTheme="minorHAnsi" w:cs="Times New Roman"/>
          <w:szCs w:val="22"/>
        </w:rPr>
        <w:fldChar w:fldCharType="begin"/>
      </w:r>
      <w:r w:rsidRPr="00BA3F3D">
        <w:rPr>
          <w:rFonts w:eastAsiaTheme="minorHAnsi" w:cs="Times New Roman"/>
          <w:szCs w:val="22"/>
        </w:rPr>
        <w:instrText xml:space="preserve"> ADDIN EN.CITE &lt;EndNote&gt;&lt;Cite ExcludeAuth="1"&gt;&lt;Author&gt;Das&lt;/Author&gt;&lt;Year&gt;2004&lt;/Year&gt;&lt;RecNum&gt;254&lt;/RecNum&gt;&lt;DisplayText&gt;(2004)&lt;/DisplayText&gt;&lt;record&gt;&lt;rec-number&gt;254&lt;/rec-number&gt;&lt;foreign-keys&gt;&lt;key app="EN" db-id="9zfxt259rawwvce0pfa5efeuatdw0pz5va5z" timestamp="1323887731"&gt;254&lt;/key&gt;&lt;/foreign-keys&gt;&lt;ref-type name="Journal Article"&gt;17&lt;/ref-type&gt;&lt;contributors&gt;&lt;authors&gt;&lt;author&gt;Das, M. K.&lt;/author&gt;&lt;author&gt;Fuentes, R. G.&lt;/author&gt;&lt;author&gt;Taliaferro, C. M.&lt;/author&gt;&lt;/authors&gt;&lt;/contributors&gt;&lt;titles&gt;&lt;title&gt;Genetic variability and trait relationships in switchgrass&lt;/title&gt;&lt;secondary-title&gt;Crop Sci.&lt;/secondary-title&gt;&lt;/titles&gt;&lt;periodical&gt;&lt;full-title&gt;Crop Sci.&lt;/full-title&gt;&lt;/periodical&gt;&lt;pages&gt;443-448&lt;/pages&gt;&lt;volume&gt;44&lt;/volume&gt;&lt;section&gt;443&lt;/section&gt;&lt;dates&gt;&lt;year&gt;2004&lt;/year&gt;&lt;/dates&gt;&lt;urls&gt;&lt;/urls&gt;&lt;/record&gt;&lt;/Cite&gt;&lt;/EndNote&gt;</w:instrText>
      </w:r>
      <w:r w:rsidR="00301182" w:rsidRPr="00BA3F3D">
        <w:rPr>
          <w:rFonts w:eastAsiaTheme="minorHAnsi" w:cs="Times New Roman"/>
          <w:szCs w:val="22"/>
        </w:rPr>
        <w:fldChar w:fldCharType="separate"/>
      </w:r>
      <w:r w:rsidRPr="00BA3F3D">
        <w:rPr>
          <w:rFonts w:eastAsiaTheme="minorHAnsi" w:cs="Times New Roman"/>
          <w:noProof/>
          <w:szCs w:val="22"/>
        </w:rPr>
        <w:t>(</w:t>
      </w:r>
      <w:hyperlink w:anchor="_ENREF_29" w:tooltip="Das, 2004 #254" w:history="1">
        <w:r w:rsidR="00FB5014" w:rsidRPr="00BA3F3D">
          <w:rPr>
            <w:rFonts w:eastAsiaTheme="minorHAnsi" w:cs="Times New Roman"/>
            <w:noProof/>
            <w:szCs w:val="22"/>
          </w:rPr>
          <w:t>2004</w:t>
        </w:r>
      </w:hyperlink>
      <w:r w:rsidRPr="00BA3F3D">
        <w:rPr>
          <w:rFonts w:eastAsiaTheme="minorHAnsi" w:cs="Times New Roman"/>
          <w:noProof/>
          <w:szCs w:val="22"/>
        </w:rPr>
        <w:t>)</w:t>
      </w:r>
      <w:r w:rsidR="00301182" w:rsidRPr="00BA3F3D">
        <w:rPr>
          <w:rFonts w:eastAsiaTheme="minorHAnsi" w:cs="Times New Roman"/>
          <w:szCs w:val="22"/>
        </w:rPr>
        <w:fldChar w:fldCharType="end"/>
      </w:r>
      <w:r w:rsidRPr="00BA3F3D">
        <w:rPr>
          <w:rFonts w:eastAsiaTheme="minorHAnsi" w:cs="Times New Roman"/>
          <w:szCs w:val="22"/>
        </w:rPr>
        <w:t xml:space="preserve">. </w:t>
      </w:r>
      <w:r w:rsidR="00797B6E">
        <w:rPr>
          <w:rFonts w:eastAsiaTheme="minorHAnsi" w:cs="Times New Roman"/>
          <w:szCs w:val="22"/>
        </w:rPr>
        <w:t xml:space="preserve">The following heritability estimates have also been reported for these traits: </w:t>
      </w:r>
      <w:r w:rsidR="005108A2">
        <w:rPr>
          <w:rFonts w:eastAsiaTheme="minorHAnsi" w:cs="Times New Roman"/>
          <w:szCs w:val="22"/>
        </w:rPr>
        <w:t>tillering (</w:t>
      </w:r>
      <w:r w:rsidR="005108A2" w:rsidRPr="00BA3F3D">
        <w:rPr>
          <w:rFonts w:eastAsiaTheme="minorHAnsi" w:cs="Times New Roman"/>
          <w:szCs w:val="22"/>
        </w:rPr>
        <w:t>h</w:t>
      </w:r>
      <w:r w:rsidR="00646D1A" w:rsidRPr="00646D1A">
        <w:rPr>
          <w:rFonts w:eastAsiaTheme="minorHAnsi" w:cs="Times New Roman"/>
          <w:szCs w:val="22"/>
          <w:vertAlign w:val="superscript"/>
        </w:rPr>
        <w:t>2</w:t>
      </w:r>
      <w:r w:rsidR="00646D1A">
        <w:rPr>
          <w:rFonts w:eastAsiaTheme="minorHAnsi" w:cs="Times New Roman"/>
          <w:szCs w:val="22"/>
        </w:rPr>
        <w:t xml:space="preserve"> </w:t>
      </w:r>
      <w:r w:rsidR="005108A2" w:rsidRPr="00BA3F3D">
        <w:rPr>
          <w:rFonts w:eastAsiaTheme="minorHAnsi" w:cs="Times New Roman"/>
          <w:szCs w:val="22"/>
        </w:rPr>
        <w:t>=</w:t>
      </w:r>
      <w:r w:rsidR="00646D1A">
        <w:rPr>
          <w:rFonts w:eastAsiaTheme="minorHAnsi" w:cs="Times New Roman"/>
          <w:szCs w:val="22"/>
        </w:rPr>
        <w:t xml:space="preserve"> </w:t>
      </w:r>
      <w:r w:rsidR="005108A2" w:rsidRPr="00BA3F3D">
        <w:rPr>
          <w:rFonts w:eastAsiaTheme="minorHAnsi" w:cs="Times New Roman"/>
          <w:szCs w:val="22"/>
        </w:rPr>
        <w:t>0.48</w:t>
      </w:r>
      <w:r w:rsidR="005108A2">
        <w:rPr>
          <w:rFonts w:eastAsiaTheme="minorHAnsi" w:cs="Times New Roman"/>
          <w:szCs w:val="22"/>
        </w:rPr>
        <w:t xml:space="preserve">) </w:t>
      </w:r>
      <w:r w:rsidR="00301182">
        <w:rPr>
          <w:rFonts w:eastAsiaTheme="minorHAnsi" w:cs="Times New Roman"/>
          <w:szCs w:val="22"/>
        </w:rPr>
        <w:fldChar w:fldCharType="begin"/>
      </w:r>
      <w:r w:rsidR="005108A2">
        <w:rPr>
          <w:rFonts w:eastAsiaTheme="minorHAnsi" w:cs="Times New Roman"/>
          <w:szCs w:val="22"/>
        </w:rPr>
        <w:instrText xml:space="preserve"> ADDIN EN.CITE &lt;EndNote&gt;&lt;Cite&gt;&lt;Author&gt;Bhandari&lt;/Author&gt;&lt;Year&gt;2010&lt;/Year&gt;&lt;RecNum&gt;199&lt;/RecNum&gt;&lt;DisplayText&gt;(Bhandari et al., 2010)&lt;/DisplayText&gt;&lt;record&gt;&lt;rec-number&gt;199&lt;/rec-number&gt;&lt;foreign-keys&gt;&lt;key app="EN" db-id="9zfxt259rawwvce0pfa5efeuatdw0pz5va5z" timestamp="1316030756"&gt;199&lt;/key&gt;&lt;/foreign-keys&gt;&lt;ref-type name="Journal Article"&gt;17&lt;/ref-type&gt;&lt;contributors&gt;&lt;authors&gt;&lt;author&gt;Bhandari, H.S.&lt;/author&gt;&lt;author&gt;Saha, M.C.&lt;/author&gt;&lt;author&gt;Mascia, P.N.&lt;/author&gt;&lt;author&gt;Fasoula, V.A.&lt;/author&gt;&lt;author&gt;Bouton, J.H.&lt;/author&gt;&lt;/authors&gt;&lt;/contributors&gt;&lt;titles&gt;&lt;title&gt;&lt;style face="normal" font="default" size="100%"&gt;Variation among half-sib families and heritability for biomass yield and other traits in lowland switchgrass (&lt;/style&gt;&lt;style face="italic" font="default" size="100%"&gt;Panicum virgatum&lt;/style&gt;&lt;style face="normal" font="default" size="100%"&gt; L.)&lt;/style&gt;&lt;/title&gt;&lt;secondary-title&gt;Crop Sci.&lt;/secondary-title&gt;&lt;/titles&gt;&lt;periodical&gt;&lt;full-title&gt;Crop Sci.&lt;/full-title&gt;&lt;/periodical&gt;&lt;pages&gt;2355-2363&lt;/pages&gt;&lt;volume&gt;50&lt;/volume&gt;&lt;section&gt;2355&lt;/section&gt;&lt;dates&gt;&lt;year&gt;2010&lt;/year&gt;&lt;/dates&gt;&lt;urls&gt;&lt;/urls&gt;&lt;/record&gt;&lt;/Cite&gt;&lt;/EndNote&gt;</w:instrText>
      </w:r>
      <w:r w:rsidR="00301182">
        <w:rPr>
          <w:rFonts w:eastAsiaTheme="minorHAnsi" w:cs="Times New Roman"/>
          <w:szCs w:val="22"/>
        </w:rPr>
        <w:fldChar w:fldCharType="separate"/>
      </w:r>
      <w:r w:rsidR="005108A2">
        <w:rPr>
          <w:rFonts w:eastAsiaTheme="minorHAnsi" w:cs="Times New Roman"/>
          <w:noProof/>
          <w:szCs w:val="22"/>
        </w:rPr>
        <w:t>(</w:t>
      </w:r>
      <w:hyperlink w:anchor="_ENREF_12" w:tooltip="Bhandari, 2010 #199" w:history="1">
        <w:r w:rsidR="00FB5014">
          <w:rPr>
            <w:rFonts w:eastAsiaTheme="minorHAnsi" w:cs="Times New Roman"/>
            <w:noProof/>
            <w:szCs w:val="22"/>
          </w:rPr>
          <w:t>Bhandari et al., 2010</w:t>
        </w:r>
      </w:hyperlink>
      <w:r w:rsidR="005108A2">
        <w:rPr>
          <w:rFonts w:eastAsiaTheme="minorHAnsi" w:cs="Times New Roman"/>
          <w:noProof/>
          <w:szCs w:val="22"/>
        </w:rPr>
        <w:t>)</w:t>
      </w:r>
      <w:r w:rsidR="00301182">
        <w:rPr>
          <w:rFonts w:eastAsiaTheme="minorHAnsi" w:cs="Times New Roman"/>
          <w:szCs w:val="22"/>
        </w:rPr>
        <w:fldChar w:fldCharType="end"/>
      </w:r>
      <w:r w:rsidR="005108A2">
        <w:rPr>
          <w:rFonts w:eastAsiaTheme="minorHAnsi" w:cs="Times New Roman"/>
          <w:szCs w:val="22"/>
        </w:rPr>
        <w:t>, height (h</w:t>
      </w:r>
      <w:r w:rsidR="00646D1A">
        <w:rPr>
          <w:rFonts w:eastAsiaTheme="minorHAnsi" w:cs="Times New Roman"/>
          <w:szCs w:val="22"/>
          <w:vertAlign w:val="superscript"/>
        </w:rPr>
        <w:t>2</w:t>
      </w:r>
      <w:r w:rsidR="00646D1A">
        <w:rPr>
          <w:rFonts w:eastAsiaTheme="minorHAnsi" w:cs="Times New Roman"/>
          <w:szCs w:val="22"/>
        </w:rPr>
        <w:t xml:space="preserve"> </w:t>
      </w:r>
      <w:r w:rsidR="005108A2">
        <w:rPr>
          <w:rFonts w:eastAsiaTheme="minorHAnsi" w:cs="Times New Roman"/>
          <w:szCs w:val="22"/>
        </w:rPr>
        <w:t>=</w:t>
      </w:r>
      <w:r w:rsidR="00646D1A">
        <w:rPr>
          <w:rFonts w:eastAsiaTheme="minorHAnsi" w:cs="Times New Roman"/>
          <w:szCs w:val="22"/>
        </w:rPr>
        <w:t xml:space="preserve"> </w:t>
      </w:r>
      <w:r w:rsidR="005108A2">
        <w:rPr>
          <w:rFonts w:eastAsiaTheme="minorHAnsi" w:cs="Times New Roman"/>
          <w:szCs w:val="22"/>
        </w:rPr>
        <w:t xml:space="preserve">0.63 to 1.41) </w:t>
      </w:r>
      <w:r w:rsidR="00301182">
        <w:rPr>
          <w:rFonts w:eastAsiaTheme="minorHAnsi" w:cs="Times New Roman"/>
          <w:szCs w:val="22"/>
        </w:rPr>
        <w:fldChar w:fldCharType="begin"/>
      </w:r>
      <w:r w:rsidR="005108A2">
        <w:rPr>
          <w:rFonts w:eastAsiaTheme="minorHAnsi" w:cs="Times New Roman"/>
          <w:szCs w:val="22"/>
        </w:rPr>
        <w:instrText xml:space="preserve"> ADDIN EN.CITE &lt;EndNote&gt;&lt;Cite&gt;&lt;Author&gt;Newell&lt;/Author&gt;&lt;Year&gt;1961&lt;/Year&gt;&lt;RecNum&gt;244&lt;/RecNum&gt;&lt;DisplayText&gt;(Newell and Eberhart, 1961)&lt;/DisplayText&gt;&lt;record&gt;&lt;rec-number&gt;244&lt;/rec-number&gt;&lt;foreign-keys&gt;&lt;key app="EN" db-id="9zfxt259rawwvce0pfa5efeuatdw0pz5va5z" timestamp="1323887729"&gt;244&lt;/key&gt;&lt;/foreign-keys&gt;&lt;ref-type name="Journal Article"&gt;17&lt;/ref-type&gt;&lt;contributors&gt;&lt;authors&gt;&lt;author&gt;Newell, L.C.&lt;/author&gt;&lt;author&gt;Eberhart, S.A.&lt;/author&gt;&lt;/authors&gt;&lt;/contributors&gt;&lt;titles&gt;&lt;title&gt;&lt;style face="normal" font="default" size="100%"&gt;Clone and progeny evaluation in the improvement of switchgrass, &lt;/style&gt;&lt;style face="italic" font="default" size="100%"&gt;Panicum virgatum &lt;/style&gt;&lt;style face="normal" font="default" size="100%"&gt;L.&lt;/style&gt;&lt;/title&gt;&lt;secondary-title&gt;Crop Sci.&lt;/secondary-title&gt;&lt;/titles&gt;&lt;periodical&gt;&lt;full-title&gt;Crop Sci.&lt;/full-title&gt;&lt;/periodical&gt;&lt;pages&gt;117-121&lt;/pages&gt;&lt;volume&gt;1&lt;/volume&gt;&lt;section&gt;117&lt;/section&gt;&lt;dates&gt;&lt;year&gt;1961&lt;/year&gt;&lt;/dates&gt;&lt;urls&gt;&lt;/urls&gt;&lt;/record&gt;&lt;/Cite&gt;&lt;/EndNote&gt;</w:instrText>
      </w:r>
      <w:r w:rsidR="00301182">
        <w:rPr>
          <w:rFonts w:eastAsiaTheme="minorHAnsi" w:cs="Times New Roman"/>
          <w:szCs w:val="22"/>
        </w:rPr>
        <w:fldChar w:fldCharType="separate"/>
      </w:r>
      <w:r w:rsidR="005108A2">
        <w:rPr>
          <w:rFonts w:eastAsiaTheme="minorHAnsi" w:cs="Times New Roman"/>
          <w:noProof/>
          <w:szCs w:val="22"/>
        </w:rPr>
        <w:t>(</w:t>
      </w:r>
      <w:hyperlink w:anchor="_ENREF_73" w:tooltip="Newell, 1961 #244" w:history="1">
        <w:r w:rsidR="00FB5014">
          <w:rPr>
            <w:rFonts w:eastAsiaTheme="minorHAnsi" w:cs="Times New Roman"/>
            <w:noProof/>
            <w:szCs w:val="22"/>
          </w:rPr>
          <w:t>Newell and Eberhart, 1961</w:t>
        </w:r>
      </w:hyperlink>
      <w:r w:rsidR="005108A2">
        <w:rPr>
          <w:rFonts w:eastAsiaTheme="minorHAnsi" w:cs="Times New Roman"/>
          <w:noProof/>
          <w:szCs w:val="22"/>
        </w:rPr>
        <w:t>)</w:t>
      </w:r>
      <w:r w:rsidR="00301182">
        <w:rPr>
          <w:rFonts w:eastAsiaTheme="minorHAnsi" w:cs="Times New Roman"/>
          <w:szCs w:val="22"/>
        </w:rPr>
        <w:fldChar w:fldCharType="end"/>
      </w:r>
      <w:r w:rsidR="005108A2">
        <w:rPr>
          <w:rFonts w:eastAsiaTheme="minorHAnsi" w:cs="Times New Roman"/>
          <w:szCs w:val="22"/>
        </w:rPr>
        <w:t>, and tiller thickness (h</w:t>
      </w:r>
      <w:r w:rsidR="00646D1A">
        <w:rPr>
          <w:rFonts w:eastAsiaTheme="minorHAnsi" w:cs="Times New Roman"/>
          <w:szCs w:val="22"/>
          <w:vertAlign w:val="superscript"/>
        </w:rPr>
        <w:t>2</w:t>
      </w:r>
      <w:r w:rsidR="00646D1A">
        <w:rPr>
          <w:rFonts w:eastAsiaTheme="minorHAnsi" w:cs="Times New Roman"/>
          <w:szCs w:val="22"/>
        </w:rPr>
        <w:t xml:space="preserve"> </w:t>
      </w:r>
      <w:r w:rsidR="005108A2">
        <w:rPr>
          <w:rFonts w:eastAsiaTheme="minorHAnsi" w:cs="Times New Roman"/>
          <w:szCs w:val="22"/>
        </w:rPr>
        <w:t>=</w:t>
      </w:r>
      <w:r w:rsidR="00646D1A">
        <w:rPr>
          <w:rFonts w:eastAsiaTheme="minorHAnsi" w:cs="Times New Roman"/>
          <w:szCs w:val="22"/>
        </w:rPr>
        <w:t xml:space="preserve"> </w:t>
      </w:r>
      <w:r w:rsidR="005108A2">
        <w:rPr>
          <w:rFonts w:eastAsiaTheme="minorHAnsi" w:cs="Times New Roman"/>
          <w:szCs w:val="22"/>
        </w:rPr>
        <w:t xml:space="preserve">0.27) </w:t>
      </w:r>
      <w:r w:rsidR="00301182">
        <w:rPr>
          <w:rFonts w:eastAsiaTheme="minorHAnsi" w:cs="Times New Roman"/>
          <w:szCs w:val="22"/>
        </w:rPr>
        <w:fldChar w:fldCharType="begin"/>
      </w:r>
      <w:r w:rsidR="005108A2">
        <w:rPr>
          <w:rFonts w:eastAsiaTheme="minorHAnsi" w:cs="Times New Roman"/>
          <w:szCs w:val="22"/>
        </w:rPr>
        <w:instrText xml:space="preserve"> ADDIN EN.CITE &lt;EndNote&gt;&lt;Cite&gt;&lt;Author&gt;Bhandari&lt;/Author&gt;&lt;Year&gt;2010&lt;/Year&gt;&lt;RecNum&gt;199&lt;/RecNum&gt;&lt;DisplayText&gt;(Bhandari et al., 2010)&lt;/DisplayText&gt;&lt;record&gt;&lt;rec-number&gt;199&lt;/rec-number&gt;&lt;foreign-keys&gt;&lt;key app="EN" db-id="9zfxt259rawwvce0pfa5efeuatdw0pz5va5z" timestamp="1316030756"&gt;199&lt;/key&gt;&lt;/foreign-keys&gt;&lt;ref-type name="Journal Article"&gt;17&lt;/ref-type&gt;&lt;contributors&gt;&lt;authors&gt;&lt;author&gt;Bhandari, H.S.&lt;/author&gt;&lt;author&gt;Saha, M.C.&lt;/author&gt;&lt;author&gt;Mascia, P.N.&lt;/author&gt;&lt;author&gt;Fasoula, V.A.&lt;/author&gt;&lt;author&gt;Bouton, J.H.&lt;/author&gt;&lt;/authors&gt;&lt;/contributors&gt;&lt;titles&gt;&lt;title&gt;&lt;style face="normal" font="default" size="100%"&gt;Variation among half-sib families and heritability for biomass yield and other traits in lowland switchgrass (&lt;/style&gt;&lt;style face="italic" font="default" size="100%"&gt;Panicum virgatum&lt;/style&gt;&lt;style face="normal" font="default" size="100%"&gt; L.)&lt;/style&gt;&lt;/title&gt;&lt;secondary-title&gt;Crop Sci.&lt;/secondary-title&gt;&lt;/titles&gt;&lt;periodical&gt;&lt;full-title&gt;Crop Sci.&lt;/full-title&gt;&lt;/periodical&gt;&lt;pages&gt;2355-2363&lt;/pages&gt;&lt;volume&gt;50&lt;/volume&gt;&lt;section&gt;2355&lt;/section&gt;&lt;dates&gt;&lt;year&gt;2010&lt;/year&gt;&lt;/dates&gt;&lt;urls&gt;&lt;/urls&gt;&lt;/record&gt;&lt;/Cite&gt;&lt;/EndNote&gt;</w:instrText>
      </w:r>
      <w:r w:rsidR="00301182">
        <w:rPr>
          <w:rFonts w:eastAsiaTheme="minorHAnsi" w:cs="Times New Roman"/>
          <w:szCs w:val="22"/>
        </w:rPr>
        <w:fldChar w:fldCharType="separate"/>
      </w:r>
      <w:r w:rsidR="005108A2">
        <w:rPr>
          <w:rFonts w:eastAsiaTheme="minorHAnsi" w:cs="Times New Roman"/>
          <w:noProof/>
          <w:szCs w:val="22"/>
        </w:rPr>
        <w:t>(</w:t>
      </w:r>
      <w:hyperlink w:anchor="_ENREF_12" w:tooltip="Bhandari, 2010 #199" w:history="1">
        <w:r w:rsidR="00FB5014">
          <w:rPr>
            <w:rFonts w:eastAsiaTheme="minorHAnsi" w:cs="Times New Roman"/>
            <w:noProof/>
            <w:szCs w:val="22"/>
          </w:rPr>
          <w:t>Bhandari et al., 2010</w:t>
        </w:r>
      </w:hyperlink>
      <w:r w:rsidR="005108A2">
        <w:rPr>
          <w:rFonts w:eastAsiaTheme="minorHAnsi" w:cs="Times New Roman"/>
          <w:noProof/>
          <w:szCs w:val="22"/>
        </w:rPr>
        <w:t>)</w:t>
      </w:r>
      <w:r w:rsidR="00301182">
        <w:rPr>
          <w:rFonts w:eastAsiaTheme="minorHAnsi" w:cs="Times New Roman"/>
          <w:szCs w:val="22"/>
        </w:rPr>
        <w:fldChar w:fldCharType="end"/>
      </w:r>
      <w:r w:rsidR="005108A2">
        <w:rPr>
          <w:rFonts w:eastAsiaTheme="minorHAnsi" w:cs="Times New Roman"/>
          <w:szCs w:val="22"/>
        </w:rPr>
        <w:t>.</w:t>
      </w:r>
      <w:r w:rsidR="00797B6E">
        <w:rPr>
          <w:rFonts w:eastAsiaTheme="minorHAnsi" w:cs="Times New Roman"/>
          <w:szCs w:val="22"/>
        </w:rPr>
        <w:t xml:space="preserve"> Based on these results, an ideal ideotype for high biomass yield would be a tall plant with numerous, thick, reproductive tillers</w:t>
      </w:r>
      <w:r w:rsidR="00954DB7">
        <w:rPr>
          <w:rFonts w:eastAsiaTheme="minorHAnsi" w:cs="Times New Roman"/>
          <w:szCs w:val="22"/>
        </w:rPr>
        <w:t xml:space="preserve">. </w:t>
      </w:r>
      <w:r w:rsidR="005108A2" w:rsidRPr="00BA3F3D">
        <w:rPr>
          <w:rFonts w:eastAsiaTheme="minorHAnsi" w:cs="Times New Roman"/>
          <w:szCs w:val="22"/>
        </w:rPr>
        <w:t xml:space="preserve">  </w:t>
      </w:r>
    </w:p>
    <w:p w14:paraId="1AFAAC7E" w14:textId="030E1281" w:rsidR="00596A40" w:rsidRDefault="00596A40" w:rsidP="00596A40">
      <w:pPr>
        <w:ind w:firstLine="720"/>
        <w:rPr>
          <w:rFonts w:eastAsiaTheme="minorHAnsi" w:cs="Times New Roman"/>
          <w:szCs w:val="22"/>
        </w:rPr>
      </w:pPr>
      <w:r w:rsidRPr="00BA3F3D">
        <w:rPr>
          <w:rFonts w:eastAsiaTheme="minorHAnsi" w:cs="Times New Roman"/>
          <w:szCs w:val="22"/>
        </w:rPr>
        <w:t xml:space="preserve">Additional traits with significant, though smaller, correlations to biomass yield </w:t>
      </w:r>
      <w:r w:rsidR="00797B6E">
        <w:rPr>
          <w:rFonts w:eastAsiaTheme="minorHAnsi" w:cs="Times New Roman"/>
          <w:szCs w:val="22"/>
        </w:rPr>
        <w:t xml:space="preserve">include maturity (r = 0.33) and </w:t>
      </w:r>
      <w:r w:rsidRPr="00BA3F3D">
        <w:rPr>
          <w:rFonts w:eastAsiaTheme="minorHAnsi" w:cs="Times New Roman"/>
          <w:szCs w:val="22"/>
        </w:rPr>
        <w:t xml:space="preserve">percent nitrogen </w:t>
      </w:r>
      <w:r w:rsidR="00797B6E">
        <w:rPr>
          <w:rFonts w:eastAsiaTheme="minorHAnsi" w:cs="Times New Roman"/>
          <w:szCs w:val="22"/>
        </w:rPr>
        <w:t>(</w:t>
      </w:r>
      <w:r w:rsidR="00A61759">
        <w:rPr>
          <w:rFonts w:eastAsiaTheme="minorHAnsi" w:cs="Times New Roman"/>
          <w:szCs w:val="22"/>
        </w:rPr>
        <w:t xml:space="preserve">r = </w:t>
      </w:r>
      <w:r w:rsidR="00797B6E">
        <w:rPr>
          <w:rFonts w:eastAsiaTheme="minorHAnsi" w:cs="Times New Roman"/>
          <w:szCs w:val="22"/>
        </w:rPr>
        <w:t xml:space="preserve">0.44 to </w:t>
      </w:r>
      <w:r w:rsidRPr="00BA3F3D">
        <w:rPr>
          <w:rFonts w:eastAsiaTheme="minorHAnsi" w:cs="Times New Roman"/>
          <w:szCs w:val="22"/>
        </w:rPr>
        <w:t xml:space="preserve">0.67) </w:t>
      </w:r>
      <w:r w:rsidR="00301182" w:rsidRPr="00BA3F3D">
        <w:rPr>
          <w:rFonts w:eastAsiaTheme="minorHAnsi" w:cs="Times New Roman"/>
          <w:szCs w:val="22"/>
        </w:rPr>
        <w:fldChar w:fldCharType="begin"/>
      </w:r>
      <w:r w:rsidRPr="00BA3F3D">
        <w:rPr>
          <w:rFonts w:eastAsiaTheme="minorHAnsi" w:cs="Times New Roman"/>
          <w:szCs w:val="22"/>
        </w:rPr>
        <w:instrText xml:space="preserve"> ADDIN EN.CITE &lt;EndNote&gt;&lt;Cite&gt;&lt;Author&gt;Talbert&lt;/Author&gt;&lt;Year&gt;1983&lt;/Year&gt;&lt;RecNum&gt;197&lt;/RecNum&gt;&lt;DisplayText&gt;(Talbert et al., 1983)&lt;/DisplayText&gt;&lt;record&gt;&lt;rec-number&gt;197&lt;/rec-number&gt;&lt;foreign-keys&gt;&lt;key app="EN" db-id="9zfxt259rawwvce0pfa5efeuatdw0pz5va5z" timestamp="1312483817"&gt;197&lt;/key&gt;&lt;/foreign-keys&gt;&lt;ref-type name="Journal Article"&gt;17&lt;/ref-type&gt;&lt;contributors&gt;&lt;authors&gt;&lt;author&gt;Talbert, L.E.&lt;/author&gt;&lt;author&gt;Timothy, D.H.&lt;/author&gt;&lt;author&gt;Burns, J.C.&lt;/author&gt;&lt;author&gt;Rawlings, J.O.&lt;/author&gt;&lt;author&gt;Moll, R.H.&lt;/author&gt;&lt;/authors&gt;&lt;/contributors&gt;&lt;titles&gt;&lt;title&gt;Estimates of genetic parameters in switchgrass&lt;/title&gt;&lt;secondary-title&gt;Crop Sci.&lt;/secondary-title&gt;&lt;/titles&gt;&lt;periodical&gt;&lt;full-title&gt;Crop Sci.&lt;/full-title&gt;&lt;/periodical&gt;&lt;pages&gt;725-728&lt;/pages&gt;&lt;volume&gt;23&lt;/volume&gt;&lt;dates&gt;&lt;year&gt;1983&lt;/year&gt;&lt;/dates&gt;&lt;urls&gt;&lt;/urls&gt;&lt;/record&gt;&lt;/Cite&gt;&lt;/EndNote&gt;</w:instrText>
      </w:r>
      <w:r w:rsidR="00301182" w:rsidRPr="00BA3F3D">
        <w:rPr>
          <w:rFonts w:eastAsiaTheme="minorHAnsi" w:cs="Times New Roman"/>
          <w:szCs w:val="22"/>
        </w:rPr>
        <w:fldChar w:fldCharType="separate"/>
      </w:r>
      <w:r w:rsidRPr="00BA3F3D">
        <w:rPr>
          <w:rFonts w:eastAsiaTheme="minorHAnsi" w:cs="Times New Roman"/>
          <w:noProof/>
          <w:szCs w:val="22"/>
        </w:rPr>
        <w:t>(</w:t>
      </w:r>
      <w:hyperlink w:anchor="_ENREF_92" w:tooltip="Talbert, 1983 #197" w:history="1">
        <w:r w:rsidR="00FB5014" w:rsidRPr="00BA3F3D">
          <w:rPr>
            <w:rFonts w:eastAsiaTheme="minorHAnsi" w:cs="Times New Roman"/>
            <w:noProof/>
            <w:szCs w:val="22"/>
          </w:rPr>
          <w:t>Talbert et al., 1983</w:t>
        </w:r>
      </w:hyperlink>
      <w:r w:rsidRPr="00BA3F3D">
        <w:rPr>
          <w:rFonts w:eastAsiaTheme="minorHAnsi" w:cs="Times New Roman"/>
          <w:noProof/>
          <w:szCs w:val="22"/>
        </w:rPr>
        <w:t>)</w:t>
      </w:r>
      <w:r w:rsidR="00301182" w:rsidRPr="00BA3F3D">
        <w:rPr>
          <w:rFonts w:eastAsiaTheme="minorHAnsi" w:cs="Times New Roman"/>
          <w:szCs w:val="22"/>
        </w:rPr>
        <w:fldChar w:fldCharType="end"/>
      </w:r>
      <w:r w:rsidR="00797B6E">
        <w:rPr>
          <w:rFonts w:eastAsiaTheme="minorHAnsi" w:cs="Times New Roman"/>
          <w:szCs w:val="22"/>
        </w:rPr>
        <w:t xml:space="preserve"> in lowland populations and </w:t>
      </w:r>
      <w:r w:rsidRPr="00BA3F3D">
        <w:rPr>
          <w:rFonts w:eastAsiaTheme="minorHAnsi" w:cs="Times New Roman"/>
          <w:szCs w:val="22"/>
        </w:rPr>
        <w:t>height of leaves (</w:t>
      </w:r>
      <w:r w:rsidR="00A61759">
        <w:rPr>
          <w:rFonts w:eastAsiaTheme="minorHAnsi" w:cs="Times New Roman"/>
          <w:szCs w:val="22"/>
        </w:rPr>
        <w:t xml:space="preserve">r = </w:t>
      </w:r>
      <w:r w:rsidRPr="00BA3F3D">
        <w:rPr>
          <w:rFonts w:eastAsiaTheme="minorHAnsi" w:cs="Times New Roman"/>
          <w:szCs w:val="22"/>
        </w:rPr>
        <w:t>0.38</w:t>
      </w:r>
      <w:r w:rsidR="00797B6E">
        <w:rPr>
          <w:rFonts w:eastAsiaTheme="minorHAnsi" w:cs="Times New Roman"/>
          <w:szCs w:val="22"/>
        </w:rPr>
        <w:t>),</w:t>
      </w:r>
      <w:r w:rsidRPr="00BA3F3D">
        <w:rPr>
          <w:rFonts w:eastAsiaTheme="minorHAnsi" w:cs="Times New Roman"/>
          <w:szCs w:val="22"/>
        </w:rPr>
        <w:t xml:space="preserve"> seed quality (</w:t>
      </w:r>
      <w:r w:rsidR="00A61759">
        <w:rPr>
          <w:rFonts w:eastAsiaTheme="minorHAnsi" w:cs="Times New Roman"/>
          <w:szCs w:val="22"/>
        </w:rPr>
        <w:t xml:space="preserve">r = </w:t>
      </w:r>
      <w:r w:rsidRPr="00BA3F3D">
        <w:rPr>
          <w:rFonts w:eastAsiaTheme="minorHAnsi" w:cs="Times New Roman"/>
          <w:szCs w:val="22"/>
        </w:rPr>
        <w:t>-0.35</w:t>
      </w:r>
      <w:r w:rsidR="00646D1A">
        <w:rPr>
          <w:rFonts w:eastAsiaTheme="minorHAnsi" w:cs="Times New Roman"/>
          <w:szCs w:val="22"/>
        </w:rPr>
        <w:t>) and</w:t>
      </w:r>
      <w:r w:rsidRPr="00BA3F3D">
        <w:rPr>
          <w:rFonts w:eastAsiaTheme="minorHAnsi" w:cs="Times New Roman"/>
          <w:szCs w:val="22"/>
        </w:rPr>
        <w:t xml:space="preserve"> seed yield (</w:t>
      </w:r>
      <w:r w:rsidR="00A61759">
        <w:rPr>
          <w:rFonts w:eastAsiaTheme="minorHAnsi" w:cs="Times New Roman"/>
          <w:szCs w:val="22"/>
        </w:rPr>
        <w:t xml:space="preserve">r = </w:t>
      </w:r>
      <w:r w:rsidRPr="00BA3F3D">
        <w:rPr>
          <w:rFonts w:eastAsiaTheme="minorHAnsi" w:cs="Times New Roman"/>
          <w:szCs w:val="22"/>
        </w:rPr>
        <w:t>0.31</w:t>
      </w:r>
      <w:r w:rsidR="00797B6E">
        <w:rPr>
          <w:rFonts w:eastAsiaTheme="minorHAnsi" w:cs="Times New Roman"/>
          <w:szCs w:val="22"/>
        </w:rPr>
        <w:t>)</w:t>
      </w:r>
      <w:r w:rsidRPr="00BA3F3D">
        <w:rPr>
          <w:rFonts w:eastAsiaTheme="minorHAnsi" w:cs="Times New Roman"/>
          <w:szCs w:val="22"/>
        </w:rPr>
        <w:t xml:space="preserve"> </w:t>
      </w:r>
      <w:r w:rsidR="00797B6E">
        <w:rPr>
          <w:rFonts w:eastAsiaTheme="minorHAnsi" w:cs="Times New Roman"/>
          <w:szCs w:val="22"/>
        </w:rPr>
        <w:t xml:space="preserve">in a population defined only as </w:t>
      </w:r>
      <w:r w:rsidR="00797B6E" w:rsidRPr="00BA3F3D">
        <w:rPr>
          <w:rFonts w:eastAsiaTheme="minorHAnsi" w:cs="Times New Roman"/>
          <w:szCs w:val="22"/>
        </w:rPr>
        <w:t xml:space="preserve">a medium-tall, blue </w:t>
      </w:r>
      <w:r w:rsidR="00797B6E">
        <w:rPr>
          <w:rFonts w:eastAsiaTheme="minorHAnsi" w:cs="Times New Roman"/>
          <w:szCs w:val="22"/>
        </w:rPr>
        <w:t xml:space="preserve">green </w:t>
      </w:r>
      <w:r w:rsidR="00301182" w:rsidRPr="00BA3F3D">
        <w:rPr>
          <w:rFonts w:eastAsiaTheme="minorHAnsi" w:cs="Times New Roman"/>
          <w:szCs w:val="22"/>
        </w:rPr>
        <w:fldChar w:fldCharType="begin"/>
      </w:r>
      <w:r w:rsidRPr="00BA3F3D">
        <w:rPr>
          <w:rFonts w:eastAsiaTheme="minorHAnsi" w:cs="Times New Roman"/>
          <w:szCs w:val="22"/>
        </w:rPr>
        <w:instrText xml:space="preserve"> ADDIN EN.CITE &lt;EndNote&gt;&lt;Cite&gt;&lt;Author&gt;Newell&lt;/Author&gt;&lt;Year&gt;1961&lt;/Year&gt;&lt;RecNum&gt;1&lt;/RecNum&gt;&lt;DisplayText&gt;(Newell and Eberhart, 1961)&lt;/DisplayText&gt;&lt;record&gt;&lt;rec-number&gt;1&lt;/rec-number&gt;&lt;foreign-keys&gt;&lt;key app="EN" db-id="pzapdt5tozd203ep29uxfef0zrwae9xd922v"&gt;1&lt;/key&gt;&lt;/foreign-keys&gt;&lt;ref-type name="Journal Article"&gt;17&lt;/ref-type&gt;&lt;contributors&gt;&lt;authors&gt;&lt;author&gt;Newell, L.C.&lt;/author&gt;&lt;author&gt;Eberhart, S.A.&lt;/author&gt;&lt;/authors&gt;&lt;/contributors&gt;&lt;titles&gt;&lt;title&gt;&lt;style face="normal" font="default" size="100%"&gt;Clone and progeny evaluation in the improvement of switchgrass, &lt;/style&gt;&lt;style face="italic" font="default" size="100%"&gt;Panicum virgatum &lt;/style&gt;&lt;style face="normal" font="default" size="100%"&gt;L.&lt;/style&gt;&lt;/title&gt;&lt;secondary-title&gt;Crop Science&lt;/secondary-title&gt;&lt;/titles&gt;&lt;pages&gt;117-121&lt;/pages&gt;&lt;volume&gt;1&lt;/volume&gt;&lt;section&gt;117&lt;/section&gt;&lt;dates&gt;&lt;year&gt;1961&lt;/year&gt;&lt;/dates&gt;&lt;urls&gt;&lt;/urls&gt;&lt;/record&gt;&lt;/Cite&gt;&lt;/EndNote&gt;</w:instrText>
      </w:r>
      <w:r w:rsidR="00301182" w:rsidRPr="00BA3F3D">
        <w:rPr>
          <w:rFonts w:eastAsiaTheme="minorHAnsi" w:cs="Times New Roman"/>
          <w:szCs w:val="22"/>
        </w:rPr>
        <w:fldChar w:fldCharType="separate"/>
      </w:r>
      <w:r w:rsidRPr="00BA3F3D">
        <w:rPr>
          <w:rFonts w:eastAsiaTheme="minorHAnsi" w:cs="Times New Roman"/>
          <w:noProof/>
          <w:szCs w:val="22"/>
        </w:rPr>
        <w:t>(</w:t>
      </w:r>
      <w:hyperlink w:anchor="_ENREF_74" w:tooltip="Newell, 1961 #1" w:history="1">
        <w:r w:rsidR="00FB5014" w:rsidRPr="00BA3F3D">
          <w:rPr>
            <w:rFonts w:eastAsiaTheme="minorHAnsi" w:cs="Times New Roman"/>
            <w:noProof/>
            <w:szCs w:val="22"/>
          </w:rPr>
          <w:t>Newell and Eberhart, 1961</w:t>
        </w:r>
      </w:hyperlink>
      <w:r w:rsidRPr="00BA3F3D">
        <w:rPr>
          <w:rFonts w:eastAsiaTheme="minorHAnsi" w:cs="Times New Roman"/>
          <w:noProof/>
          <w:szCs w:val="22"/>
        </w:rPr>
        <w:t>)</w:t>
      </w:r>
      <w:r w:rsidR="00301182" w:rsidRPr="00BA3F3D">
        <w:rPr>
          <w:rFonts w:eastAsiaTheme="minorHAnsi" w:cs="Times New Roman"/>
          <w:szCs w:val="22"/>
        </w:rPr>
        <w:fldChar w:fldCharType="end"/>
      </w:r>
      <w:r w:rsidRPr="00BA3F3D">
        <w:rPr>
          <w:rFonts w:eastAsiaTheme="minorHAnsi" w:cs="Times New Roman"/>
          <w:szCs w:val="22"/>
        </w:rPr>
        <w:t>.</w:t>
      </w:r>
      <w:r w:rsidR="00860A4C">
        <w:rPr>
          <w:rFonts w:eastAsiaTheme="minorHAnsi" w:cs="Times New Roman"/>
          <w:szCs w:val="22"/>
        </w:rPr>
        <w:t xml:space="preserve"> Traits reported as having non-significant correlations with biomass yield include stem width, node number per tiller, leaf blade width, and leaf blade length reported by </w:t>
      </w:r>
      <w:hyperlink w:anchor="_ENREF_29" w:tooltip="Das, 2004 #254" w:history="1">
        <w:r w:rsidR="00FB5014">
          <w:rPr>
            <w:rFonts w:eastAsiaTheme="minorHAnsi" w:cs="Times New Roman"/>
            <w:szCs w:val="22"/>
          </w:rPr>
          <w:fldChar w:fldCharType="begin"/>
        </w:r>
        <w:r w:rsidR="00FB5014">
          <w:rPr>
            <w:rFonts w:eastAsiaTheme="minorHAnsi" w:cs="Times New Roman"/>
            <w:szCs w:val="22"/>
          </w:rPr>
          <w:instrText xml:space="preserve"> ADDIN EN.CITE &lt;EndNote&gt;&lt;Cite AuthorYear="1"&gt;&lt;Author&gt;Das&lt;/Author&gt;&lt;Year&gt;2004&lt;/Year&gt;&lt;RecNum&gt;254&lt;/RecNum&gt;&lt;DisplayText&gt;Das et al. (2004)&lt;/DisplayText&gt;&lt;record&gt;&lt;rec-number&gt;254&lt;/rec-number&gt;&lt;foreign-keys&gt;&lt;key app="EN" db-id="9zfxt259rawwvce0pfa5efeuatdw0pz5va5z" timestamp="1323887731"&gt;254&lt;/key&gt;&lt;/foreign-keys&gt;&lt;ref-type name="Journal Article"&gt;17&lt;/ref-type&gt;&lt;contributors&gt;&lt;authors&gt;&lt;author&gt;Das, M. K.&lt;/author&gt;&lt;author&gt;Fuentes, R. G.&lt;/author&gt;&lt;author&gt;Taliaferro, C. M.&lt;/author&gt;&lt;/authors&gt;&lt;/contributors&gt;&lt;titles&gt;&lt;title&gt;Genetic variability and trait relationships in switchgrass&lt;/title&gt;&lt;secondary-title&gt;Crop Sci.&lt;/secondary-title&gt;&lt;/titles&gt;&lt;periodical&gt;&lt;full-title&gt;Crop Sci.&lt;/full-title&gt;&lt;/periodical&gt;&lt;pages&gt;443-448&lt;/pages&gt;&lt;volume&gt;44&lt;/volume&gt;&lt;section&gt;443&lt;/section&gt;&lt;dates&gt;&lt;year&gt;2004&lt;/year&gt;&lt;/dates&gt;&lt;urls&gt;&lt;/urls&gt;&lt;/record&gt;&lt;/Cite&gt;&lt;/EndNote&gt;</w:instrText>
        </w:r>
        <w:r w:rsidR="00FB5014">
          <w:rPr>
            <w:rFonts w:eastAsiaTheme="minorHAnsi" w:cs="Times New Roman"/>
            <w:szCs w:val="22"/>
          </w:rPr>
          <w:fldChar w:fldCharType="separate"/>
        </w:r>
        <w:r w:rsidR="00FB5014">
          <w:rPr>
            <w:rFonts w:eastAsiaTheme="minorHAnsi" w:cs="Times New Roman"/>
            <w:noProof/>
            <w:szCs w:val="22"/>
          </w:rPr>
          <w:t>Das et al. (2004)</w:t>
        </w:r>
        <w:r w:rsidR="00FB5014">
          <w:rPr>
            <w:rFonts w:eastAsiaTheme="minorHAnsi" w:cs="Times New Roman"/>
            <w:szCs w:val="22"/>
          </w:rPr>
          <w:fldChar w:fldCharType="end"/>
        </w:r>
      </w:hyperlink>
      <w:r w:rsidR="00860A4C">
        <w:rPr>
          <w:rFonts w:eastAsiaTheme="minorHAnsi" w:cs="Times New Roman"/>
          <w:szCs w:val="22"/>
        </w:rPr>
        <w:t xml:space="preserve"> and heading, days to flowering, plant spread, and spring regrowth reported by </w:t>
      </w:r>
      <w:hyperlink w:anchor="_ENREF_12" w:tooltip="Bhandari, 2010 #199" w:history="1">
        <w:r w:rsidR="00FB5014">
          <w:rPr>
            <w:rFonts w:eastAsiaTheme="minorHAnsi" w:cs="Times New Roman"/>
            <w:szCs w:val="22"/>
          </w:rPr>
          <w:fldChar w:fldCharType="begin"/>
        </w:r>
        <w:r w:rsidR="00FB5014">
          <w:rPr>
            <w:rFonts w:eastAsiaTheme="minorHAnsi" w:cs="Times New Roman"/>
            <w:szCs w:val="22"/>
          </w:rPr>
          <w:instrText xml:space="preserve"> ADDIN EN.CITE &lt;EndNote&gt;&lt;Cite AuthorYear="1"&gt;&lt;Author&gt;Bhandari&lt;/Author&gt;&lt;Year&gt;2010&lt;/Year&gt;&lt;RecNum&gt;199&lt;/RecNum&gt;&lt;DisplayText&gt;Bhandari et al. (2010)&lt;/DisplayText&gt;&lt;record&gt;&lt;rec-number&gt;199&lt;/rec-number&gt;&lt;foreign-keys&gt;&lt;key app="EN" db-id="9zfxt259rawwvce0pfa5efeuatdw0pz5va5z" timestamp="1316030756"&gt;199&lt;/key&gt;&lt;/foreign-keys&gt;&lt;ref-type name="Journal Article"&gt;17&lt;/ref-type&gt;&lt;contributors&gt;&lt;authors&gt;&lt;author&gt;Bhandari, H.S.&lt;/author&gt;&lt;author&gt;Saha, M.C.&lt;/author&gt;&lt;author&gt;Mascia, P.N.&lt;/author&gt;&lt;author&gt;Fasoula, V.A.&lt;/author&gt;&lt;author&gt;Bouton, J.H.&lt;/author&gt;&lt;/authors&gt;&lt;/contributors&gt;&lt;titles&gt;&lt;title&gt;&lt;style face="normal" font="default" size="100%"&gt;Variation among half-sib families and heritability for biomass yield and other traits in lowland switchgrass (&lt;/style&gt;&lt;style face="italic" font="default" size="100%"&gt;Panicum virgatum&lt;/style&gt;&lt;style face="normal" font="default" size="100%"&gt; L.)&lt;/style&gt;&lt;/title&gt;&lt;secondary-title&gt;Crop Sci.&lt;/secondary-title&gt;&lt;/titles&gt;&lt;periodical&gt;&lt;full-title&gt;Crop Sci.&lt;/full-title&gt;&lt;/periodical&gt;&lt;pages&gt;2355-2363&lt;/pages&gt;&lt;volume&gt;50&lt;/volume&gt;&lt;section&gt;2355&lt;/section&gt;&lt;dates&gt;&lt;year&gt;2010&lt;/year&gt;&lt;/dates&gt;&lt;urls&gt;&lt;/urls&gt;&lt;/record&gt;&lt;/Cite&gt;&lt;/EndNote&gt;</w:instrText>
        </w:r>
        <w:r w:rsidR="00FB5014">
          <w:rPr>
            <w:rFonts w:eastAsiaTheme="minorHAnsi" w:cs="Times New Roman"/>
            <w:szCs w:val="22"/>
          </w:rPr>
          <w:fldChar w:fldCharType="separate"/>
        </w:r>
        <w:r w:rsidR="00FB5014">
          <w:rPr>
            <w:rFonts w:eastAsiaTheme="minorHAnsi" w:cs="Times New Roman"/>
            <w:noProof/>
            <w:szCs w:val="22"/>
          </w:rPr>
          <w:t>Bhandari et al. (2010)</w:t>
        </w:r>
        <w:r w:rsidR="00FB5014">
          <w:rPr>
            <w:rFonts w:eastAsiaTheme="minorHAnsi" w:cs="Times New Roman"/>
            <w:szCs w:val="22"/>
          </w:rPr>
          <w:fldChar w:fldCharType="end"/>
        </w:r>
      </w:hyperlink>
      <w:r w:rsidR="00954DB7">
        <w:rPr>
          <w:rFonts w:eastAsiaTheme="minorHAnsi" w:cs="Times New Roman"/>
          <w:szCs w:val="22"/>
        </w:rPr>
        <w:t xml:space="preserve">. </w:t>
      </w:r>
    </w:p>
    <w:p w14:paraId="1DB8136D" w14:textId="75C3FA39" w:rsidR="00596A40" w:rsidRPr="00BA3F3D" w:rsidRDefault="00596A40" w:rsidP="00596A40">
      <w:pPr>
        <w:ind w:firstLine="720"/>
        <w:rPr>
          <w:rFonts w:eastAsiaTheme="minorHAnsi" w:cs="Times New Roman"/>
          <w:szCs w:val="22"/>
        </w:rPr>
      </w:pPr>
      <w:r>
        <w:rPr>
          <w:rFonts w:eastAsiaTheme="minorHAnsi" w:cs="Times New Roman"/>
          <w:szCs w:val="22"/>
        </w:rPr>
        <w:t xml:space="preserve">Biomass yield and ethanol yield </w:t>
      </w:r>
      <w:r w:rsidRPr="00BA3F3D">
        <w:rPr>
          <w:rFonts w:eastAsiaTheme="minorHAnsi" w:cs="Times New Roman"/>
          <w:szCs w:val="22"/>
        </w:rPr>
        <w:t xml:space="preserve">are both essential components of total yield in switchgrass varieties intended for biofuel production. Measurements of biomass switchgrass quality </w:t>
      </w:r>
      <w:r>
        <w:rPr>
          <w:rFonts w:eastAsiaTheme="minorHAnsi" w:cs="Times New Roman"/>
          <w:szCs w:val="22"/>
        </w:rPr>
        <w:t xml:space="preserve">can </w:t>
      </w:r>
      <w:r w:rsidRPr="00BA3F3D">
        <w:rPr>
          <w:rFonts w:eastAsiaTheme="minorHAnsi" w:cs="Times New Roman"/>
          <w:szCs w:val="22"/>
        </w:rPr>
        <w:t xml:space="preserve">include direct assessment of ethanol production potential through simultaneous </w:t>
      </w:r>
      <w:r w:rsidRPr="00BA3F3D">
        <w:rPr>
          <w:rFonts w:eastAsiaTheme="minorHAnsi" w:cs="Times New Roman"/>
          <w:szCs w:val="22"/>
        </w:rPr>
        <w:lastRenderedPageBreak/>
        <w:t xml:space="preserve">saccharification and fermentation (SSF) or indirect assessment of ethanol production potential through assessment of structural cell wall components such as lignin which can reduce carbohydrate accessibility during fermentation </w:t>
      </w:r>
      <w:r w:rsidR="00301182" w:rsidRPr="00BA3F3D">
        <w:rPr>
          <w:rFonts w:eastAsiaTheme="minorHAnsi" w:cs="Times New Roman"/>
          <w:szCs w:val="22"/>
        </w:rPr>
        <w:fldChar w:fldCharType="begin"/>
      </w:r>
      <w:r w:rsidRPr="00BA3F3D">
        <w:rPr>
          <w:rFonts w:eastAsiaTheme="minorHAnsi" w:cs="Times New Roman"/>
          <w:szCs w:val="22"/>
        </w:rPr>
        <w:instrText xml:space="preserve"> ADDIN EN.CITE &lt;EndNote&gt;&lt;Cite&gt;&lt;Author&gt;Dowe&lt;/Author&gt;&lt;Year&gt;2001&lt;/Year&gt;&lt;RecNum&gt;268&lt;/RecNum&gt;&lt;DisplayText&gt;(Dowe and MCMillan, 2001)&lt;/DisplayText&gt;&lt;record&gt;&lt;rec-number&gt;268&lt;/rec-number&gt;&lt;foreign-keys&gt;&lt;key app="EN" db-id="9zfxt259rawwvce0pfa5efeuatdw0pz5va5z" timestamp="1328218678"&gt;268&lt;/key&gt;&lt;/foreign-keys&gt;&lt;ref-type name="Standard"&gt;58&lt;/ref-type&gt;&lt;contributors&gt;&lt;authors&gt;&lt;author&gt;Dowe, N.&lt;/author&gt;&lt;author&gt;MCMillan, J.&lt;/author&gt;&lt;/authors&gt;&lt;/contributors&gt;&lt;titles&gt;&lt;title&gt;SSF Experimental Protocols - Lignocellulosic Biomass Hydrolysis and Fermentation&lt;/title&gt;&lt;secondary-title&gt;Laboratory Analytical Procedure&lt;/secondary-title&gt;&lt;/titles&gt;&lt;volume&gt;NREL/TP-510-42630&lt;/volume&gt;&lt;dates&gt;&lt;year&gt;2001&lt;/year&gt;&lt;/dates&gt;&lt;pub-location&gt;National Renewable Energy Laboratory&lt;/pub-location&gt;&lt;urls&gt;&lt;related-urls&gt;&lt;url&gt;http://www.nrel.gov/biomass/pdfs/42630.pdf&lt;/url&gt;&lt;/related-urls&gt;&lt;/urls&gt;&lt;/record&gt;&lt;/Cite&gt;&lt;/EndNote&gt;</w:instrText>
      </w:r>
      <w:r w:rsidR="00301182" w:rsidRPr="00BA3F3D">
        <w:rPr>
          <w:rFonts w:eastAsiaTheme="minorHAnsi" w:cs="Times New Roman"/>
          <w:szCs w:val="22"/>
        </w:rPr>
        <w:fldChar w:fldCharType="separate"/>
      </w:r>
      <w:r w:rsidRPr="00BA3F3D">
        <w:rPr>
          <w:rFonts w:eastAsiaTheme="minorHAnsi" w:cs="Times New Roman"/>
          <w:noProof/>
          <w:szCs w:val="22"/>
        </w:rPr>
        <w:t>(</w:t>
      </w:r>
      <w:hyperlink w:anchor="_ENREF_32" w:tooltip="Dowe, 2001 #268" w:history="1">
        <w:r w:rsidR="00FB5014" w:rsidRPr="00BA3F3D">
          <w:rPr>
            <w:rFonts w:eastAsiaTheme="minorHAnsi" w:cs="Times New Roman"/>
            <w:noProof/>
            <w:szCs w:val="22"/>
          </w:rPr>
          <w:t>Dowe and MCMillan, 2001</w:t>
        </w:r>
      </w:hyperlink>
      <w:r w:rsidRPr="00BA3F3D">
        <w:rPr>
          <w:rFonts w:eastAsiaTheme="minorHAnsi" w:cs="Times New Roman"/>
          <w:noProof/>
          <w:szCs w:val="22"/>
        </w:rPr>
        <w:t>)</w:t>
      </w:r>
      <w:r w:rsidR="00301182" w:rsidRPr="00BA3F3D">
        <w:rPr>
          <w:rFonts w:eastAsiaTheme="minorHAnsi" w:cs="Times New Roman"/>
          <w:szCs w:val="22"/>
        </w:rPr>
        <w:fldChar w:fldCharType="end"/>
      </w:r>
      <w:r w:rsidRPr="00BA3F3D">
        <w:rPr>
          <w:rFonts w:eastAsiaTheme="minorHAnsi" w:cs="Times New Roman"/>
          <w:szCs w:val="22"/>
        </w:rPr>
        <w:t xml:space="preserve">. Because of the difficulty in screening large amounts of plant material for ethanol production potential or lignin content, these characteristics have been largely neglected in breeding studies in favor of breeding for higher biomass yield or easily measured quality attributes. Recent publication of near infrared reflectance spectroscopy (NIRS) calibrations for </w:t>
      </w:r>
      <w:r>
        <w:rPr>
          <w:rFonts w:eastAsiaTheme="minorHAnsi" w:cs="Times New Roman"/>
          <w:szCs w:val="22"/>
        </w:rPr>
        <w:t>predicted ethanol yield</w:t>
      </w:r>
      <w:r w:rsidRPr="00BA3F3D">
        <w:rPr>
          <w:rFonts w:eastAsiaTheme="minorHAnsi" w:cs="Times New Roman"/>
          <w:szCs w:val="22"/>
        </w:rPr>
        <w:t xml:space="preserve">, now allow for rapid </w:t>
      </w:r>
      <w:r>
        <w:rPr>
          <w:rFonts w:eastAsiaTheme="minorHAnsi" w:cs="Times New Roman"/>
          <w:szCs w:val="22"/>
        </w:rPr>
        <w:t>estimations</w:t>
      </w:r>
      <w:r w:rsidRPr="00BA3F3D">
        <w:rPr>
          <w:rFonts w:eastAsiaTheme="minorHAnsi" w:cs="Times New Roman"/>
          <w:szCs w:val="22"/>
        </w:rPr>
        <w:t xml:space="preserve"> of these traits </w:t>
      </w:r>
      <w:r w:rsidR="00301182" w:rsidRPr="00BA3F3D">
        <w:rPr>
          <w:rFonts w:eastAsiaTheme="minorHAnsi" w:cs="Times New Roman"/>
          <w:szCs w:val="22"/>
        </w:rPr>
        <w:fldChar w:fldCharType="begin"/>
      </w:r>
      <w:r w:rsidRPr="00BA3F3D">
        <w:rPr>
          <w:rFonts w:eastAsiaTheme="minorHAnsi" w:cs="Times New Roman"/>
          <w:szCs w:val="22"/>
        </w:rPr>
        <w:instrText xml:space="preserve"> ADDIN EN.CITE &lt;EndNote&gt;&lt;Cite&gt;&lt;Author&gt;Vogel&lt;/Author&gt;&lt;Year&gt;2011&lt;/Year&gt;&lt;RecNum&gt;22&lt;/RecNum&gt;&lt;DisplayText&gt;(Vogel et al., 2011)&lt;/DisplayText&gt;&lt;record&gt;&lt;rec-number&gt;22&lt;/rec-number&gt;&lt;foreign-keys&gt;&lt;key app="EN" db-id="wxett0et1ppsfyezes8vvxp0waarvtxedwad"&gt;22&lt;/key&gt;&lt;/foreign-keys&gt;&lt;ref-type name="Journal Article"&gt;17&lt;/ref-type&gt;&lt;contributors&gt;&lt;authors&gt;&lt;author&gt;Vogel, K.P.&lt;/author&gt;&lt;author&gt;Dien, B.S.&lt;/author&gt;&lt;author&gt;Jung, H.G.&lt;/author&gt;&lt;author&gt;Casler, M.D.&lt;/author&gt;&lt;author&gt;Masterson, S.D.&lt;/author&gt;&lt;author&gt;Mitchell, R.B.&lt;/author&gt;&lt;/authors&gt;&lt;/contributors&gt;&lt;titles&gt;&lt;title&gt;Quantifying actual and theoretical ethanol yields for switchgrass strains using NIRS analyses&lt;/title&gt;&lt;secondary-title&gt;Bioenerg. Res.&lt;/secondary-title&gt;&lt;/titles&gt;&lt;pages&gt;96-110&lt;/pages&gt;&lt;volume&gt;4&lt;/volume&gt;&lt;section&gt;96&lt;/section&gt;&lt;dates&gt;&lt;year&gt;2011&lt;/year&gt;&lt;/dates&gt;&lt;urls&gt;&lt;/urls&gt;&lt;/record&gt;&lt;/Cite&gt;&lt;/EndNote&gt;</w:instrText>
      </w:r>
      <w:r w:rsidR="00301182" w:rsidRPr="00BA3F3D">
        <w:rPr>
          <w:rFonts w:eastAsiaTheme="minorHAnsi" w:cs="Times New Roman"/>
          <w:szCs w:val="22"/>
        </w:rPr>
        <w:fldChar w:fldCharType="separate"/>
      </w:r>
      <w:r w:rsidRPr="00BA3F3D">
        <w:rPr>
          <w:rFonts w:eastAsiaTheme="minorHAnsi" w:cs="Times New Roman"/>
          <w:noProof/>
          <w:szCs w:val="22"/>
        </w:rPr>
        <w:t>(</w:t>
      </w:r>
      <w:hyperlink w:anchor="_ENREF_98" w:tooltip="Vogel, 2011 #22" w:history="1">
        <w:r w:rsidR="00FB5014" w:rsidRPr="00BA3F3D">
          <w:rPr>
            <w:rFonts w:eastAsiaTheme="minorHAnsi" w:cs="Times New Roman"/>
            <w:noProof/>
            <w:szCs w:val="22"/>
          </w:rPr>
          <w:t>Vogel et al., 2011</w:t>
        </w:r>
      </w:hyperlink>
      <w:r w:rsidRPr="00BA3F3D">
        <w:rPr>
          <w:rFonts w:eastAsiaTheme="minorHAnsi" w:cs="Times New Roman"/>
          <w:noProof/>
          <w:szCs w:val="22"/>
        </w:rPr>
        <w:t>)</w:t>
      </w:r>
      <w:r w:rsidR="00301182" w:rsidRPr="00BA3F3D">
        <w:rPr>
          <w:rFonts w:eastAsiaTheme="minorHAnsi" w:cs="Times New Roman"/>
          <w:szCs w:val="22"/>
        </w:rPr>
        <w:fldChar w:fldCharType="end"/>
      </w:r>
      <w:r w:rsidRPr="00BA3F3D">
        <w:rPr>
          <w:rFonts w:eastAsiaTheme="minorHAnsi" w:cs="Times New Roman"/>
          <w:szCs w:val="22"/>
        </w:rPr>
        <w:t xml:space="preserve">. Publication of these calibrations permits </w:t>
      </w:r>
      <w:r>
        <w:rPr>
          <w:rFonts w:eastAsiaTheme="minorHAnsi" w:cs="Times New Roman"/>
          <w:szCs w:val="22"/>
        </w:rPr>
        <w:t>large scale evaluations</w:t>
      </w:r>
      <w:r w:rsidRPr="00BA3F3D">
        <w:rPr>
          <w:rFonts w:eastAsiaTheme="minorHAnsi" w:cs="Times New Roman"/>
          <w:szCs w:val="22"/>
        </w:rPr>
        <w:t xml:space="preserve"> of ethanol production </w:t>
      </w:r>
      <w:r>
        <w:rPr>
          <w:rFonts w:eastAsiaTheme="minorHAnsi" w:cs="Times New Roman"/>
          <w:szCs w:val="22"/>
        </w:rPr>
        <w:t>which, in turn, provides information on the variability of this trait in switchgrass populations and allows for identification of high ethanol yielding plant material and identification of potential heterotic groups</w:t>
      </w:r>
      <w:r w:rsidRPr="00BA3F3D">
        <w:rPr>
          <w:rFonts w:eastAsiaTheme="minorHAnsi" w:cs="Times New Roman"/>
          <w:szCs w:val="22"/>
        </w:rPr>
        <w:t>. Further questions of interest include the relatedness of ethanol production potential to morphological traits, disease resistance, and biomass yield</w:t>
      </w:r>
      <w:r w:rsidR="00954DB7">
        <w:rPr>
          <w:rFonts w:eastAsiaTheme="minorHAnsi" w:cs="Times New Roman"/>
          <w:szCs w:val="22"/>
        </w:rPr>
        <w:t xml:space="preserve">. </w:t>
      </w:r>
    </w:p>
    <w:p w14:paraId="39CDF22C" w14:textId="7FE44DD3" w:rsidR="00596A40" w:rsidRPr="00BA3F3D" w:rsidRDefault="00596A40" w:rsidP="00596A40">
      <w:pPr>
        <w:ind w:firstLine="720"/>
        <w:rPr>
          <w:rFonts w:eastAsiaTheme="minorHAnsi" w:cs="Times New Roman"/>
          <w:szCs w:val="22"/>
        </w:rPr>
      </w:pPr>
      <w:r w:rsidRPr="00BA3F3D">
        <w:rPr>
          <w:rFonts w:eastAsiaTheme="minorHAnsi" w:cs="Times New Roman"/>
          <w:szCs w:val="22"/>
        </w:rPr>
        <w:t xml:space="preserve">Other morphological traits may also be of interest in selecting for either biomass yield or </w:t>
      </w:r>
      <w:r>
        <w:rPr>
          <w:rFonts w:eastAsiaTheme="minorHAnsi" w:cs="Times New Roman"/>
          <w:szCs w:val="22"/>
        </w:rPr>
        <w:t>predicted ethanol yield</w:t>
      </w:r>
      <w:r w:rsidRPr="00BA3F3D">
        <w:rPr>
          <w:rFonts w:eastAsiaTheme="minorHAnsi" w:cs="Times New Roman"/>
          <w:szCs w:val="22"/>
        </w:rPr>
        <w:t xml:space="preserve">. While many studies have examined morphological traits associated with biomass yield and </w:t>
      </w:r>
      <w:r w:rsidR="00646D1A">
        <w:rPr>
          <w:rFonts w:eastAsiaTheme="minorHAnsi" w:cs="Times New Roman"/>
          <w:szCs w:val="22"/>
        </w:rPr>
        <w:t xml:space="preserve">forage </w:t>
      </w:r>
      <w:r w:rsidRPr="00BA3F3D">
        <w:rPr>
          <w:rFonts w:eastAsiaTheme="minorHAnsi" w:cs="Times New Roman"/>
          <w:szCs w:val="22"/>
        </w:rPr>
        <w:t>quality, the relationship between these</w:t>
      </w:r>
      <w:r w:rsidR="00646D1A">
        <w:rPr>
          <w:rFonts w:eastAsiaTheme="minorHAnsi" w:cs="Times New Roman"/>
          <w:szCs w:val="22"/>
        </w:rPr>
        <w:t xml:space="preserve"> morphological</w:t>
      </w:r>
      <w:r w:rsidRPr="00BA3F3D">
        <w:rPr>
          <w:rFonts w:eastAsiaTheme="minorHAnsi" w:cs="Times New Roman"/>
          <w:szCs w:val="22"/>
        </w:rPr>
        <w:t xml:space="preserve"> traits and ethanol production potential has not been examined. Because of this, it is unclear whether the current high yielding ideotype would still be considered superior when considering both components of biofuels yield: biomass yield and ethanol production potential. Examining the relationship of ethanol production potential with morphological traits such as tiller </w:t>
      </w:r>
      <w:r>
        <w:rPr>
          <w:rFonts w:eastAsiaTheme="minorHAnsi" w:cs="Times New Roman"/>
          <w:szCs w:val="22"/>
        </w:rPr>
        <w:t>number</w:t>
      </w:r>
      <w:r w:rsidRPr="00BA3F3D">
        <w:rPr>
          <w:rFonts w:eastAsiaTheme="minorHAnsi" w:cs="Times New Roman"/>
          <w:szCs w:val="22"/>
        </w:rPr>
        <w:t xml:space="preserve">, tiller thickness, </w:t>
      </w:r>
      <w:r w:rsidR="00B8390A">
        <w:rPr>
          <w:rFonts w:eastAsiaTheme="minorHAnsi" w:cs="Times New Roman"/>
          <w:szCs w:val="22"/>
        </w:rPr>
        <w:t>leaf width</w:t>
      </w:r>
      <w:r w:rsidRPr="00BA3F3D">
        <w:rPr>
          <w:rFonts w:eastAsiaTheme="minorHAnsi" w:cs="Times New Roman"/>
          <w:szCs w:val="22"/>
        </w:rPr>
        <w:t xml:space="preserve">, and height could assist breeders in the selection process by identifying which characteristics are linked to both biomass yield and ethanol production potential and determining which components are most likely to maximize total </w:t>
      </w:r>
      <w:r w:rsidR="00412B11">
        <w:rPr>
          <w:rFonts w:eastAsiaTheme="minorHAnsi" w:cs="Times New Roman"/>
          <w:szCs w:val="22"/>
        </w:rPr>
        <w:t xml:space="preserve">biofuel </w:t>
      </w:r>
      <w:r w:rsidRPr="00BA3F3D">
        <w:rPr>
          <w:rFonts w:eastAsiaTheme="minorHAnsi" w:cs="Times New Roman"/>
          <w:szCs w:val="22"/>
        </w:rPr>
        <w:t>yield</w:t>
      </w:r>
      <w:r w:rsidR="00954DB7">
        <w:rPr>
          <w:rFonts w:eastAsiaTheme="minorHAnsi" w:cs="Times New Roman"/>
          <w:szCs w:val="22"/>
        </w:rPr>
        <w:t xml:space="preserve">. </w:t>
      </w:r>
      <w:r w:rsidRPr="00BA3F3D">
        <w:rPr>
          <w:rFonts w:eastAsiaTheme="minorHAnsi" w:cs="Times New Roman"/>
          <w:szCs w:val="22"/>
        </w:rPr>
        <w:t xml:space="preserve">    </w:t>
      </w:r>
    </w:p>
    <w:p w14:paraId="2CD056F4" w14:textId="1C60081D" w:rsidR="00596A40" w:rsidRPr="00BA3F3D" w:rsidRDefault="00596A40" w:rsidP="00596A40">
      <w:pPr>
        <w:ind w:firstLine="720"/>
        <w:rPr>
          <w:rFonts w:eastAsiaTheme="minorHAnsi" w:cs="Times New Roman"/>
          <w:szCs w:val="22"/>
        </w:rPr>
      </w:pPr>
      <w:r w:rsidRPr="00BA3F3D">
        <w:rPr>
          <w:rFonts w:eastAsiaTheme="minorHAnsi" w:cs="Times New Roman"/>
          <w:szCs w:val="22"/>
        </w:rPr>
        <w:lastRenderedPageBreak/>
        <w:t xml:space="preserve">Heterosis, maternal effects, and general and specific combining ability in switchgrass are areas in which relatively little research has been performed but for which information would be beneficial in selecting parents to use in the development of hybrids or synthetic populations. Heterosis, or hybrid vigor, has been observed in switchgrass populations. Vogel </w:t>
      </w:r>
      <w:r w:rsidR="00301182" w:rsidRPr="00BA3F3D">
        <w:rPr>
          <w:rFonts w:eastAsiaTheme="minorHAnsi" w:cs="Times New Roman"/>
          <w:szCs w:val="22"/>
        </w:rPr>
        <w:fldChar w:fldCharType="begin"/>
      </w:r>
      <w:r w:rsidRPr="00BA3F3D">
        <w:rPr>
          <w:rFonts w:eastAsiaTheme="minorHAnsi" w:cs="Times New Roman"/>
          <w:szCs w:val="22"/>
        </w:rPr>
        <w:instrText xml:space="preserve"> ADDIN EN.CITE &lt;EndNote&gt;&lt;Cite ExcludeAuth="1"&gt;&lt;Author&gt;Vogel&lt;/Author&gt;&lt;Year&gt;2008&lt;/Year&gt;&lt;RecNum&gt;258&lt;/RecNum&gt;&lt;DisplayText&gt;(2008)&lt;/DisplayText&gt;&lt;record&gt;&lt;rec-number&gt;258&lt;/rec-number&gt;&lt;foreign-keys&gt;&lt;key app="EN" db-id="9zfxt259rawwvce0pfa5efeuatdw0pz5va5z" timestamp="1323887732"&gt;258&lt;/key&gt;&lt;/foreign-keys&gt;&lt;ref-type name="Journal Article"&gt;17&lt;/ref-type&gt;&lt;contributors&gt;&lt;authors&gt;&lt;author&gt;Vogel, K.P.&lt;/author&gt;&lt;author&gt;Mitchell, R.B.&lt;/author&gt;&lt;/authors&gt;&lt;/contributors&gt;&lt;titles&gt;&lt;title&gt;Heterosis in switchgrass:  Biomass yield in swards&lt;/title&gt;&lt;secondary-title&gt;Crop Sci.&lt;/secondary-title&gt;&lt;/titles&gt;&lt;periodical&gt;&lt;full-title&gt;Crop Sci.&lt;/full-title&gt;&lt;/periodical&gt;&lt;pages&gt;2159-2164&lt;/pages&gt;&lt;volume&gt;48&lt;/volume&gt;&lt;section&gt;2159&lt;/section&gt;&lt;dates&gt;&lt;year&gt;2008&lt;/year&gt;&lt;/dates&gt;&lt;urls&gt;&lt;/urls&gt;&lt;/record&gt;&lt;/Cite&gt;&lt;/EndNote&gt;</w:instrText>
      </w:r>
      <w:r w:rsidR="00301182" w:rsidRPr="00BA3F3D">
        <w:rPr>
          <w:rFonts w:eastAsiaTheme="minorHAnsi" w:cs="Times New Roman"/>
          <w:szCs w:val="22"/>
        </w:rPr>
        <w:fldChar w:fldCharType="separate"/>
      </w:r>
      <w:r w:rsidRPr="00BA3F3D">
        <w:rPr>
          <w:rFonts w:eastAsiaTheme="minorHAnsi" w:cs="Times New Roman"/>
          <w:noProof/>
          <w:szCs w:val="22"/>
        </w:rPr>
        <w:t>(</w:t>
      </w:r>
      <w:hyperlink w:anchor="_ENREF_100" w:tooltip="Vogel, 2008 #258" w:history="1">
        <w:r w:rsidR="00FB5014" w:rsidRPr="00BA3F3D">
          <w:rPr>
            <w:rFonts w:eastAsiaTheme="minorHAnsi" w:cs="Times New Roman"/>
            <w:noProof/>
            <w:szCs w:val="22"/>
          </w:rPr>
          <w:t>2008</w:t>
        </w:r>
      </w:hyperlink>
      <w:r w:rsidRPr="00BA3F3D">
        <w:rPr>
          <w:rFonts w:eastAsiaTheme="minorHAnsi" w:cs="Times New Roman"/>
          <w:noProof/>
          <w:szCs w:val="22"/>
        </w:rPr>
        <w:t>)</w:t>
      </w:r>
      <w:r w:rsidR="00301182" w:rsidRPr="00BA3F3D">
        <w:rPr>
          <w:rFonts w:eastAsiaTheme="minorHAnsi" w:cs="Times New Roman"/>
          <w:szCs w:val="22"/>
        </w:rPr>
        <w:fldChar w:fldCharType="end"/>
      </w:r>
      <w:r w:rsidRPr="00BA3F3D">
        <w:rPr>
          <w:rFonts w:eastAsiaTheme="minorHAnsi" w:cs="Times New Roman"/>
          <w:szCs w:val="22"/>
        </w:rPr>
        <w:t xml:space="preserve"> found high parent het</w:t>
      </w:r>
      <w:r w:rsidR="00412B11">
        <w:rPr>
          <w:rFonts w:eastAsiaTheme="minorHAnsi" w:cs="Times New Roman"/>
          <w:szCs w:val="22"/>
        </w:rPr>
        <w:t xml:space="preserve">erosis for biomass yield of 30% to </w:t>
      </w:r>
      <w:r w:rsidRPr="00BA3F3D">
        <w:rPr>
          <w:rFonts w:eastAsiaTheme="minorHAnsi" w:cs="Times New Roman"/>
          <w:szCs w:val="22"/>
        </w:rPr>
        <w:t xml:space="preserve">38% in crosses of </w:t>
      </w:r>
      <w:r w:rsidR="00412B11">
        <w:rPr>
          <w:rFonts w:eastAsiaTheme="minorHAnsi" w:cs="Times New Roman"/>
          <w:szCs w:val="22"/>
        </w:rPr>
        <w:t>‘</w:t>
      </w:r>
      <w:r w:rsidRPr="00BA3F3D">
        <w:rPr>
          <w:rFonts w:eastAsiaTheme="minorHAnsi" w:cs="Times New Roman"/>
          <w:szCs w:val="22"/>
        </w:rPr>
        <w:t>Kanlow</w:t>
      </w:r>
      <w:r w:rsidR="00412B11">
        <w:rPr>
          <w:rFonts w:eastAsiaTheme="minorHAnsi" w:cs="Times New Roman"/>
          <w:szCs w:val="22"/>
        </w:rPr>
        <w:t>’</w:t>
      </w:r>
      <w:r w:rsidRPr="00BA3F3D">
        <w:rPr>
          <w:rFonts w:eastAsiaTheme="minorHAnsi" w:cs="Times New Roman"/>
          <w:szCs w:val="22"/>
        </w:rPr>
        <w:t xml:space="preserve"> and </w:t>
      </w:r>
      <w:r w:rsidR="00412B11">
        <w:rPr>
          <w:rFonts w:eastAsiaTheme="minorHAnsi" w:cs="Times New Roman"/>
          <w:szCs w:val="22"/>
        </w:rPr>
        <w:t>‘</w:t>
      </w:r>
      <w:r w:rsidRPr="00BA3F3D">
        <w:rPr>
          <w:rFonts w:eastAsiaTheme="minorHAnsi" w:cs="Times New Roman"/>
          <w:szCs w:val="22"/>
        </w:rPr>
        <w:t>Summer</w:t>
      </w:r>
      <w:r w:rsidR="00412B11">
        <w:rPr>
          <w:rFonts w:eastAsiaTheme="minorHAnsi" w:cs="Times New Roman"/>
          <w:szCs w:val="22"/>
        </w:rPr>
        <w:t>’</w:t>
      </w:r>
      <w:r w:rsidRPr="00BA3F3D">
        <w:rPr>
          <w:rFonts w:eastAsiaTheme="minorHAnsi" w:cs="Times New Roman"/>
          <w:szCs w:val="22"/>
        </w:rPr>
        <w:t xml:space="preserve"> cultivars evaluated under sward conditions. However, a study of the same population under space planted conditions by Martinez-Reyna </w:t>
      </w:r>
      <w:r w:rsidR="00301182" w:rsidRPr="00BA3F3D">
        <w:rPr>
          <w:rFonts w:eastAsiaTheme="minorHAnsi" w:cs="Times New Roman"/>
          <w:szCs w:val="22"/>
        </w:rPr>
        <w:fldChar w:fldCharType="begin"/>
      </w:r>
      <w:r w:rsidRPr="00BA3F3D">
        <w:rPr>
          <w:rFonts w:eastAsiaTheme="minorHAnsi" w:cs="Times New Roman"/>
          <w:szCs w:val="22"/>
        </w:rPr>
        <w:instrText xml:space="preserve"> ADDIN EN.CITE &lt;EndNote&gt;&lt;Cite ExcludeAuth="1"&gt;&lt;Author&gt;Martinez-Reyna&lt;/Author&gt;&lt;Year&gt;2008&lt;/Year&gt;&lt;RecNum&gt;259&lt;/RecNum&gt;&lt;DisplayText&gt;(2008)&lt;/DisplayText&gt;&lt;record&gt;&lt;rec-number&gt;259&lt;/rec-number&gt;&lt;foreign-keys&gt;&lt;key app="EN" db-id="9zfxt259rawwvce0pfa5efeuatdw0pz5va5z" timestamp="1323887732"&gt;259&lt;/key&gt;&lt;/foreign-keys&gt;&lt;ref-type name="Journal Article"&gt;17&lt;/ref-type&gt;&lt;contributors&gt;&lt;authors&gt;&lt;author&gt;Martinez-Reyna, J.M.&lt;/author&gt;&lt;author&gt;Vogel, K.P.&lt;/author&gt;&lt;/authors&gt;&lt;/contributors&gt;&lt;titles&gt;&lt;title&gt;Heterosis in switchgrass:  Spaced plants&lt;/title&gt;&lt;secondary-title&gt;Crop Sci.&lt;/secondary-title&gt;&lt;/titles&gt;&lt;periodical&gt;&lt;full-title&gt;Crop Sci.&lt;/full-title&gt;&lt;/periodical&gt;&lt;pages&gt;1312-1320&lt;/pages&gt;&lt;volume&gt;48&lt;/volume&gt;&lt;section&gt;1312&lt;/section&gt;&lt;dates&gt;&lt;year&gt;2008&lt;/year&gt;&lt;/dates&gt;&lt;urls&gt;&lt;/urls&gt;&lt;/record&gt;&lt;/Cite&gt;&lt;/EndNote&gt;</w:instrText>
      </w:r>
      <w:r w:rsidR="00301182" w:rsidRPr="00BA3F3D">
        <w:rPr>
          <w:rFonts w:eastAsiaTheme="minorHAnsi" w:cs="Times New Roman"/>
          <w:szCs w:val="22"/>
        </w:rPr>
        <w:fldChar w:fldCharType="separate"/>
      </w:r>
      <w:r w:rsidRPr="00BA3F3D">
        <w:rPr>
          <w:rFonts w:eastAsiaTheme="minorHAnsi" w:cs="Times New Roman"/>
          <w:noProof/>
          <w:szCs w:val="22"/>
        </w:rPr>
        <w:t>(</w:t>
      </w:r>
      <w:hyperlink w:anchor="_ENREF_68" w:tooltip="Martinez-Reyna, 2008 #259" w:history="1">
        <w:r w:rsidR="00FB5014" w:rsidRPr="00BA3F3D">
          <w:rPr>
            <w:rFonts w:eastAsiaTheme="minorHAnsi" w:cs="Times New Roman"/>
            <w:noProof/>
            <w:szCs w:val="22"/>
          </w:rPr>
          <w:t>2008</w:t>
        </w:r>
      </w:hyperlink>
      <w:r w:rsidRPr="00BA3F3D">
        <w:rPr>
          <w:rFonts w:eastAsiaTheme="minorHAnsi" w:cs="Times New Roman"/>
          <w:noProof/>
          <w:szCs w:val="22"/>
        </w:rPr>
        <w:t>)</w:t>
      </w:r>
      <w:r w:rsidR="00301182" w:rsidRPr="00BA3F3D">
        <w:rPr>
          <w:rFonts w:eastAsiaTheme="minorHAnsi" w:cs="Times New Roman"/>
          <w:szCs w:val="22"/>
        </w:rPr>
        <w:fldChar w:fldCharType="end"/>
      </w:r>
      <w:r w:rsidRPr="00BA3F3D">
        <w:rPr>
          <w:rFonts w:eastAsiaTheme="minorHAnsi" w:cs="Times New Roman"/>
          <w:szCs w:val="22"/>
        </w:rPr>
        <w:t xml:space="preserve"> found only mid-parent heterosis. Maternal effects, traits which are linked to nuclear factors found in the cytoplasm, have also been identified in switchgrass. Martinez-Reyna </w:t>
      </w:r>
      <w:r w:rsidR="00301182" w:rsidRPr="00BA3F3D">
        <w:rPr>
          <w:rFonts w:eastAsiaTheme="minorHAnsi" w:cs="Times New Roman"/>
          <w:szCs w:val="22"/>
        </w:rPr>
        <w:fldChar w:fldCharType="begin"/>
      </w:r>
      <w:r w:rsidRPr="00BA3F3D">
        <w:rPr>
          <w:rFonts w:eastAsiaTheme="minorHAnsi" w:cs="Times New Roman"/>
          <w:szCs w:val="22"/>
        </w:rPr>
        <w:instrText xml:space="preserve"> ADDIN EN.CITE &lt;EndNote&gt;&lt;Cite ExcludeAuth="1"&gt;&lt;Author&gt;Martinez-Reyna&lt;/Author&gt;&lt;Year&gt;2008&lt;/Year&gt;&lt;RecNum&gt;259&lt;/RecNum&gt;&lt;DisplayText&gt;(2008)&lt;/DisplayText&gt;&lt;record&gt;&lt;rec-number&gt;259&lt;/rec-number&gt;&lt;foreign-keys&gt;&lt;key app="EN" db-id="9zfxt259rawwvce0pfa5efeuatdw0pz5va5z" timestamp="1323887732"&gt;259&lt;/key&gt;&lt;/foreign-keys&gt;&lt;ref-type name="Journal Article"&gt;17&lt;/ref-type&gt;&lt;contributors&gt;&lt;authors&gt;&lt;author&gt;Martinez-Reyna, J.M.&lt;/author&gt;&lt;author&gt;Vogel, K.P.&lt;/author&gt;&lt;/authors&gt;&lt;/contributors&gt;&lt;titles&gt;&lt;title&gt;Heterosis in switchgrass:  Spaced plants&lt;/title&gt;&lt;secondary-title&gt;Crop Sci.&lt;/secondary-title&gt;&lt;/titles&gt;&lt;periodical&gt;&lt;full-title&gt;Crop Sci.&lt;/full-title&gt;&lt;/periodical&gt;&lt;pages&gt;1312-1320&lt;/pages&gt;&lt;volume&gt;48&lt;/volume&gt;&lt;section&gt;1312&lt;/section&gt;&lt;dates&gt;&lt;year&gt;2008&lt;/year&gt;&lt;/dates&gt;&lt;urls&gt;&lt;/urls&gt;&lt;/record&gt;&lt;/Cite&gt;&lt;/EndNote&gt;</w:instrText>
      </w:r>
      <w:r w:rsidR="00301182" w:rsidRPr="00BA3F3D">
        <w:rPr>
          <w:rFonts w:eastAsiaTheme="minorHAnsi" w:cs="Times New Roman"/>
          <w:szCs w:val="22"/>
        </w:rPr>
        <w:fldChar w:fldCharType="separate"/>
      </w:r>
      <w:r w:rsidRPr="00BA3F3D">
        <w:rPr>
          <w:rFonts w:eastAsiaTheme="minorHAnsi" w:cs="Times New Roman"/>
          <w:noProof/>
          <w:szCs w:val="22"/>
        </w:rPr>
        <w:t>(</w:t>
      </w:r>
      <w:hyperlink w:anchor="_ENREF_68" w:tooltip="Martinez-Reyna, 2008 #259" w:history="1">
        <w:r w:rsidR="00FB5014" w:rsidRPr="00BA3F3D">
          <w:rPr>
            <w:rFonts w:eastAsiaTheme="minorHAnsi" w:cs="Times New Roman"/>
            <w:noProof/>
            <w:szCs w:val="22"/>
          </w:rPr>
          <w:t>2008</w:t>
        </w:r>
      </w:hyperlink>
      <w:r w:rsidRPr="00BA3F3D">
        <w:rPr>
          <w:rFonts w:eastAsiaTheme="minorHAnsi" w:cs="Times New Roman"/>
          <w:noProof/>
          <w:szCs w:val="22"/>
        </w:rPr>
        <w:t>)</w:t>
      </w:r>
      <w:r w:rsidR="00301182" w:rsidRPr="00BA3F3D">
        <w:rPr>
          <w:rFonts w:eastAsiaTheme="minorHAnsi" w:cs="Times New Roman"/>
          <w:szCs w:val="22"/>
        </w:rPr>
        <w:fldChar w:fldCharType="end"/>
      </w:r>
      <w:r w:rsidRPr="00BA3F3D">
        <w:rPr>
          <w:rFonts w:eastAsiaTheme="minorHAnsi" w:cs="Times New Roman"/>
          <w:szCs w:val="22"/>
        </w:rPr>
        <w:t xml:space="preserve"> identified maternal effects for switchgrass seed weight, with seed from the </w:t>
      </w:r>
      <w:r w:rsidR="00797B6E">
        <w:rPr>
          <w:rFonts w:eastAsiaTheme="minorHAnsi" w:cs="Times New Roman"/>
          <w:szCs w:val="22"/>
        </w:rPr>
        <w:t xml:space="preserve">cross of </w:t>
      </w:r>
      <w:r w:rsidRPr="00BA3F3D">
        <w:rPr>
          <w:rFonts w:eastAsiaTheme="minorHAnsi" w:cs="Times New Roman"/>
          <w:szCs w:val="22"/>
        </w:rPr>
        <w:t>Kanlow x Summer having a significantly gr</w:t>
      </w:r>
      <w:r w:rsidR="00797B6E">
        <w:rPr>
          <w:rFonts w:eastAsiaTheme="minorHAnsi" w:cs="Times New Roman"/>
          <w:szCs w:val="22"/>
        </w:rPr>
        <w:t xml:space="preserve">eater weight than seed from the reciprocal cross, </w:t>
      </w:r>
      <w:r w:rsidRPr="00BA3F3D">
        <w:rPr>
          <w:rFonts w:eastAsiaTheme="minorHAnsi" w:cs="Times New Roman"/>
          <w:szCs w:val="22"/>
        </w:rPr>
        <w:t xml:space="preserve">Summer x Kanlow. A full diallel crossing system, in which every parent is crossed with every other parent, including reciprocal crosses, allows for evaluation of both maternal effects and general and specific combining ability of parent plants </w:t>
      </w:r>
      <w:r w:rsidR="00301182" w:rsidRPr="00BA3F3D">
        <w:rPr>
          <w:rFonts w:eastAsiaTheme="minorHAnsi" w:cs="Times New Roman"/>
          <w:szCs w:val="22"/>
        </w:rPr>
        <w:fldChar w:fldCharType="begin"/>
      </w:r>
      <w:r w:rsidRPr="00BA3F3D">
        <w:rPr>
          <w:rFonts w:eastAsiaTheme="minorHAnsi" w:cs="Times New Roman"/>
          <w:szCs w:val="22"/>
        </w:rPr>
        <w:instrText xml:space="preserve"> ADDIN EN.CITE &lt;EndNote&gt;&lt;Cite&gt;&lt;Author&gt;Griffing&lt;/Author&gt;&lt;Year&gt;1956&lt;/Year&gt;&lt;RecNum&gt;262&lt;/RecNum&gt;&lt;DisplayText&gt;(Griffing, 1956)&lt;/DisplayText&gt;&lt;record&gt;&lt;rec-number&gt;262&lt;/rec-number&gt;&lt;foreign-keys&gt;&lt;key app="EN" db-id="9zfxt259rawwvce0pfa5efeuatdw0pz5va5z" timestamp="1326988408"&gt;262&lt;/key&gt;&lt;/foreign-keys&gt;&lt;ref-type name="Journal Article"&gt;17&lt;/ref-type&gt;&lt;contributors&gt;&lt;authors&gt;&lt;author&gt;Griffing, B.&lt;/author&gt;&lt;/authors&gt;&lt;/contributors&gt;&lt;titles&gt;&lt;title&gt;Concept of general and specific combining ability in relation to diallel crossing systems&lt;/title&gt;&lt;secondary-title&gt;Austr. J. Biol. Sci.&lt;/secondary-title&gt;&lt;/titles&gt;&lt;periodical&gt;&lt;full-title&gt;Austr. J. Biol. Sci.&lt;/full-title&gt;&lt;/periodical&gt;&lt;pages&gt;463-493&lt;/pages&gt;&lt;volume&gt;9&lt;/volume&gt;&lt;dates&gt;&lt;year&gt;1956&lt;/year&gt;&lt;/dates&gt;&lt;urls&gt;&lt;/urls&gt;&lt;/record&gt;&lt;/Cite&gt;&lt;/EndNote&gt;</w:instrText>
      </w:r>
      <w:r w:rsidR="00301182" w:rsidRPr="00BA3F3D">
        <w:rPr>
          <w:rFonts w:eastAsiaTheme="minorHAnsi" w:cs="Times New Roman"/>
          <w:szCs w:val="22"/>
        </w:rPr>
        <w:fldChar w:fldCharType="separate"/>
      </w:r>
      <w:r w:rsidRPr="00BA3F3D">
        <w:rPr>
          <w:rFonts w:eastAsiaTheme="minorHAnsi" w:cs="Times New Roman"/>
          <w:noProof/>
          <w:szCs w:val="22"/>
        </w:rPr>
        <w:t>(</w:t>
      </w:r>
      <w:hyperlink w:anchor="_ENREF_40" w:tooltip="Griffing, 1956 #262" w:history="1">
        <w:r w:rsidR="00FB5014" w:rsidRPr="00BA3F3D">
          <w:rPr>
            <w:rFonts w:eastAsiaTheme="minorHAnsi" w:cs="Times New Roman"/>
            <w:noProof/>
            <w:szCs w:val="22"/>
          </w:rPr>
          <w:t>Griffing, 1956</w:t>
        </w:r>
      </w:hyperlink>
      <w:r w:rsidRPr="00BA3F3D">
        <w:rPr>
          <w:rFonts w:eastAsiaTheme="minorHAnsi" w:cs="Times New Roman"/>
          <w:noProof/>
          <w:szCs w:val="22"/>
        </w:rPr>
        <w:t>)</w:t>
      </w:r>
      <w:r w:rsidR="00301182" w:rsidRPr="00BA3F3D">
        <w:rPr>
          <w:rFonts w:eastAsiaTheme="minorHAnsi" w:cs="Times New Roman"/>
          <w:szCs w:val="22"/>
        </w:rPr>
        <w:fldChar w:fldCharType="end"/>
      </w:r>
      <w:r w:rsidRPr="00BA3F3D">
        <w:rPr>
          <w:rFonts w:eastAsiaTheme="minorHAnsi" w:cs="Times New Roman"/>
          <w:szCs w:val="22"/>
        </w:rPr>
        <w:t>. General combining ability is defined as the average performance of a line in a hybrid combination while specific combining ability is defined as the performance of specific combinations in relation to the average performance of the lines involved. These values allow breeders to predict hybrid and synthetic variety performance. A diallel system may also be used to estimate variance components of the population. For a tetraploid plant, such as lowland switchgrass, σ</w:t>
      </w:r>
      <w:r w:rsidRPr="00BA3F3D">
        <w:rPr>
          <w:rFonts w:eastAsiaTheme="minorHAnsi" w:cs="Times New Roman"/>
          <w:szCs w:val="22"/>
          <w:vertAlign w:val="superscript"/>
        </w:rPr>
        <w:t>2</w:t>
      </w:r>
      <w:r w:rsidRPr="00BA3F3D">
        <w:rPr>
          <w:rFonts w:eastAsiaTheme="minorHAnsi" w:cs="Times New Roman"/>
          <w:szCs w:val="22"/>
          <w:vertAlign w:val="subscript"/>
        </w:rPr>
        <w:t>A</w:t>
      </w:r>
      <w:r w:rsidRPr="00BA3F3D">
        <w:rPr>
          <w:rFonts w:eastAsiaTheme="minorHAnsi" w:cs="Times New Roman"/>
          <w:szCs w:val="22"/>
        </w:rPr>
        <w:t xml:space="preserve"> and σ</w:t>
      </w:r>
      <w:r w:rsidRPr="00BA3F3D">
        <w:rPr>
          <w:rFonts w:eastAsiaTheme="minorHAnsi" w:cs="Times New Roman"/>
          <w:szCs w:val="22"/>
          <w:vertAlign w:val="superscript"/>
        </w:rPr>
        <w:t>2</w:t>
      </w:r>
      <w:r w:rsidRPr="00BA3F3D">
        <w:rPr>
          <w:rFonts w:eastAsiaTheme="minorHAnsi" w:cs="Times New Roman"/>
          <w:szCs w:val="22"/>
          <w:vertAlign w:val="subscript"/>
        </w:rPr>
        <w:t xml:space="preserve">D </w:t>
      </w:r>
      <w:r w:rsidRPr="00BA3F3D">
        <w:rPr>
          <w:rFonts w:eastAsiaTheme="minorHAnsi" w:cs="Times New Roman"/>
          <w:szCs w:val="22"/>
        </w:rPr>
        <w:t xml:space="preserve">can be estimated using the following formulas </w:t>
      </w:r>
      <w:r w:rsidR="00301182" w:rsidRPr="00BA3F3D">
        <w:rPr>
          <w:rFonts w:eastAsiaTheme="minorHAnsi" w:cs="Times New Roman"/>
          <w:szCs w:val="22"/>
        </w:rPr>
        <w:fldChar w:fldCharType="begin"/>
      </w:r>
      <w:r w:rsidR="003D2B24">
        <w:rPr>
          <w:rFonts w:eastAsiaTheme="minorHAnsi" w:cs="Times New Roman"/>
          <w:szCs w:val="22"/>
        </w:rPr>
        <w:instrText xml:space="preserve"> ADDIN EN.CITE &lt;EndNote&gt;&lt;Cite&gt;&lt;Author&gt;Wricke&lt;/Author&gt;&lt;Year&gt;1986&lt;/Year&gt;&lt;RecNum&gt;261&lt;/RecNum&gt;&lt;DisplayText&gt;(Wricke and Weber, 1986)&lt;/DisplayText&gt;&lt;record&gt;&lt;rec-number&gt;261&lt;/rec-number&gt;&lt;foreign-keys&gt;&lt;key app="EN" db-id="9zfxt259rawwvce0pfa5efeuatdw0pz5va5z" timestamp="1326988292"&gt;261&lt;/key&gt;&lt;/foreign-keys&gt;&lt;ref-type name="Book"&gt;6&lt;/ref-type&gt;&lt;contributors&gt;&lt;authors&gt;&lt;author&gt;Wricke, Gunter&lt;/author&gt;&lt;author&gt;Weber, W. Eberhard&lt;/author&gt;&lt;/authors&gt;&lt;/contributors&gt;&lt;titles&gt;&lt;title&gt;Quantitative Genetics and Selection in Plant Breeding. &lt;/title&gt;&lt;/titles&gt;&lt;dates&gt;&lt;year&gt;1986&lt;/year&gt;&lt;/dates&gt;&lt;pub-location&gt;New York&lt;/pub-location&gt;&lt;publisher&gt;Walter de Gruyter&lt;/publisher&gt;&lt;urls&gt;&lt;/urls&gt;&lt;/record&gt;&lt;/Cite&gt;&lt;/EndNote&gt;</w:instrText>
      </w:r>
      <w:r w:rsidR="00301182" w:rsidRPr="00BA3F3D">
        <w:rPr>
          <w:rFonts w:eastAsiaTheme="minorHAnsi" w:cs="Times New Roman"/>
          <w:szCs w:val="22"/>
        </w:rPr>
        <w:fldChar w:fldCharType="separate"/>
      </w:r>
      <w:r w:rsidRPr="00BA3F3D">
        <w:rPr>
          <w:rFonts w:eastAsiaTheme="minorHAnsi" w:cs="Times New Roman"/>
          <w:noProof/>
          <w:szCs w:val="22"/>
        </w:rPr>
        <w:t>(</w:t>
      </w:r>
      <w:hyperlink w:anchor="_ENREF_104" w:tooltip="Wricke, 1986 #261" w:history="1">
        <w:r w:rsidR="00FB5014" w:rsidRPr="00BA3F3D">
          <w:rPr>
            <w:rFonts w:eastAsiaTheme="minorHAnsi" w:cs="Times New Roman"/>
            <w:noProof/>
            <w:szCs w:val="22"/>
          </w:rPr>
          <w:t>Wricke and Weber, 1986</w:t>
        </w:r>
      </w:hyperlink>
      <w:r w:rsidRPr="00BA3F3D">
        <w:rPr>
          <w:rFonts w:eastAsiaTheme="minorHAnsi" w:cs="Times New Roman"/>
          <w:noProof/>
          <w:szCs w:val="22"/>
        </w:rPr>
        <w:t>)</w:t>
      </w:r>
      <w:r w:rsidR="00301182" w:rsidRPr="00BA3F3D">
        <w:rPr>
          <w:rFonts w:eastAsiaTheme="minorHAnsi" w:cs="Times New Roman"/>
          <w:szCs w:val="22"/>
        </w:rPr>
        <w:fldChar w:fldCharType="end"/>
      </w:r>
      <w:r w:rsidRPr="00BA3F3D">
        <w:rPr>
          <w:rFonts w:eastAsiaTheme="minorHAnsi" w:cs="Times New Roman"/>
          <w:szCs w:val="22"/>
        </w:rPr>
        <w:t>:</w:t>
      </w:r>
    </w:p>
    <w:p w14:paraId="4FA4A7BB" w14:textId="77777777" w:rsidR="00596A40" w:rsidRPr="00BA3F3D" w:rsidRDefault="00596A40" w:rsidP="00596A40">
      <w:pPr>
        <w:rPr>
          <w:rFonts w:eastAsiaTheme="minorHAnsi" w:cs="Times New Roman"/>
          <w:szCs w:val="22"/>
          <w:vertAlign w:val="subscript"/>
        </w:rPr>
      </w:pPr>
      <w:r w:rsidRPr="00BA3F3D">
        <w:rPr>
          <w:rFonts w:eastAsiaTheme="minorHAnsi" w:cs="Times New Roman"/>
          <w:szCs w:val="22"/>
        </w:rPr>
        <w:t>σ</w:t>
      </w:r>
      <w:r w:rsidRPr="00BA3F3D">
        <w:rPr>
          <w:rFonts w:eastAsiaTheme="minorHAnsi" w:cs="Times New Roman"/>
          <w:szCs w:val="22"/>
          <w:vertAlign w:val="superscript"/>
        </w:rPr>
        <w:t>2</w:t>
      </w:r>
      <w:r w:rsidRPr="00BA3F3D">
        <w:rPr>
          <w:rFonts w:eastAsiaTheme="minorHAnsi" w:cs="Times New Roman"/>
          <w:szCs w:val="22"/>
          <w:vertAlign w:val="subscript"/>
        </w:rPr>
        <w:t>A</w:t>
      </w:r>
      <w:r w:rsidRPr="00BA3F3D">
        <w:rPr>
          <w:rFonts w:eastAsiaTheme="minorHAnsi" w:cs="Times New Roman"/>
          <w:szCs w:val="22"/>
        </w:rPr>
        <w:t xml:space="preserve"> = 4σ</w:t>
      </w:r>
      <w:r w:rsidRPr="00BA3F3D">
        <w:rPr>
          <w:rFonts w:eastAsiaTheme="minorHAnsi" w:cs="Times New Roman"/>
          <w:szCs w:val="22"/>
          <w:vertAlign w:val="superscript"/>
        </w:rPr>
        <w:t>2</w:t>
      </w:r>
      <w:r w:rsidRPr="00BA3F3D">
        <w:rPr>
          <w:rFonts w:eastAsiaTheme="minorHAnsi" w:cs="Times New Roman"/>
          <w:szCs w:val="22"/>
          <w:vertAlign w:val="subscript"/>
        </w:rPr>
        <w:t>gca</w:t>
      </w:r>
      <w:r w:rsidRPr="00BA3F3D">
        <w:rPr>
          <w:rFonts w:eastAsiaTheme="minorHAnsi" w:cs="Times New Roman"/>
          <w:szCs w:val="22"/>
        </w:rPr>
        <w:t xml:space="preserve"> – 2/3 σ</w:t>
      </w:r>
      <w:r w:rsidRPr="00BA3F3D">
        <w:rPr>
          <w:rFonts w:eastAsiaTheme="minorHAnsi" w:cs="Times New Roman"/>
          <w:szCs w:val="22"/>
          <w:vertAlign w:val="superscript"/>
        </w:rPr>
        <w:t xml:space="preserve"> 2</w:t>
      </w:r>
      <w:r w:rsidRPr="00BA3F3D">
        <w:rPr>
          <w:rFonts w:eastAsiaTheme="minorHAnsi" w:cs="Times New Roman"/>
          <w:szCs w:val="22"/>
          <w:vertAlign w:val="subscript"/>
        </w:rPr>
        <w:t>sca</w:t>
      </w:r>
    </w:p>
    <w:p w14:paraId="7AC389A5" w14:textId="77777777" w:rsidR="00596A40" w:rsidRDefault="00596A40" w:rsidP="00596A40">
      <w:pPr>
        <w:rPr>
          <w:rFonts w:eastAsiaTheme="minorHAnsi" w:cs="Times New Roman"/>
          <w:szCs w:val="22"/>
        </w:rPr>
      </w:pPr>
      <w:r w:rsidRPr="00BA3F3D">
        <w:rPr>
          <w:rFonts w:eastAsiaTheme="minorHAnsi" w:cs="Times New Roman"/>
          <w:szCs w:val="22"/>
        </w:rPr>
        <w:t>σ</w:t>
      </w:r>
      <w:r w:rsidRPr="00BA3F3D">
        <w:rPr>
          <w:rFonts w:eastAsiaTheme="minorHAnsi" w:cs="Times New Roman"/>
          <w:szCs w:val="22"/>
          <w:vertAlign w:val="superscript"/>
        </w:rPr>
        <w:t>2</w:t>
      </w:r>
      <w:r w:rsidRPr="00BA3F3D">
        <w:rPr>
          <w:rFonts w:eastAsiaTheme="minorHAnsi" w:cs="Times New Roman"/>
          <w:szCs w:val="22"/>
          <w:vertAlign w:val="subscript"/>
        </w:rPr>
        <w:t>D</w:t>
      </w:r>
      <w:r w:rsidRPr="00BA3F3D">
        <w:rPr>
          <w:rFonts w:eastAsiaTheme="minorHAnsi" w:cs="Times New Roman"/>
          <w:szCs w:val="22"/>
        </w:rPr>
        <w:t xml:space="preserve"> = 6 σ</w:t>
      </w:r>
      <w:r w:rsidRPr="00BA3F3D">
        <w:rPr>
          <w:rFonts w:eastAsiaTheme="minorHAnsi" w:cs="Times New Roman"/>
          <w:szCs w:val="22"/>
          <w:vertAlign w:val="superscript"/>
        </w:rPr>
        <w:t xml:space="preserve"> 2</w:t>
      </w:r>
      <w:r w:rsidRPr="00BA3F3D">
        <w:rPr>
          <w:rFonts w:eastAsiaTheme="minorHAnsi" w:cs="Times New Roman"/>
          <w:szCs w:val="22"/>
          <w:vertAlign w:val="subscript"/>
        </w:rPr>
        <w:t>sca</w:t>
      </w:r>
      <w:r w:rsidRPr="00BA3F3D">
        <w:rPr>
          <w:rFonts w:eastAsiaTheme="minorHAnsi" w:cs="Times New Roman"/>
          <w:szCs w:val="22"/>
        </w:rPr>
        <w:t xml:space="preserve">. </w:t>
      </w:r>
    </w:p>
    <w:p w14:paraId="3A84818B" w14:textId="05A49008" w:rsidR="00596A40" w:rsidRPr="00BB185F" w:rsidRDefault="00596A40" w:rsidP="00596A40">
      <w:pPr>
        <w:ind w:firstLine="720"/>
        <w:rPr>
          <w:rFonts w:eastAsiaTheme="minorHAnsi"/>
          <w:szCs w:val="22"/>
        </w:rPr>
      </w:pPr>
      <w:r>
        <w:rPr>
          <w:rFonts w:eastAsiaTheme="minorHAnsi" w:cs="Times New Roman"/>
          <w:szCs w:val="22"/>
        </w:rPr>
        <w:lastRenderedPageBreak/>
        <w:t xml:space="preserve">In addition to determining genetic variance components for various traits that may be important to switchgrass, determining the efficacy of early selection in switchgrass could greatly aid the breeding process. </w:t>
      </w:r>
      <w:r>
        <w:rPr>
          <w:rFonts w:eastAsiaTheme="minorHAnsi"/>
          <w:szCs w:val="22"/>
        </w:rPr>
        <w:t>Selecting for improved switchgrass</w:t>
      </w:r>
      <w:r w:rsidR="009E3F66">
        <w:rPr>
          <w:rFonts w:eastAsiaTheme="minorHAnsi"/>
          <w:szCs w:val="22"/>
        </w:rPr>
        <w:t xml:space="preserve"> for biofuels</w:t>
      </w:r>
      <w:r>
        <w:rPr>
          <w:rFonts w:eastAsiaTheme="minorHAnsi"/>
          <w:szCs w:val="22"/>
        </w:rPr>
        <w:t xml:space="preserve"> can be time consuming </w:t>
      </w:r>
      <w:r w:rsidRPr="00BB185F">
        <w:rPr>
          <w:rFonts w:eastAsiaTheme="minorHAnsi"/>
          <w:szCs w:val="22"/>
        </w:rPr>
        <w:t xml:space="preserve">since switchgrass takes approximately three years to reach full biomass yield potential </w:t>
      </w:r>
      <w:r w:rsidR="00301182" w:rsidRPr="00BB185F">
        <w:rPr>
          <w:rFonts w:eastAsiaTheme="minorHAnsi"/>
          <w:szCs w:val="22"/>
        </w:rPr>
        <w:fldChar w:fldCharType="begin"/>
      </w:r>
      <w:r w:rsidRPr="00BB185F">
        <w:rPr>
          <w:rFonts w:eastAsiaTheme="minorHAnsi"/>
          <w:szCs w:val="22"/>
        </w:rPr>
        <w:instrText xml:space="preserve"> ADDIN EN.CITE &lt;EndNote&gt;&lt;Cite&gt;&lt;Author&gt;Garland&lt;/Author&gt;&lt;Year&gt;2008&lt;/Year&gt;&lt;RecNum&gt;242&lt;/RecNum&gt;&lt;DisplayText&gt;(Garland, 2008)&lt;/DisplayText&gt;&lt;record&gt;&lt;rec-number&gt;242&lt;/rec-number&gt;&lt;foreign-keys&gt;&lt;key app="EN" db-id="9zfxt259rawwvce0pfa5efeuatdw0pz5va5z" timestamp="1320085380"&gt;242&lt;/key&gt;&lt;/foreign-keys&gt;&lt;ref-type name="Pamphlet"&gt;24&lt;/ref-type&gt;&lt;contributors&gt;&lt;authors&gt;&lt;author&gt;Garland, C.D.&lt;/author&gt;&lt;/authors&gt;&lt;/contributors&gt;&lt;titles&gt;&lt;title&gt;Growing and harvesting switchgrass for ethanol production in Tennessee&lt;/title&gt;&lt;secondary-title&gt;UT Biofuels Initiative - SP701-A-5M-5/08&lt;/secondary-title&gt;&lt;/titles&gt;&lt;volume&gt;SP701-A-5M-5/08&lt;/volume&gt;&lt;dates&gt;&lt;year&gt;2008&lt;/year&gt;&lt;/dates&gt;&lt;pub-location&gt;Knoxville, TN&lt;/pub-location&gt;&lt;publisher&gt;UT Extension&lt;/publisher&gt;&lt;urls&gt;&lt;/urls&gt;&lt;/record&gt;&lt;/Cite&gt;&lt;/EndNote&gt;</w:instrText>
      </w:r>
      <w:r w:rsidR="00301182" w:rsidRPr="00BB185F">
        <w:rPr>
          <w:rFonts w:eastAsiaTheme="minorHAnsi"/>
          <w:szCs w:val="22"/>
        </w:rPr>
        <w:fldChar w:fldCharType="separate"/>
      </w:r>
      <w:r w:rsidRPr="00BB185F">
        <w:rPr>
          <w:rFonts w:eastAsiaTheme="minorHAnsi"/>
          <w:noProof/>
          <w:szCs w:val="22"/>
        </w:rPr>
        <w:t>(</w:t>
      </w:r>
      <w:hyperlink w:anchor="_ENREF_36" w:tooltip="Garland, 2008 #242" w:history="1">
        <w:r w:rsidR="00FB5014" w:rsidRPr="00BB185F">
          <w:rPr>
            <w:rFonts w:eastAsiaTheme="minorHAnsi"/>
            <w:noProof/>
            <w:szCs w:val="22"/>
          </w:rPr>
          <w:t>Garland, 2008</w:t>
        </w:r>
      </w:hyperlink>
      <w:r w:rsidRPr="00BB185F">
        <w:rPr>
          <w:rFonts w:eastAsiaTheme="minorHAnsi"/>
          <w:noProof/>
          <w:szCs w:val="22"/>
        </w:rPr>
        <w:t>)</w:t>
      </w:r>
      <w:r w:rsidR="00301182" w:rsidRPr="00BB185F">
        <w:rPr>
          <w:rFonts w:eastAsiaTheme="minorHAnsi"/>
          <w:szCs w:val="22"/>
        </w:rPr>
        <w:fldChar w:fldCharType="end"/>
      </w:r>
      <w:r w:rsidRPr="00BB185F">
        <w:rPr>
          <w:rFonts w:eastAsiaTheme="minorHAnsi"/>
          <w:szCs w:val="22"/>
        </w:rPr>
        <w:t>. The selection process could be hastened by making selections prior to plants achieving full biomass yield potential, however, the efficacy of early selection for biomass yield or ethanol yield in switchgrass has not yet been fully examined</w:t>
      </w:r>
      <w:r w:rsidR="00954DB7">
        <w:rPr>
          <w:rFonts w:eastAsiaTheme="minorHAnsi"/>
          <w:szCs w:val="22"/>
        </w:rPr>
        <w:t xml:space="preserve">. </w:t>
      </w:r>
      <w:r w:rsidRPr="00BB185F">
        <w:rPr>
          <w:rFonts w:eastAsiaTheme="minorHAnsi"/>
          <w:szCs w:val="22"/>
        </w:rPr>
        <w:t xml:space="preserve"> </w:t>
      </w:r>
    </w:p>
    <w:p w14:paraId="086A7C0E" w14:textId="7997A5D1" w:rsidR="00596A40" w:rsidRPr="00BB185F" w:rsidRDefault="00596A40" w:rsidP="00596A40">
      <w:pPr>
        <w:ind w:firstLine="720"/>
        <w:rPr>
          <w:rFonts w:eastAsiaTheme="minorHAnsi"/>
          <w:szCs w:val="22"/>
        </w:rPr>
      </w:pPr>
      <w:r w:rsidRPr="00BB185F">
        <w:rPr>
          <w:rFonts w:eastAsiaTheme="minorHAnsi"/>
          <w:szCs w:val="22"/>
        </w:rPr>
        <w:t>Evaluations of switchgrass at a juvenile seedling stage, either in a greenhouse or in the field, could result in huge savings of time, space, labor, and money. In switchgrass, seedling selection for tillering was effective at increasing the mean yield tiller</w:t>
      </w:r>
      <w:r w:rsidRPr="009E3F66">
        <w:rPr>
          <w:rFonts w:eastAsiaTheme="minorHAnsi"/>
          <w:szCs w:val="22"/>
          <w:vertAlign w:val="superscript"/>
        </w:rPr>
        <w:t xml:space="preserve">-1 </w:t>
      </w:r>
      <w:r w:rsidRPr="00BB185F">
        <w:rPr>
          <w:rFonts w:eastAsiaTheme="minorHAnsi"/>
          <w:szCs w:val="22"/>
        </w:rPr>
        <w:t>in mature plants, though no significant difference in yield plant</w:t>
      </w:r>
      <w:r w:rsidRPr="009E3F66">
        <w:rPr>
          <w:rFonts w:eastAsiaTheme="minorHAnsi"/>
          <w:szCs w:val="22"/>
          <w:vertAlign w:val="superscript"/>
        </w:rPr>
        <w:t>-1</w:t>
      </w:r>
      <w:r w:rsidRPr="00BB185F">
        <w:rPr>
          <w:rFonts w:eastAsiaTheme="minorHAnsi"/>
          <w:szCs w:val="22"/>
        </w:rPr>
        <w:t xml:space="preserve"> was observed (Smart et al., 2004). In other fo</w:t>
      </w:r>
      <w:r w:rsidR="009E3F66">
        <w:rPr>
          <w:rFonts w:eastAsiaTheme="minorHAnsi"/>
          <w:szCs w:val="22"/>
        </w:rPr>
        <w:t>rage grasses, juvenile seedling</w:t>
      </w:r>
      <w:r w:rsidRPr="00BB185F">
        <w:rPr>
          <w:rFonts w:eastAsiaTheme="minorHAnsi"/>
          <w:szCs w:val="22"/>
        </w:rPr>
        <w:t xml:space="preserve"> selections have shown correlations to mature plant traits in Italian ryegrass (</w:t>
      </w:r>
      <w:r w:rsidRPr="00BB185F">
        <w:rPr>
          <w:rFonts w:eastAsiaTheme="minorHAnsi"/>
          <w:i/>
          <w:szCs w:val="22"/>
        </w:rPr>
        <w:t>Lolium multiflorum</w:t>
      </w:r>
      <w:r w:rsidRPr="00BB185F">
        <w:rPr>
          <w:rFonts w:eastAsiaTheme="minorHAnsi"/>
          <w:szCs w:val="22"/>
        </w:rPr>
        <w:t xml:space="preserve"> Lam.) and perennial rygrass (</w:t>
      </w:r>
      <w:r w:rsidRPr="00BB185F">
        <w:rPr>
          <w:rFonts w:eastAsiaTheme="minorHAnsi"/>
          <w:i/>
          <w:szCs w:val="22"/>
        </w:rPr>
        <w:t xml:space="preserve">Lolium perenne </w:t>
      </w:r>
      <w:r w:rsidRPr="00BB185F">
        <w:rPr>
          <w:rFonts w:eastAsiaTheme="minorHAnsi"/>
          <w:szCs w:val="22"/>
        </w:rPr>
        <w:t xml:space="preserve">L.) </w:t>
      </w:r>
      <w:r w:rsidR="005F3E43">
        <w:rPr>
          <w:rFonts w:eastAsiaTheme="minorHAnsi"/>
          <w:szCs w:val="22"/>
        </w:rPr>
        <w:t>for</w:t>
      </w:r>
      <w:r w:rsidRPr="00BB185F">
        <w:rPr>
          <w:rFonts w:eastAsiaTheme="minorHAnsi"/>
          <w:szCs w:val="22"/>
        </w:rPr>
        <w:t xml:space="preserve"> measurements of leaf length, </w:t>
      </w:r>
      <w:r w:rsidR="00B8390A">
        <w:rPr>
          <w:rFonts w:eastAsiaTheme="minorHAnsi"/>
          <w:szCs w:val="22"/>
        </w:rPr>
        <w:t>leaf width</w:t>
      </w:r>
      <w:r w:rsidRPr="00BB185F">
        <w:rPr>
          <w:rFonts w:eastAsiaTheme="minorHAnsi"/>
          <w:szCs w:val="22"/>
        </w:rPr>
        <w:t>, tiller number, and tiller weight (Edwards and Cooper, 1963) and in tall fescue with selection for yield tiller</w:t>
      </w:r>
      <w:r w:rsidRPr="00BB185F">
        <w:rPr>
          <w:rFonts w:eastAsiaTheme="minorHAnsi"/>
          <w:szCs w:val="22"/>
          <w:vertAlign w:val="superscript"/>
        </w:rPr>
        <w:t>-1</w:t>
      </w:r>
      <w:r w:rsidRPr="00BB185F">
        <w:rPr>
          <w:rFonts w:eastAsiaTheme="minorHAnsi"/>
          <w:szCs w:val="22"/>
        </w:rPr>
        <w:t xml:space="preserve"> and leaf expansion rate (Jones et al., 1979).</w:t>
      </w:r>
    </w:p>
    <w:p w14:paraId="7825CE4B" w14:textId="77777777" w:rsidR="00596A40" w:rsidRPr="00BB185F" w:rsidRDefault="00596A40" w:rsidP="00596A40">
      <w:pPr>
        <w:ind w:firstLine="720"/>
        <w:rPr>
          <w:rFonts w:eastAsiaTheme="minorHAnsi"/>
          <w:szCs w:val="22"/>
        </w:rPr>
      </w:pPr>
      <w:r w:rsidRPr="00BB185F">
        <w:rPr>
          <w:rFonts w:eastAsiaTheme="minorHAnsi"/>
          <w:szCs w:val="22"/>
        </w:rPr>
        <w:t xml:space="preserve">While many studies have shown that biomass yield in first year switchgrass is very poor and not representative of biomass yield in second or third year evaluations, no studies to date have examined whether selections for high biomass or high ethanol yield are effective prior to switchgrass reaching full biomass yield potential. While the space savings would not be as great as selection at juvenile stages, selection in the first or second year of establishment could still result in significant savings in time, money, and labor. Traits of interest in early selection include biomass yield, ethanol yield, and various morphological traits that may be associated with biomass or ethanol yield. </w:t>
      </w:r>
    </w:p>
    <w:p w14:paraId="5D680FB3" w14:textId="2E79C313" w:rsidR="00596A40" w:rsidRPr="00BA3F3D" w:rsidRDefault="00596A40" w:rsidP="00596A40">
      <w:pPr>
        <w:ind w:firstLine="720"/>
        <w:rPr>
          <w:rFonts w:eastAsiaTheme="minorHAnsi" w:cs="Times New Roman"/>
          <w:szCs w:val="22"/>
        </w:rPr>
      </w:pPr>
      <w:r>
        <w:rPr>
          <w:rFonts w:eastAsiaTheme="minorHAnsi" w:cs="Times New Roman"/>
          <w:szCs w:val="22"/>
        </w:rPr>
        <w:lastRenderedPageBreak/>
        <w:t xml:space="preserve">Knowledge of maternal effects, general and </w:t>
      </w:r>
      <w:r w:rsidRPr="00BA3F3D">
        <w:rPr>
          <w:rFonts w:eastAsiaTheme="minorHAnsi" w:cs="Times New Roman"/>
          <w:szCs w:val="22"/>
        </w:rPr>
        <w:t>specific combining ability</w:t>
      </w:r>
      <w:r>
        <w:rPr>
          <w:rFonts w:eastAsiaTheme="minorHAnsi" w:cs="Times New Roman"/>
          <w:szCs w:val="22"/>
        </w:rPr>
        <w:t>, and heterosis potential of parent material</w:t>
      </w:r>
      <w:r w:rsidRPr="00BA3F3D">
        <w:rPr>
          <w:rFonts w:eastAsiaTheme="minorHAnsi" w:cs="Times New Roman"/>
          <w:szCs w:val="22"/>
        </w:rPr>
        <w:t xml:space="preserve"> provide</w:t>
      </w:r>
      <w:r>
        <w:rPr>
          <w:rFonts w:eastAsiaTheme="minorHAnsi" w:cs="Times New Roman"/>
          <w:szCs w:val="22"/>
        </w:rPr>
        <w:t>s</w:t>
      </w:r>
      <w:r w:rsidRPr="00BA3F3D">
        <w:rPr>
          <w:rFonts w:eastAsiaTheme="minorHAnsi" w:cs="Times New Roman"/>
          <w:szCs w:val="22"/>
        </w:rPr>
        <w:t xml:space="preserve"> breeders greater directions when selecting parents for the development of improved synthetic populations or hybrids. </w:t>
      </w:r>
      <w:r>
        <w:rPr>
          <w:rFonts w:eastAsiaTheme="minorHAnsi" w:cs="Times New Roman"/>
          <w:szCs w:val="22"/>
        </w:rPr>
        <w:t xml:space="preserve">Information on the heritability of various morphological traits, correlations between morphological traits and biomass and </w:t>
      </w:r>
      <w:r w:rsidR="0095454C">
        <w:rPr>
          <w:rFonts w:eastAsiaTheme="minorHAnsi" w:cs="Times New Roman"/>
          <w:szCs w:val="22"/>
        </w:rPr>
        <w:t>predicted ethanol yield</w:t>
      </w:r>
      <w:r>
        <w:rPr>
          <w:rFonts w:eastAsiaTheme="minorHAnsi" w:cs="Times New Roman"/>
          <w:szCs w:val="22"/>
        </w:rPr>
        <w:t xml:space="preserve">, and early selection potential within lowland switchgrass populations can also further aid breeders in choosing more effective and efficient breeding methods for improving switchgrass as a biofuel crop. </w:t>
      </w:r>
      <w:r w:rsidRPr="00BA3F3D">
        <w:rPr>
          <w:rFonts w:eastAsiaTheme="minorHAnsi" w:cs="Times New Roman"/>
          <w:szCs w:val="22"/>
        </w:rPr>
        <w:t xml:space="preserve">The objective of this research is to </w:t>
      </w:r>
      <w:r w:rsidR="009E3F66">
        <w:rPr>
          <w:rFonts w:eastAsiaTheme="minorHAnsi" w:cs="Times New Roman"/>
          <w:szCs w:val="22"/>
        </w:rPr>
        <w:t>calculate</w:t>
      </w:r>
      <w:r w:rsidRPr="00BA3F3D">
        <w:rPr>
          <w:rFonts w:eastAsiaTheme="minorHAnsi" w:cs="Times New Roman"/>
          <w:szCs w:val="22"/>
        </w:rPr>
        <w:t xml:space="preserve"> trait correlations, </w:t>
      </w:r>
      <w:r>
        <w:rPr>
          <w:rFonts w:eastAsiaTheme="minorHAnsi" w:cs="Times New Roman"/>
          <w:szCs w:val="22"/>
        </w:rPr>
        <w:t xml:space="preserve">additive and dominance genetic variance components, heritability, general and specific combining ability, maternal effects, heterosis, and early selection potential of </w:t>
      </w:r>
      <w:r w:rsidRPr="00BA3F3D">
        <w:rPr>
          <w:rFonts w:eastAsiaTheme="minorHAnsi" w:cs="Times New Roman"/>
          <w:szCs w:val="22"/>
        </w:rPr>
        <w:t xml:space="preserve">morphological </w:t>
      </w:r>
      <w:r w:rsidR="005F3E43">
        <w:rPr>
          <w:rFonts w:eastAsiaTheme="minorHAnsi" w:cs="Times New Roman"/>
          <w:szCs w:val="22"/>
        </w:rPr>
        <w:t>traits and biomass and predicted ethanol yield</w:t>
      </w:r>
      <w:r w:rsidRPr="00BA3F3D">
        <w:rPr>
          <w:rFonts w:eastAsiaTheme="minorHAnsi" w:cs="Times New Roman"/>
          <w:szCs w:val="22"/>
        </w:rPr>
        <w:t xml:space="preserve"> in lowland switchgrass.</w:t>
      </w:r>
    </w:p>
    <w:p w14:paraId="7C2F3AFD" w14:textId="77777777" w:rsidR="00596A40" w:rsidRPr="00BA3F3D" w:rsidRDefault="00596A40" w:rsidP="009B24A0">
      <w:pPr>
        <w:pStyle w:val="Heading2"/>
        <w:rPr>
          <w:rFonts w:eastAsiaTheme="majorEastAsia"/>
        </w:rPr>
      </w:pPr>
      <w:bookmarkStart w:id="52" w:name="_Toc404069833"/>
      <w:r w:rsidRPr="00BA3F3D">
        <w:rPr>
          <w:rFonts w:eastAsiaTheme="majorEastAsia"/>
        </w:rPr>
        <w:t>Materials and Methods</w:t>
      </w:r>
      <w:bookmarkEnd w:id="52"/>
    </w:p>
    <w:p w14:paraId="3AF6EA81" w14:textId="77777777" w:rsidR="00596A40" w:rsidRPr="00BA3F3D" w:rsidRDefault="00596A40" w:rsidP="00596A40">
      <w:pPr>
        <w:pStyle w:val="Heading3"/>
        <w:rPr>
          <w:rFonts w:eastAsiaTheme="majorEastAsia" w:cs="Times New Roman"/>
        </w:rPr>
      </w:pPr>
      <w:bookmarkStart w:id="53" w:name="_Toc317593681"/>
      <w:bookmarkStart w:id="54" w:name="_Toc404069834"/>
      <w:r w:rsidRPr="00BA3F3D">
        <w:rPr>
          <w:rFonts w:eastAsiaTheme="majorEastAsia" w:cs="Times New Roman"/>
        </w:rPr>
        <w:t>Parent Material</w:t>
      </w:r>
      <w:bookmarkEnd w:id="53"/>
      <w:bookmarkEnd w:id="54"/>
    </w:p>
    <w:p w14:paraId="2D8F349A" w14:textId="6BD17ED3" w:rsidR="00596A40" w:rsidRPr="00BA3F3D" w:rsidRDefault="00596A40" w:rsidP="00596A40">
      <w:pPr>
        <w:ind w:firstLine="720"/>
        <w:rPr>
          <w:rFonts w:eastAsiaTheme="minorHAnsi" w:cs="Times New Roman"/>
          <w:szCs w:val="22"/>
        </w:rPr>
      </w:pPr>
      <w:r w:rsidRPr="00BA3F3D">
        <w:rPr>
          <w:rFonts w:eastAsiaTheme="minorHAnsi" w:cs="Times New Roman"/>
          <w:szCs w:val="22"/>
        </w:rPr>
        <w:t>Eight switchgrass parents were chosen based on 2010 field evaluations of either the plant itself or its progeny at the Plant Science Unit and Holston Unit of the East Tennessee Research and Education Center (ETREC) in Knoxville, TN</w:t>
      </w:r>
      <w:r w:rsidR="00E12E27">
        <w:rPr>
          <w:rFonts w:eastAsiaTheme="minorHAnsi" w:cs="Times New Roman"/>
          <w:szCs w:val="22"/>
        </w:rPr>
        <w:t xml:space="preserve"> </w:t>
      </w:r>
      <w:r w:rsidR="00E12E27">
        <w:rPr>
          <w:rFonts w:cs="Times New Roman"/>
        </w:rPr>
        <w:t>(35º58’11.3”N 83º51’08.7”W</w:t>
      </w:r>
      <w:r w:rsidR="008B2F15">
        <w:rPr>
          <w:rFonts w:cs="Times New Roman"/>
        </w:rPr>
        <w:t>, soil type: Shady-Whitewell complex</w:t>
      </w:r>
      <w:r w:rsidR="00E12E27">
        <w:rPr>
          <w:rFonts w:cs="Times New Roman"/>
        </w:rPr>
        <w:t>)</w:t>
      </w:r>
      <w:r w:rsidRPr="00BA3F3D">
        <w:rPr>
          <w:rFonts w:eastAsiaTheme="minorHAnsi" w:cs="Times New Roman"/>
          <w:szCs w:val="22"/>
        </w:rPr>
        <w:t xml:space="preserve">. Plants were chosen with divergence for the following traits of interest:  tiller count, stem size, </w:t>
      </w:r>
      <w:r w:rsidR="00B8390A">
        <w:rPr>
          <w:rFonts w:eastAsiaTheme="minorHAnsi" w:cs="Times New Roman"/>
          <w:szCs w:val="22"/>
        </w:rPr>
        <w:t>leaf width</w:t>
      </w:r>
      <w:r w:rsidRPr="00BA3F3D">
        <w:rPr>
          <w:rFonts w:eastAsiaTheme="minorHAnsi" w:cs="Times New Roman"/>
          <w:szCs w:val="22"/>
        </w:rPr>
        <w:t xml:space="preserve">, leaf </w:t>
      </w:r>
      <w:r w:rsidR="00DB61CB">
        <w:rPr>
          <w:rFonts w:eastAsiaTheme="minorHAnsi" w:cs="Times New Roman"/>
          <w:szCs w:val="22"/>
        </w:rPr>
        <w:t>plant color</w:t>
      </w:r>
      <w:r w:rsidRPr="00BA3F3D">
        <w:rPr>
          <w:rFonts w:eastAsiaTheme="minorHAnsi" w:cs="Times New Roman"/>
          <w:szCs w:val="22"/>
        </w:rPr>
        <w:t>, leaf orientation, and height and were considered a random sample representative of Alamo and Kanlow populations.</w:t>
      </w:r>
      <w:r>
        <w:rPr>
          <w:rFonts w:eastAsiaTheme="minorHAnsi" w:cs="Times New Roman"/>
          <w:szCs w:val="22"/>
        </w:rPr>
        <w:t xml:space="preserve"> Alamo is a cultivar collected in Texas in 1977 and Kanlow is a cultivar developed in Kansas and released in 1963</w:t>
      </w:r>
      <w:r w:rsidR="00580575">
        <w:rPr>
          <w:rFonts w:eastAsiaTheme="minorHAnsi" w:cs="Times New Roman"/>
          <w:szCs w:val="22"/>
        </w:rPr>
        <w:t xml:space="preserve"> </w:t>
      </w:r>
      <w:r w:rsidR="00580575">
        <w:rPr>
          <w:rFonts w:eastAsiaTheme="minorHAnsi" w:cs="Times New Roman"/>
        </w:rPr>
        <w:t>(USDA National Plant Germplasm System)</w:t>
      </w:r>
      <w:r>
        <w:rPr>
          <w:rFonts w:eastAsiaTheme="minorHAnsi" w:cs="Times New Roman"/>
          <w:szCs w:val="22"/>
        </w:rPr>
        <w:t xml:space="preserve">. These two cultivars are the most commonly grown cultivars in the state of TN, with Alamo being the </w:t>
      </w:r>
      <w:r w:rsidR="005F3E43">
        <w:rPr>
          <w:rFonts w:eastAsiaTheme="minorHAnsi" w:cs="Times New Roman"/>
          <w:szCs w:val="22"/>
        </w:rPr>
        <w:t>pre</w:t>
      </w:r>
      <w:r>
        <w:rPr>
          <w:rFonts w:eastAsiaTheme="minorHAnsi" w:cs="Times New Roman"/>
          <w:szCs w:val="22"/>
        </w:rPr>
        <w:t xml:space="preserve">dominant of the two </w:t>
      </w:r>
      <w:r w:rsidR="00301182">
        <w:rPr>
          <w:rFonts w:eastAsiaTheme="minorHAnsi" w:cs="Times New Roman"/>
          <w:szCs w:val="22"/>
        </w:rPr>
        <w:fldChar w:fldCharType="begin"/>
      </w:r>
      <w:r w:rsidR="00433FC9">
        <w:rPr>
          <w:rFonts w:eastAsiaTheme="minorHAnsi" w:cs="Times New Roman"/>
          <w:szCs w:val="22"/>
        </w:rPr>
        <w:instrText xml:space="preserve"> ADDIN EN.CITE &lt;EndNote&gt;&lt;Cite&gt;&lt;Author&gt;Garland&lt;/Author&gt;&lt;Year&gt;2008&lt;/Year&gt;&lt;RecNum&gt;242&lt;/RecNum&gt;&lt;DisplayText&gt;(Garland, 2008)&lt;/DisplayText&gt;&lt;record&gt;&lt;rec-number&gt;242&lt;/rec-number&gt;&lt;foreign-keys&gt;&lt;key app="EN" db-id="9zfxt259rawwvce0pfa5efeuatdw0pz5va5z" timestamp="1320085380"&gt;242&lt;/key&gt;&lt;/foreign-keys&gt;&lt;ref-type name="Pamphlet"&gt;24&lt;/ref-type&gt;&lt;contributors&gt;&lt;authors&gt;&lt;author&gt;Garland, C.D.&lt;/author&gt;&lt;/authors&gt;&lt;/contributors&gt;&lt;titles&gt;&lt;title&gt;Growing and harvesting switchgrass for ethanol production in Tennessee&lt;/title&gt;&lt;secondary-title&gt;UT Biofuels Initiative - SP701-A-5M-5/08&lt;/secondary-title&gt;&lt;/titles&gt;&lt;volume&gt;SP701-A-5M-5/08&lt;/volume&gt;&lt;dates&gt;&lt;year&gt;2008&lt;/year&gt;&lt;/dates&gt;&lt;pub-location&gt;Knoxville, TN&lt;/pub-location&gt;&lt;publisher&gt;UT Extension&lt;/publisher&gt;&lt;urls&gt;&lt;/urls&gt;&lt;/record&gt;&lt;/Cite&gt;&lt;/EndNote&gt;</w:instrText>
      </w:r>
      <w:r w:rsidR="00301182">
        <w:rPr>
          <w:rFonts w:eastAsiaTheme="minorHAnsi" w:cs="Times New Roman"/>
          <w:szCs w:val="22"/>
        </w:rPr>
        <w:fldChar w:fldCharType="separate"/>
      </w:r>
      <w:r w:rsidR="00433FC9">
        <w:rPr>
          <w:rFonts w:eastAsiaTheme="minorHAnsi" w:cs="Times New Roman"/>
          <w:noProof/>
          <w:szCs w:val="22"/>
        </w:rPr>
        <w:t>(</w:t>
      </w:r>
      <w:hyperlink w:anchor="_ENREF_36" w:tooltip="Garland, 2008 #242" w:history="1">
        <w:r w:rsidR="00FB5014">
          <w:rPr>
            <w:rFonts w:eastAsiaTheme="minorHAnsi" w:cs="Times New Roman"/>
            <w:noProof/>
            <w:szCs w:val="22"/>
          </w:rPr>
          <w:t>Garland, 2008</w:t>
        </w:r>
      </w:hyperlink>
      <w:r w:rsidR="00433FC9">
        <w:rPr>
          <w:rFonts w:eastAsiaTheme="minorHAnsi" w:cs="Times New Roman"/>
          <w:noProof/>
          <w:szCs w:val="22"/>
        </w:rPr>
        <w:t>)</w:t>
      </w:r>
      <w:r w:rsidR="00301182">
        <w:rPr>
          <w:rFonts w:eastAsiaTheme="minorHAnsi" w:cs="Times New Roman"/>
          <w:szCs w:val="22"/>
        </w:rPr>
        <w:fldChar w:fldCharType="end"/>
      </w:r>
      <w:r w:rsidR="00433FC9">
        <w:rPr>
          <w:rFonts w:eastAsiaTheme="minorHAnsi" w:cs="Times New Roman"/>
          <w:szCs w:val="22"/>
        </w:rPr>
        <w:t>.</w:t>
      </w:r>
      <w:r>
        <w:rPr>
          <w:rFonts w:eastAsiaTheme="minorHAnsi" w:cs="Times New Roman"/>
          <w:szCs w:val="22"/>
        </w:rPr>
        <w:t xml:space="preserve"> Five selections from Alamo were included, three of which were selected from populations </w:t>
      </w:r>
      <w:r>
        <w:rPr>
          <w:rFonts w:eastAsiaTheme="minorHAnsi" w:cs="Times New Roman"/>
          <w:szCs w:val="22"/>
        </w:rPr>
        <w:lastRenderedPageBreak/>
        <w:t xml:space="preserve">of the cultivar Alamo (A1, A10, AS), and two of which are genotypes selected from </w:t>
      </w:r>
      <w:r w:rsidRPr="003A540E">
        <w:rPr>
          <w:rFonts w:eastAsiaTheme="minorHAnsi" w:cs="Times New Roman"/>
          <w:szCs w:val="22"/>
        </w:rPr>
        <w:t>PI 607837</w:t>
      </w:r>
      <w:r>
        <w:rPr>
          <w:rFonts w:eastAsiaTheme="minorHAnsi" w:cs="Times New Roman"/>
          <w:szCs w:val="22"/>
        </w:rPr>
        <w:t>, which is an accession derived from the cultivar Alamo for low crown node placement in relation to the soil surface (T1, T4)</w:t>
      </w:r>
      <w:r w:rsidR="00433FC9">
        <w:rPr>
          <w:rFonts w:eastAsiaTheme="minorHAnsi" w:cs="Times New Roman"/>
          <w:szCs w:val="22"/>
        </w:rPr>
        <w:t xml:space="preserve"> </w:t>
      </w:r>
      <w:r w:rsidR="00301182">
        <w:rPr>
          <w:rFonts w:eastAsiaTheme="minorHAnsi" w:cs="Times New Roman"/>
          <w:szCs w:val="22"/>
        </w:rPr>
        <w:fldChar w:fldCharType="begin"/>
      </w:r>
      <w:r w:rsidR="00433FC9">
        <w:rPr>
          <w:rFonts w:eastAsiaTheme="minorHAnsi" w:cs="Times New Roman"/>
          <w:szCs w:val="22"/>
        </w:rPr>
        <w:instrText xml:space="preserve"> ADDIN EN.CITE &lt;EndNote&gt;&lt;Cite&gt;&lt;Author&gt;Tischler&lt;/Author&gt;&lt;Year&gt;2001&lt;/Year&gt;&lt;RecNum&gt;322&lt;/RecNum&gt;&lt;DisplayText&gt;(Tischler et al., 2001)&lt;/DisplayText&gt;&lt;record&gt;&lt;rec-number&gt;322&lt;/rec-number&gt;&lt;foreign-keys&gt;&lt;key app="EN" db-id="9zfxt259rawwvce0pfa5efeuatdw0pz5va5z" timestamp="1412005500"&gt;322&lt;/key&gt;&lt;/foreign-keys&gt;&lt;ref-type name="Journal Article"&gt;17&lt;/ref-type&gt;&lt;contributors&gt;&lt;authors&gt;&lt;author&gt;Tischler, C.R.&lt;/author&gt;&lt;author&gt;Elberson, H.W.&lt;/author&gt;&lt;author&gt;Hussey, M.A.&lt;/author&gt;&lt;author&gt;Ocumpaugh, W.R.&lt;/author&gt;&lt;author&gt;Reed, R.L.&lt;/author&gt;&lt;author&gt;Sanderson, M.A.&lt;/author&gt;&lt;/authors&gt;&lt;/contributors&gt;&lt;titles&gt;&lt;title&gt;TEM-SLC and TEM-SEC switchgrass germplasm&lt;/title&gt;&lt;secondary-title&gt;Crop Sci.&lt;/secondary-title&gt;&lt;/titles&gt;&lt;periodical&gt;&lt;full-title&gt;Crop Sci.&lt;/full-title&gt;&lt;/periodical&gt;&lt;pages&gt;1654&lt;/pages&gt;&lt;volume&gt;41&lt;/volume&gt;&lt;number&gt;5&lt;/number&gt;&lt;dates&gt;&lt;year&gt;2001&lt;/year&gt;&lt;/dates&gt;&lt;urls&gt;&lt;/urls&gt;&lt;/record&gt;&lt;/Cite&gt;&lt;/EndNote&gt;</w:instrText>
      </w:r>
      <w:r w:rsidR="00301182">
        <w:rPr>
          <w:rFonts w:eastAsiaTheme="minorHAnsi" w:cs="Times New Roman"/>
          <w:szCs w:val="22"/>
        </w:rPr>
        <w:fldChar w:fldCharType="separate"/>
      </w:r>
      <w:r w:rsidR="00433FC9">
        <w:rPr>
          <w:rFonts w:eastAsiaTheme="minorHAnsi" w:cs="Times New Roman"/>
          <w:noProof/>
          <w:szCs w:val="22"/>
        </w:rPr>
        <w:t>(</w:t>
      </w:r>
      <w:hyperlink w:anchor="_ENREF_96" w:tooltip="Tischler, 2001 #322" w:history="1">
        <w:r w:rsidR="00FB5014">
          <w:rPr>
            <w:rFonts w:eastAsiaTheme="minorHAnsi" w:cs="Times New Roman"/>
            <w:noProof/>
            <w:szCs w:val="22"/>
          </w:rPr>
          <w:t>Tischler et al., 2001</w:t>
        </w:r>
      </w:hyperlink>
      <w:r w:rsidR="00433FC9">
        <w:rPr>
          <w:rFonts w:eastAsiaTheme="minorHAnsi" w:cs="Times New Roman"/>
          <w:noProof/>
          <w:szCs w:val="22"/>
        </w:rPr>
        <w:t>)</w:t>
      </w:r>
      <w:r w:rsidR="00301182">
        <w:rPr>
          <w:rFonts w:eastAsiaTheme="minorHAnsi" w:cs="Times New Roman"/>
          <w:szCs w:val="22"/>
        </w:rPr>
        <w:fldChar w:fldCharType="end"/>
      </w:r>
      <w:r w:rsidR="00433FC9">
        <w:rPr>
          <w:rFonts w:eastAsiaTheme="minorHAnsi" w:cs="Times New Roman"/>
          <w:szCs w:val="22"/>
        </w:rPr>
        <w:t>.</w:t>
      </w:r>
      <w:r>
        <w:rPr>
          <w:rFonts w:eastAsiaTheme="minorHAnsi" w:cs="Times New Roman"/>
          <w:szCs w:val="22"/>
        </w:rPr>
        <w:t xml:space="preserve"> </w:t>
      </w:r>
      <w:r w:rsidRPr="00BA3F3D">
        <w:rPr>
          <w:rFonts w:eastAsiaTheme="minorHAnsi" w:cs="Times New Roman"/>
          <w:szCs w:val="22"/>
        </w:rPr>
        <w:t xml:space="preserve">A </w:t>
      </w:r>
      <w:r>
        <w:rPr>
          <w:rFonts w:eastAsiaTheme="minorHAnsi" w:cs="Times New Roman"/>
          <w:szCs w:val="22"/>
        </w:rPr>
        <w:t xml:space="preserve">genotype selected from the accession Miami </w:t>
      </w:r>
      <w:r w:rsidRPr="00BA3F3D">
        <w:rPr>
          <w:rFonts w:eastAsiaTheme="minorHAnsi" w:cs="Times New Roman"/>
          <w:szCs w:val="22"/>
        </w:rPr>
        <w:t>(</w:t>
      </w:r>
      <w:r w:rsidR="00580575">
        <w:rPr>
          <w:rFonts w:eastAsiaTheme="minorHAnsi" w:cs="Times New Roman"/>
          <w:szCs w:val="22"/>
        </w:rPr>
        <w:t xml:space="preserve">M; </w:t>
      </w:r>
      <w:r w:rsidRPr="00BA3F3D">
        <w:rPr>
          <w:rFonts w:eastAsiaTheme="minorHAnsi" w:cs="Times New Roman"/>
          <w:szCs w:val="22"/>
        </w:rPr>
        <w:t xml:space="preserve">PI 421901), </w:t>
      </w:r>
      <w:r>
        <w:rPr>
          <w:rFonts w:eastAsiaTheme="minorHAnsi" w:cs="Times New Roman"/>
          <w:szCs w:val="22"/>
        </w:rPr>
        <w:t xml:space="preserve">an accession collected from wild material in Florida, </w:t>
      </w:r>
      <w:r w:rsidRPr="00BA3F3D">
        <w:rPr>
          <w:rFonts w:eastAsiaTheme="minorHAnsi" w:cs="Times New Roman"/>
          <w:szCs w:val="22"/>
        </w:rPr>
        <w:t xml:space="preserve">was also included as a parent. </w:t>
      </w:r>
    </w:p>
    <w:p w14:paraId="69E1B456" w14:textId="77777777" w:rsidR="00596A40" w:rsidRPr="00BA3F3D" w:rsidRDefault="00596A40" w:rsidP="00596A40">
      <w:pPr>
        <w:pStyle w:val="Heading3"/>
        <w:rPr>
          <w:rFonts w:eastAsiaTheme="majorEastAsia" w:cs="Times New Roman"/>
        </w:rPr>
      </w:pPr>
      <w:bookmarkStart w:id="55" w:name="_Toc317593682"/>
      <w:bookmarkStart w:id="56" w:name="_Toc404069835"/>
      <w:r w:rsidRPr="00BA3F3D">
        <w:rPr>
          <w:rFonts w:eastAsiaTheme="majorEastAsia" w:cs="Times New Roman"/>
        </w:rPr>
        <w:t>Breeding Methods and Greenhouse Maintenance</w:t>
      </w:r>
      <w:bookmarkEnd w:id="55"/>
      <w:bookmarkEnd w:id="56"/>
    </w:p>
    <w:p w14:paraId="12D03085" w14:textId="6BDE6C48" w:rsidR="00596A40" w:rsidRPr="00BA3F3D" w:rsidRDefault="00596A40" w:rsidP="00596A40">
      <w:pPr>
        <w:ind w:firstLine="720"/>
        <w:rPr>
          <w:rFonts w:eastAsiaTheme="minorHAnsi" w:cs="Times New Roman"/>
          <w:szCs w:val="22"/>
        </w:rPr>
      </w:pPr>
      <w:r w:rsidRPr="00BA3F3D">
        <w:rPr>
          <w:rFonts w:eastAsiaTheme="minorHAnsi" w:cs="Times New Roman"/>
          <w:szCs w:val="22"/>
        </w:rPr>
        <w:t>In January 2011, parent plants were divided into eight clonal propagules and transplanted from the field to 7.6 liter pots. Four pots of each clone were placed in both a glass house at the University of Tennessee in Knoxville, TN and a shade house at the East Tennessee Research and Education Center in Knoxville, TN. Slow release 13-13-13 fertilizer (Osmocote</w:t>
      </w:r>
      <w:r w:rsidRPr="00BA3F3D">
        <w:rPr>
          <w:rFonts w:eastAsiaTheme="minorHAnsi" w:cs="Times New Roman"/>
          <w:szCs w:val="22"/>
          <w:vertAlign w:val="superscript"/>
        </w:rPr>
        <w:t>TM</w:t>
      </w:r>
      <w:r w:rsidRPr="00BA3F3D">
        <w:rPr>
          <w:rFonts w:eastAsiaTheme="minorHAnsi" w:cs="Times New Roman"/>
          <w:szCs w:val="22"/>
        </w:rPr>
        <w:t>) at a rate of 50 kg ha</w:t>
      </w:r>
      <w:r w:rsidRPr="00BA3F3D">
        <w:rPr>
          <w:rFonts w:eastAsiaTheme="minorHAnsi" w:cs="Times New Roman"/>
          <w:szCs w:val="22"/>
          <w:vertAlign w:val="superscript"/>
        </w:rPr>
        <w:t>-1</w:t>
      </w:r>
      <w:r w:rsidRPr="00BA3F3D">
        <w:rPr>
          <w:rFonts w:eastAsiaTheme="minorHAnsi" w:cs="Times New Roman"/>
          <w:szCs w:val="22"/>
        </w:rPr>
        <w:t xml:space="preserve"> of nitrogen was added to pots during transplanting. Plants were then maintained using a monthly application of a fast release 20-20-20 fertilizer at a rate of 97.07 kg ha</w:t>
      </w:r>
      <w:r w:rsidRPr="00BA3F3D">
        <w:rPr>
          <w:rFonts w:eastAsiaTheme="minorHAnsi" w:cs="Times New Roman"/>
          <w:szCs w:val="22"/>
          <w:vertAlign w:val="superscript"/>
        </w:rPr>
        <w:t>-1</w:t>
      </w:r>
      <w:r w:rsidRPr="00BA3F3D">
        <w:rPr>
          <w:rFonts w:eastAsiaTheme="minorHAnsi" w:cs="Times New Roman"/>
          <w:szCs w:val="22"/>
        </w:rPr>
        <w:t xml:space="preserve"> of nitrogen. When plants reached </w:t>
      </w:r>
      <w:r w:rsidR="00580575">
        <w:rPr>
          <w:rFonts w:eastAsiaTheme="minorHAnsi" w:cs="Times New Roman"/>
          <w:szCs w:val="22"/>
        </w:rPr>
        <w:t xml:space="preserve">the </w:t>
      </w:r>
      <w:r w:rsidRPr="00BA3F3D">
        <w:rPr>
          <w:rFonts w:eastAsiaTheme="minorHAnsi" w:cs="Times New Roman"/>
          <w:szCs w:val="22"/>
        </w:rPr>
        <w:t xml:space="preserve">reproductive </w:t>
      </w:r>
      <w:r w:rsidR="00580575">
        <w:rPr>
          <w:rFonts w:eastAsiaTheme="minorHAnsi" w:cs="Times New Roman"/>
          <w:szCs w:val="22"/>
        </w:rPr>
        <w:t>stage</w:t>
      </w:r>
      <w:r w:rsidRPr="00BA3F3D">
        <w:rPr>
          <w:rFonts w:eastAsiaTheme="minorHAnsi" w:cs="Times New Roman"/>
          <w:szCs w:val="22"/>
        </w:rPr>
        <w:t>, they were crossed in a diallel design, including reciprocal crosses. Crosses were made by combining a single reproductive tiller from each of the two crossing parents in a 17 x 16 x 12 x 39 cm paper pollination bag (MIDCO Enterprises, St. Louis) to maintain isolated pollination. Tillers and bags were supported by bamboo stakes and bags were lightly shaken approximately every 2 days to promote pollen distribution. Tillers were placed in bags when stigmas were visible on flowers at the tip of the panicle; however, flowers with visible stigmas were removed prior to bagging. When all stigmas on a panicle appeared desiccated, panicles were separately bagged for the duration of seed ripening</w:t>
      </w:r>
      <w:r w:rsidR="00954DB7">
        <w:rPr>
          <w:rFonts w:eastAsiaTheme="minorHAnsi" w:cs="Times New Roman"/>
          <w:szCs w:val="22"/>
        </w:rPr>
        <w:t xml:space="preserve">. </w:t>
      </w:r>
      <w:r w:rsidRPr="00BA3F3D">
        <w:rPr>
          <w:rFonts w:eastAsiaTheme="minorHAnsi" w:cs="Times New Roman"/>
          <w:szCs w:val="22"/>
        </w:rPr>
        <w:t xml:space="preserve">   </w:t>
      </w:r>
    </w:p>
    <w:p w14:paraId="57E219A9" w14:textId="20F8C234" w:rsidR="00596A40" w:rsidRPr="00BB185F" w:rsidRDefault="00596A40" w:rsidP="00596A40">
      <w:pPr>
        <w:ind w:firstLine="720"/>
        <w:rPr>
          <w:rFonts w:eastAsiaTheme="minorHAnsi"/>
          <w:szCs w:val="22"/>
        </w:rPr>
      </w:pPr>
      <w:r w:rsidRPr="00BB185F">
        <w:rPr>
          <w:rFonts w:eastAsiaTheme="minorHAnsi"/>
          <w:szCs w:val="22"/>
        </w:rPr>
        <w:t xml:space="preserve">To break dormancy, seed collected from each cross were pretreated using methods described by Haynes et al. </w:t>
      </w:r>
      <w:r w:rsidR="00301182" w:rsidRPr="00BB185F">
        <w:rPr>
          <w:rFonts w:eastAsiaTheme="minorHAnsi"/>
          <w:szCs w:val="22"/>
        </w:rPr>
        <w:fldChar w:fldCharType="begin"/>
      </w:r>
      <w:r w:rsidRPr="00BB185F">
        <w:rPr>
          <w:rFonts w:eastAsiaTheme="minorHAnsi"/>
          <w:szCs w:val="22"/>
        </w:rPr>
        <w:instrText xml:space="preserve"> ADDIN EN.CITE &lt;EndNote&gt;&lt;Cite ExcludeAuth="1"&gt;&lt;Author&gt;Haynes&lt;/Author&gt;&lt;Year&gt;1997&lt;/Year&gt;&lt;RecNum&gt;243&lt;/RecNum&gt;&lt;DisplayText&gt;(1997)&lt;/DisplayText&gt;&lt;record&gt;&lt;rec-number&gt;243&lt;/rec-number&gt;&lt;foreign-keys&gt;&lt;key app="EN" db-id="9zfxt259rawwvce0pfa5efeuatdw0pz5va5z" timestamp="1323709965"&gt;243&lt;/key&gt;&lt;/foreign-keys&gt;&lt;ref-type name="Journal Article"&gt;17&lt;/ref-type&gt;&lt;contributors&gt;&lt;authors&gt;&lt;author&gt;Haynes, J.G.&lt;/author&gt;&lt;author&gt;Pill, W.G.&lt;/author&gt;&lt;author&gt;Evans, T.A.&lt;/author&gt;&lt;/authors&gt;&lt;/contributors&gt;&lt;titles&gt;&lt;title&gt;&lt;style face="normal" font="default" size="100%"&gt;Seed treatments improve the germination and seedling emergence of switchgrass (&lt;/style&gt;&lt;style face="italic" font="default" size="100%"&gt;Panicum virgatum&lt;/style&gt;&lt;style face="normal" font="default" size="100%"&gt; L.)&lt;/style&gt;&lt;/title&gt;&lt;secondary-title&gt;HortScience&lt;/secondary-title&gt;&lt;/titles&gt;&lt;periodical&gt;&lt;full-title&gt;HortScience&lt;/full-title&gt;&lt;/periodical&gt;&lt;pages&gt;1222-1226&lt;/pages&gt;&lt;volume&gt;32&lt;/volume&gt;&lt;section&gt;1222&lt;/section&gt;&lt;dates&gt;&lt;year&gt;1997&lt;/year&gt;&lt;/dates&gt;&lt;urls&gt;&lt;/urls&gt;&lt;/record&gt;&lt;/Cite&gt;&lt;/EndNote&gt;</w:instrText>
      </w:r>
      <w:r w:rsidR="00301182" w:rsidRPr="00BB185F">
        <w:rPr>
          <w:rFonts w:eastAsiaTheme="minorHAnsi"/>
          <w:szCs w:val="22"/>
        </w:rPr>
        <w:fldChar w:fldCharType="separate"/>
      </w:r>
      <w:r w:rsidRPr="00BB185F">
        <w:rPr>
          <w:rFonts w:eastAsiaTheme="minorHAnsi"/>
          <w:noProof/>
          <w:szCs w:val="22"/>
        </w:rPr>
        <w:t>(</w:t>
      </w:r>
      <w:hyperlink w:anchor="_ENREF_45" w:tooltip="Haynes, 1997 #243" w:history="1">
        <w:r w:rsidR="00FB5014" w:rsidRPr="00BB185F">
          <w:rPr>
            <w:rFonts w:eastAsiaTheme="minorHAnsi"/>
            <w:noProof/>
            <w:szCs w:val="22"/>
          </w:rPr>
          <w:t>1997</w:t>
        </w:r>
      </w:hyperlink>
      <w:r w:rsidRPr="00BB185F">
        <w:rPr>
          <w:rFonts w:eastAsiaTheme="minorHAnsi"/>
          <w:noProof/>
          <w:szCs w:val="22"/>
        </w:rPr>
        <w:t>)</w:t>
      </w:r>
      <w:r w:rsidR="00301182" w:rsidRPr="00BB185F">
        <w:rPr>
          <w:rFonts w:eastAsiaTheme="minorHAnsi"/>
          <w:szCs w:val="22"/>
        </w:rPr>
        <w:fldChar w:fldCharType="end"/>
      </w:r>
      <w:r w:rsidRPr="00BB185F">
        <w:rPr>
          <w:rFonts w:eastAsiaTheme="minorHAnsi"/>
          <w:szCs w:val="22"/>
        </w:rPr>
        <w:t xml:space="preserve"> with modified timing of H</w:t>
      </w:r>
      <w:r w:rsidRPr="00BB185F">
        <w:rPr>
          <w:rFonts w:eastAsiaTheme="minorHAnsi"/>
          <w:szCs w:val="22"/>
          <w:vertAlign w:val="subscript"/>
        </w:rPr>
        <w:t>2</w:t>
      </w:r>
      <w:r w:rsidRPr="00BB185F">
        <w:rPr>
          <w:rFonts w:eastAsiaTheme="minorHAnsi"/>
          <w:szCs w:val="22"/>
        </w:rPr>
        <w:t>O washes. Seeds were submerged in 5.25% NaOCL for 15 minutes followed by two 20 minutes washes in deionized H</w:t>
      </w:r>
      <w:r w:rsidRPr="00BB185F">
        <w:rPr>
          <w:rFonts w:eastAsiaTheme="minorHAnsi"/>
          <w:szCs w:val="22"/>
          <w:vertAlign w:val="subscript"/>
        </w:rPr>
        <w:t>2</w:t>
      </w:r>
      <w:r w:rsidRPr="00BB185F">
        <w:rPr>
          <w:rFonts w:eastAsiaTheme="minorHAnsi"/>
          <w:szCs w:val="22"/>
        </w:rPr>
        <w:t xml:space="preserve">O. Seeds </w:t>
      </w:r>
      <w:r w:rsidRPr="00BB185F">
        <w:rPr>
          <w:rFonts w:eastAsiaTheme="minorHAnsi"/>
          <w:szCs w:val="22"/>
        </w:rPr>
        <w:lastRenderedPageBreak/>
        <w:t>were then germinated in petri dishes between two layers of germination paper soaked to saturation in 0.2% KNO</w:t>
      </w:r>
      <w:r w:rsidRPr="00BB185F">
        <w:rPr>
          <w:rFonts w:eastAsiaTheme="minorHAnsi"/>
          <w:szCs w:val="22"/>
          <w:vertAlign w:val="subscript"/>
        </w:rPr>
        <w:t xml:space="preserve">3 </w:t>
      </w:r>
      <w:r w:rsidRPr="00BB185F">
        <w:rPr>
          <w:rFonts w:eastAsiaTheme="minorHAnsi"/>
          <w:szCs w:val="22"/>
        </w:rPr>
        <w:t>and wet chilled at 4 C for 2 weeks. Seeds were dusted with Captan (cis-N-[(trichloromethyl) thio-4-cyclohexene-1,2-dicarboximide]) and sown in D40L deepots with a 6.35 cm in diameter and 25.4 cm depth (Stu</w:t>
      </w:r>
      <w:r w:rsidR="00501697">
        <w:rPr>
          <w:rFonts w:eastAsiaTheme="minorHAnsi"/>
          <w:szCs w:val="22"/>
        </w:rPr>
        <w:t>e</w:t>
      </w:r>
      <w:r w:rsidRPr="00BB185F">
        <w:rPr>
          <w:rFonts w:eastAsiaTheme="minorHAnsi"/>
          <w:szCs w:val="22"/>
        </w:rPr>
        <w:t xml:space="preserve">we &amp; Sons, Corvallis, OR) filled with Fafard Growing Mix 2 (Conrad Fafard, Inc., Agawam, MA) topped with a layer of Fafard Super-Fine Germinating Mix (Conrad Fafard, Inc., Agawam, MA). Twenty seedlings were randomly selected from within each cross for evaluation, 36 seedlings from within each cross were randomly selected to provide borders for sward plots, and 304 seedlings were randomly selected from among all crosses to serve as border plants in space planted nurseries. </w:t>
      </w:r>
    </w:p>
    <w:p w14:paraId="17FF3CD7" w14:textId="77777777" w:rsidR="00596A40" w:rsidRPr="00BB185F" w:rsidRDefault="00596A40" w:rsidP="00596A40">
      <w:pPr>
        <w:pStyle w:val="Heading3"/>
      </w:pPr>
      <w:bookmarkStart w:id="57" w:name="_Toc317593683"/>
      <w:bookmarkStart w:id="58" w:name="_Toc404069836"/>
      <w:r w:rsidRPr="00BB185F">
        <w:t>Juvenile Evaluation</w:t>
      </w:r>
      <w:bookmarkEnd w:id="57"/>
      <w:bookmarkEnd w:id="58"/>
    </w:p>
    <w:p w14:paraId="35CDD2C8" w14:textId="22971667" w:rsidR="00596A40" w:rsidRDefault="00596A40" w:rsidP="00596A40">
      <w:pPr>
        <w:ind w:firstLine="720"/>
      </w:pPr>
      <w:r w:rsidRPr="007C0900">
        <w:t xml:space="preserve">Eight weeks after emergence, seedlings </w:t>
      </w:r>
      <w:r w:rsidRPr="00BB185F">
        <w:t>were</w:t>
      </w:r>
      <w:r w:rsidRPr="007C0900">
        <w:t xml:space="preserve"> evaluated for the following morphological traits:  plant </w:t>
      </w:r>
      <w:r w:rsidRPr="00BB185F">
        <w:t xml:space="preserve">height, leaf angle, </w:t>
      </w:r>
      <w:r w:rsidR="00DB61CB">
        <w:t>plant color</w:t>
      </w:r>
      <w:r w:rsidRPr="007C0900">
        <w:t xml:space="preserve">, tiller number, stem diameter, </w:t>
      </w:r>
      <w:r w:rsidR="00B8390A">
        <w:t>leaf width</w:t>
      </w:r>
      <w:r w:rsidRPr="007C0900">
        <w:t xml:space="preserve">, </w:t>
      </w:r>
      <w:r w:rsidR="00A7228E">
        <w:t xml:space="preserve">and </w:t>
      </w:r>
      <w:r w:rsidRPr="00BB185F">
        <w:t>biomass yield</w:t>
      </w:r>
      <w:r w:rsidR="00954DB7">
        <w:t xml:space="preserve">. </w:t>
      </w:r>
      <w:r w:rsidRPr="007C0900">
        <w:t xml:space="preserve">Plant height </w:t>
      </w:r>
      <w:r w:rsidRPr="00BB185F">
        <w:t>was</w:t>
      </w:r>
      <w:r w:rsidRPr="007C0900">
        <w:t xml:space="preserve"> measured in cm. Leaf angle </w:t>
      </w:r>
      <w:r w:rsidRPr="00BB185F">
        <w:t>was</w:t>
      </w:r>
      <w:r w:rsidRPr="007C0900">
        <w:t xml:space="preserve"> evaluated visually using a 1-5 scale with 1 indicating prostrate leaves and 5 indicating upright leaves</w:t>
      </w:r>
      <w:r w:rsidR="00954DB7">
        <w:t xml:space="preserve">. </w:t>
      </w:r>
      <w:r w:rsidR="00DB61CB">
        <w:t>Plant color</w:t>
      </w:r>
      <w:r w:rsidRPr="007C0900">
        <w:t xml:space="preserve"> </w:t>
      </w:r>
      <w:r w:rsidRPr="00BB185F">
        <w:t>was</w:t>
      </w:r>
      <w:r w:rsidRPr="007C0900">
        <w:t xml:space="preserve"> evaluated</w:t>
      </w:r>
      <w:r w:rsidRPr="00BB185F">
        <w:t xml:space="preserve"> visually using a 1-3 scale with 1 indicating </w:t>
      </w:r>
      <w:r w:rsidR="005F3E43">
        <w:t>medium green</w:t>
      </w:r>
      <w:r w:rsidRPr="00BB185F">
        <w:t xml:space="preserve"> and 3 indicating </w:t>
      </w:r>
      <w:r w:rsidR="005F3E43">
        <w:t>blue</w:t>
      </w:r>
      <w:r w:rsidR="00954DB7">
        <w:t xml:space="preserve">. </w:t>
      </w:r>
      <w:r w:rsidRPr="007C0900">
        <w:t xml:space="preserve">For plants with multiple tillers, the average stem diameter, </w:t>
      </w:r>
      <w:r w:rsidR="00B8390A">
        <w:t>leaf width</w:t>
      </w:r>
      <w:r w:rsidRPr="007C0900">
        <w:t xml:space="preserve">, stem weight, and leaf to stem ratio for all tillers </w:t>
      </w:r>
      <w:r w:rsidRPr="00BB185F">
        <w:t>was</w:t>
      </w:r>
      <w:r w:rsidRPr="007C0900">
        <w:t xml:space="preserve"> recorded</w:t>
      </w:r>
      <w:r w:rsidR="00954DB7">
        <w:t xml:space="preserve">. </w:t>
      </w:r>
      <w:r w:rsidRPr="007C0900">
        <w:t xml:space="preserve">Stem diameter and </w:t>
      </w:r>
      <w:r w:rsidR="00B8390A">
        <w:t>leaf width</w:t>
      </w:r>
      <w:r w:rsidRPr="007C0900">
        <w:t xml:space="preserve"> </w:t>
      </w:r>
      <w:r w:rsidRPr="00BB185F">
        <w:t>were</w:t>
      </w:r>
      <w:r w:rsidRPr="007C0900">
        <w:t xml:space="preserve"> measured to the nearest </w:t>
      </w:r>
      <w:r w:rsidR="009E3F66">
        <w:t>0.5</w:t>
      </w:r>
      <w:r w:rsidRPr="00BB185F">
        <w:t xml:space="preserve"> mm using calipers. </w:t>
      </w:r>
      <w:r w:rsidRPr="007C0900">
        <w:t xml:space="preserve">Stem diameter </w:t>
      </w:r>
      <w:r w:rsidRPr="00BB185F">
        <w:t>was</w:t>
      </w:r>
      <w:r w:rsidRPr="007C0900">
        <w:t xml:space="preserve"> measured 5 cm from the base of each tiller</w:t>
      </w:r>
      <w:r w:rsidR="00954DB7">
        <w:t xml:space="preserve">. </w:t>
      </w:r>
      <w:r w:rsidR="00B8390A">
        <w:t>Leaf width</w:t>
      </w:r>
      <w:r w:rsidRPr="007C0900">
        <w:t xml:space="preserve"> </w:t>
      </w:r>
      <w:r w:rsidRPr="00BB185F">
        <w:t>was</w:t>
      </w:r>
      <w:r w:rsidRPr="007C0900">
        <w:t xml:space="preserve"> measured for each tiller on the first fully emerged leaf from the top at the widest portion of the leaf, approximately 2.5 cm from the stem</w:t>
      </w:r>
      <w:r w:rsidR="00954DB7">
        <w:t xml:space="preserve">. </w:t>
      </w:r>
      <w:r w:rsidRPr="007C0900">
        <w:t xml:space="preserve">Tillers </w:t>
      </w:r>
      <w:r w:rsidRPr="00BB185F">
        <w:t>were</w:t>
      </w:r>
      <w:r w:rsidRPr="007C0900">
        <w:t xml:space="preserve"> harvested 5 cm from the base and weighed</w:t>
      </w:r>
      <w:r w:rsidR="00954DB7">
        <w:t xml:space="preserve">. </w:t>
      </w:r>
    </w:p>
    <w:p w14:paraId="341C11DB" w14:textId="38883F11" w:rsidR="00596A40" w:rsidRPr="00BB185F" w:rsidRDefault="00596A40" w:rsidP="00596A40">
      <w:pPr>
        <w:ind w:firstLine="720"/>
        <w:rPr>
          <w:rFonts w:eastAsiaTheme="minorHAnsi"/>
          <w:szCs w:val="22"/>
        </w:rPr>
      </w:pPr>
      <w:r w:rsidRPr="007C0900">
        <w:t xml:space="preserve">After seedlings </w:t>
      </w:r>
      <w:r w:rsidRPr="00BB185F">
        <w:t>were</w:t>
      </w:r>
      <w:r w:rsidRPr="007C0900">
        <w:t xml:space="preserve"> evaluated and </w:t>
      </w:r>
      <w:r w:rsidRPr="00BB185F">
        <w:t>had</w:t>
      </w:r>
      <w:r w:rsidRPr="007C0900">
        <w:t xml:space="preserve"> tillered sufficiently, each seedling </w:t>
      </w:r>
      <w:r w:rsidRPr="00BB185F">
        <w:t>was</w:t>
      </w:r>
      <w:r w:rsidRPr="007C0900">
        <w:t xml:space="preserve"> divided into </w:t>
      </w:r>
      <w:r w:rsidR="00580575">
        <w:t>two</w:t>
      </w:r>
      <w:r w:rsidRPr="007C0900">
        <w:t xml:space="preserve"> clonal propagules. Single tiller pieces </w:t>
      </w:r>
      <w:r w:rsidRPr="00BB185F">
        <w:t>were</w:t>
      </w:r>
      <w:r w:rsidRPr="007C0900">
        <w:t xml:space="preserve"> removed and potted from each parent plant to produce </w:t>
      </w:r>
      <w:r w:rsidRPr="00BB185F">
        <w:t>40</w:t>
      </w:r>
      <w:r w:rsidRPr="007C0900">
        <w:t xml:space="preserve"> clonal propagules of each parent plant</w:t>
      </w:r>
      <w:r w:rsidRPr="00BB185F">
        <w:t>, 20 per location. S</w:t>
      </w:r>
      <w:r w:rsidRPr="00BB185F">
        <w:rPr>
          <w:rFonts w:eastAsiaTheme="minorHAnsi"/>
          <w:szCs w:val="22"/>
        </w:rPr>
        <w:t xml:space="preserve">eedlings were maintained </w:t>
      </w:r>
      <w:r w:rsidRPr="00BB185F">
        <w:rPr>
          <w:rFonts w:eastAsiaTheme="minorHAnsi"/>
          <w:szCs w:val="22"/>
        </w:rPr>
        <w:lastRenderedPageBreak/>
        <w:t>in the greenhouse until June 2012 when they were transplanted to two field locations, the East Tennessee Research and Education Center in Knoxville, TN (June 21-23, 2012)</w:t>
      </w:r>
      <w:r w:rsidR="00E12E27">
        <w:rPr>
          <w:rFonts w:eastAsiaTheme="minorHAnsi"/>
          <w:szCs w:val="22"/>
        </w:rPr>
        <w:t xml:space="preserve"> </w:t>
      </w:r>
      <w:r w:rsidR="00E12E27">
        <w:rPr>
          <w:rFonts w:cs="Times New Roman"/>
        </w:rPr>
        <w:t>(35º58’11.3”N 83º51’08.7”W</w:t>
      </w:r>
      <w:r w:rsidR="008B2F15">
        <w:rPr>
          <w:rFonts w:cs="Times New Roman"/>
        </w:rPr>
        <w:t>, soil type: Shady-Whitewell complex</w:t>
      </w:r>
      <w:r w:rsidR="00E12E27">
        <w:rPr>
          <w:rFonts w:cs="Times New Roman"/>
        </w:rPr>
        <w:t>)</w:t>
      </w:r>
      <w:r w:rsidRPr="00BB185F">
        <w:rPr>
          <w:rFonts w:eastAsiaTheme="minorHAnsi"/>
          <w:szCs w:val="22"/>
        </w:rPr>
        <w:t xml:space="preserve"> and the Plateau Research and Education Center (June 26, 2012) in Crossville, TN</w:t>
      </w:r>
      <w:r w:rsidR="00E12E27">
        <w:rPr>
          <w:rFonts w:eastAsiaTheme="minorHAnsi"/>
          <w:szCs w:val="22"/>
        </w:rPr>
        <w:t xml:space="preserve"> </w:t>
      </w:r>
      <w:r w:rsidR="00E12E27">
        <w:rPr>
          <w:rFonts w:cs="Times New Roman"/>
        </w:rPr>
        <w:t>(36º00’49.7”N 85º07’57.7”W</w:t>
      </w:r>
      <w:r w:rsidR="008B2F15">
        <w:rPr>
          <w:rFonts w:cs="Times New Roman"/>
        </w:rPr>
        <w:t>, soil type: Lonewood loam</w:t>
      </w:r>
      <w:r w:rsidR="00E12E27">
        <w:rPr>
          <w:rFonts w:cs="Times New Roman"/>
        </w:rPr>
        <w:t>)</w:t>
      </w:r>
      <w:r w:rsidRPr="00BB185F">
        <w:rPr>
          <w:rFonts w:eastAsiaTheme="minorHAnsi"/>
          <w:szCs w:val="22"/>
        </w:rPr>
        <w:t>. Nitrogen was applied yearly prior to green-up at a rate of 67</w:t>
      </w:r>
      <w:r w:rsidR="009E3F66">
        <w:rPr>
          <w:rFonts w:eastAsiaTheme="minorHAnsi"/>
          <w:szCs w:val="22"/>
        </w:rPr>
        <w:t xml:space="preserve"> </w:t>
      </w:r>
      <w:r w:rsidRPr="00BB185F">
        <w:rPr>
          <w:rFonts w:eastAsiaTheme="minorHAnsi"/>
          <w:szCs w:val="22"/>
        </w:rPr>
        <w:t>kg ha</w:t>
      </w:r>
      <w:r w:rsidRPr="00BB185F">
        <w:rPr>
          <w:rFonts w:eastAsiaTheme="minorHAnsi"/>
          <w:szCs w:val="22"/>
          <w:vertAlign w:val="superscript"/>
        </w:rPr>
        <w:t>-1</w:t>
      </w:r>
      <w:r w:rsidRPr="00BB185F">
        <w:rPr>
          <w:rFonts w:eastAsiaTheme="minorHAnsi"/>
          <w:szCs w:val="22"/>
        </w:rPr>
        <w:t xml:space="preserve">. Within each location, 20 seedlings per cross and twenty propagules from each of the eight parent plants were planted in a randomized complete block design divided into four blocks to account for field variation. Clonal propagules were used to replicate F1 plants across the two locations. Plants were spaced on 1 m centers. </w:t>
      </w:r>
    </w:p>
    <w:p w14:paraId="33E5D82D" w14:textId="77777777" w:rsidR="00596A40" w:rsidRPr="00BB185F" w:rsidRDefault="00596A40" w:rsidP="00596A40">
      <w:pPr>
        <w:pStyle w:val="Heading3"/>
        <w:rPr>
          <w:rFonts w:eastAsiaTheme="minorHAnsi"/>
        </w:rPr>
      </w:pPr>
      <w:bookmarkStart w:id="59" w:name="_Toc404069837"/>
      <w:r w:rsidRPr="00BB185F">
        <w:rPr>
          <w:rFonts w:eastAsiaTheme="minorHAnsi"/>
        </w:rPr>
        <w:t>Field Evaluation</w:t>
      </w:r>
      <w:bookmarkEnd w:id="59"/>
    </w:p>
    <w:p w14:paraId="13A2F31E" w14:textId="28662F95" w:rsidR="00596A40" w:rsidRPr="00BB185F" w:rsidRDefault="00596A40" w:rsidP="00596A40">
      <w:pPr>
        <w:ind w:firstLine="720"/>
      </w:pPr>
      <w:r w:rsidRPr="00BB185F">
        <w:rPr>
          <w:rFonts w:eastAsiaTheme="minorHAnsi"/>
          <w:szCs w:val="22"/>
        </w:rPr>
        <w:t xml:space="preserve">Plants were evaluated for the following traits:  height, tiller number, stem diameter, </w:t>
      </w:r>
      <w:r w:rsidR="00B8390A">
        <w:rPr>
          <w:rFonts w:eastAsiaTheme="minorHAnsi"/>
          <w:szCs w:val="22"/>
        </w:rPr>
        <w:t>leaf width</w:t>
      </w:r>
      <w:r w:rsidRPr="00BB185F">
        <w:rPr>
          <w:rFonts w:eastAsiaTheme="minorHAnsi"/>
          <w:szCs w:val="22"/>
        </w:rPr>
        <w:t xml:space="preserve">, leaf angle, </w:t>
      </w:r>
      <w:r w:rsidR="00DB61CB">
        <w:rPr>
          <w:rFonts w:eastAsiaTheme="minorHAnsi"/>
          <w:szCs w:val="22"/>
        </w:rPr>
        <w:t>plant color</w:t>
      </w:r>
      <w:r w:rsidRPr="00BB185F">
        <w:rPr>
          <w:rFonts w:eastAsiaTheme="minorHAnsi"/>
          <w:szCs w:val="22"/>
        </w:rPr>
        <w:t xml:space="preserve">, </w:t>
      </w:r>
      <w:r w:rsidR="00CC35AE">
        <w:rPr>
          <w:rFonts w:eastAsiaTheme="minorHAnsi"/>
          <w:szCs w:val="22"/>
        </w:rPr>
        <w:t xml:space="preserve">canopy density, </w:t>
      </w:r>
      <w:r w:rsidR="009C1A48">
        <w:rPr>
          <w:rFonts w:eastAsiaTheme="minorHAnsi"/>
          <w:szCs w:val="22"/>
        </w:rPr>
        <w:t>rust severity</w:t>
      </w:r>
      <w:r w:rsidRPr="00BB185F">
        <w:rPr>
          <w:rFonts w:eastAsiaTheme="minorHAnsi"/>
          <w:szCs w:val="22"/>
        </w:rPr>
        <w:t xml:space="preserve">, biomass yield, and </w:t>
      </w:r>
      <w:r w:rsidR="0095454C">
        <w:rPr>
          <w:rFonts w:eastAsiaTheme="minorHAnsi"/>
          <w:szCs w:val="22"/>
        </w:rPr>
        <w:t>predicted ethanol yield</w:t>
      </w:r>
      <w:r w:rsidRPr="00BB185F">
        <w:rPr>
          <w:rFonts w:eastAsiaTheme="minorHAnsi"/>
          <w:szCs w:val="22"/>
        </w:rPr>
        <w:t>. All traits were assessed in the spring (May-June) of each year except</w:t>
      </w:r>
      <w:r>
        <w:rPr>
          <w:rFonts w:eastAsiaTheme="minorHAnsi"/>
          <w:szCs w:val="22"/>
        </w:rPr>
        <w:t xml:space="preserve"> </w:t>
      </w:r>
      <w:r w:rsidR="005F3E43">
        <w:rPr>
          <w:rFonts w:eastAsiaTheme="minorHAnsi"/>
          <w:szCs w:val="22"/>
        </w:rPr>
        <w:t>biomass yield</w:t>
      </w:r>
      <w:r w:rsidRPr="00BB185F">
        <w:rPr>
          <w:rFonts w:eastAsiaTheme="minorHAnsi"/>
          <w:szCs w:val="22"/>
        </w:rPr>
        <w:t xml:space="preserve"> and </w:t>
      </w:r>
      <w:r w:rsidR="0095454C">
        <w:rPr>
          <w:rFonts w:eastAsiaTheme="minorHAnsi"/>
          <w:szCs w:val="22"/>
        </w:rPr>
        <w:t>predicted ethanol yield</w:t>
      </w:r>
      <w:r w:rsidRPr="00BB185F">
        <w:rPr>
          <w:rFonts w:eastAsiaTheme="minorHAnsi"/>
          <w:szCs w:val="22"/>
        </w:rPr>
        <w:t xml:space="preserve">, which were evaluated at harvest in the fall (October-November). </w:t>
      </w:r>
      <w:r w:rsidR="009C1A48">
        <w:rPr>
          <w:rFonts w:eastAsiaTheme="minorHAnsi"/>
          <w:szCs w:val="22"/>
        </w:rPr>
        <w:t>Rust severity</w:t>
      </w:r>
      <w:r>
        <w:rPr>
          <w:rFonts w:eastAsiaTheme="minorHAnsi"/>
          <w:szCs w:val="22"/>
        </w:rPr>
        <w:t xml:space="preserve"> was evaluated in October of 2012 and in August of 2013. </w:t>
      </w:r>
      <w:r w:rsidR="0013705B">
        <w:rPr>
          <w:rFonts w:eastAsiaTheme="minorHAnsi" w:cs="Times New Roman"/>
        </w:rPr>
        <w:t xml:space="preserve">Rust severity was rated on a one to nine scale with one indicating no visible symptoms and nine indicating abundant sporulation as described by </w:t>
      </w:r>
      <w:hyperlink w:anchor="_ENREF_43" w:tooltip="Gustafson, 2003 #332" w:history="1">
        <w:r w:rsidR="00FB5014">
          <w:rPr>
            <w:rFonts w:eastAsiaTheme="minorHAnsi" w:cs="Times New Roman"/>
          </w:rPr>
          <w:fldChar w:fldCharType="begin"/>
        </w:r>
        <w:r w:rsidR="00FB5014">
          <w:rPr>
            <w:rFonts w:eastAsiaTheme="minorHAnsi" w:cs="Times New Roman"/>
          </w:rPr>
          <w:instrText xml:space="preserve"> ADDIN EN.CITE &lt;EndNote&gt;&lt;Cite AuthorYear="1"&gt;&lt;Author&gt;Gustafson&lt;/Author&gt;&lt;Year&gt;2003&lt;/Year&gt;&lt;RecNum&gt;332&lt;/RecNum&gt;&lt;DisplayText&gt;Gustafson et al. (2003)&lt;/DisplayText&gt;&lt;record&gt;&lt;rec-number&gt;332&lt;/rec-number&gt;&lt;foreign-keys&gt;&lt;key app="EN" db-id="9zfxt259rawwvce0pfa5efeuatdw0pz5va5z" timestamp="1415974779"&gt;332&lt;/key&gt;&lt;/foreign-keys&gt;&lt;ref-type name="Journal Article"&gt;17&lt;/ref-type&gt;&lt;contributors&gt;&lt;authors&gt;&lt;author&gt;Gustafson, D.M.&lt;/author&gt;&lt;author&gt;Boe, A.&lt;/author&gt;&lt;author&gt;Jin, Y. &lt;/author&gt;&lt;/authors&gt;&lt;/contributors&gt;&lt;titles&gt;&lt;title&gt;&lt;style face="normal" font="default" size="100%"&gt;Genetic variation for &lt;/style&gt;&lt;style face="italic" font="default" size="100%"&gt;Puccinia emaculata &lt;/style&gt;&lt;style face="normal" font="default" size="100%"&gt;infection in switchgrass&lt;/style&gt;&lt;/title&gt;&lt;secondary-title&gt;Crop Sci.&lt;/secondary-title&gt;&lt;/titles&gt;&lt;periodical&gt;&lt;full-title&gt;Crop Sci.&lt;/full-title&gt;&lt;/periodical&gt;&lt;pages&gt;755-759&lt;/pages&gt;&lt;volume&gt;43&lt;/volume&gt;&lt;section&gt;755&lt;/section&gt;&lt;dates&gt;&lt;year&gt;2003&lt;/year&gt;&lt;/dates&gt;&lt;urls&gt;&lt;/urls&gt;&lt;/record&gt;&lt;/Cite&gt;&lt;/EndNote&gt;</w:instrText>
        </w:r>
        <w:r w:rsidR="00FB5014">
          <w:rPr>
            <w:rFonts w:eastAsiaTheme="minorHAnsi" w:cs="Times New Roman"/>
          </w:rPr>
          <w:fldChar w:fldCharType="separate"/>
        </w:r>
        <w:r w:rsidR="00FB5014">
          <w:rPr>
            <w:rFonts w:eastAsiaTheme="minorHAnsi" w:cs="Times New Roman"/>
            <w:noProof/>
          </w:rPr>
          <w:t>Gustafson et al. (2003)</w:t>
        </w:r>
        <w:r w:rsidR="00FB5014">
          <w:rPr>
            <w:rFonts w:eastAsiaTheme="minorHAnsi" w:cs="Times New Roman"/>
          </w:rPr>
          <w:fldChar w:fldCharType="end"/>
        </w:r>
      </w:hyperlink>
      <w:r w:rsidR="0013705B">
        <w:rPr>
          <w:rFonts w:eastAsiaTheme="minorHAnsi" w:cs="Times New Roman"/>
        </w:rPr>
        <w:t xml:space="preserve">. </w:t>
      </w:r>
      <w:r w:rsidRPr="00BB185F">
        <w:rPr>
          <w:rFonts w:eastAsiaTheme="minorHAnsi"/>
          <w:szCs w:val="22"/>
        </w:rPr>
        <w:t>Plant height</w:t>
      </w:r>
      <w:r w:rsidR="0013705B">
        <w:rPr>
          <w:rFonts w:eastAsiaTheme="minorHAnsi"/>
          <w:szCs w:val="22"/>
        </w:rPr>
        <w:t xml:space="preserve"> (</w:t>
      </w:r>
      <w:r w:rsidR="009E3F66">
        <w:rPr>
          <w:rFonts w:eastAsiaTheme="minorHAnsi"/>
          <w:szCs w:val="22"/>
        </w:rPr>
        <w:t>cm</w:t>
      </w:r>
      <w:r w:rsidR="0013705B">
        <w:rPr>
          <w:rFonts w:eastAsiaTheme="minorHAnsi"/>
          <w:szCs w:val="22"/>
        </w:rPr>
        <w:t>)</w:t>
      </w:r>
      <w:r w:rsidRPr="00BB185F">
        <w:rPr>
          <w:rFonts w:eastAsiaTheme="minorHAnsi"/>
          <w:szCs w:val="22"/>
        </w:rPr>
        <w:t xml:space="preserve"> was measured in the spring and fall. Spring traits were not evaluated during the first year due to transplant</w:t>
      </w:r>
      <w:r w:rsidR="009E3F66">
        <w:rPr>
          <w:rFonts w:eastAsiaTheme="minorHAnsi"/>
          <w:szCs w:val="22"/>
        </w:rPr>
        <w:t>ing</w:t>
      </w:r>
      <w:r w:rsidRPr="00BB185F">
        <w:rPr>
          <w:rFonts w:eastAsiaTheme="minorHAnsi"/>
          <w:szCs w:val="22"/>
        </w:rPr>
        <w:t>. Two tillers</w:t>
      </w:r>
      <w:r w:rsidR="009E3F66">
        <w:rPr>
          <w:rFonts w:eastAsiaTheme="minorHAnsi"/>
          <w:szCs w:val="22"/>
        </w:rPr>
        <w:t>,</w:t>
      </w:r>
      <w:r w:rsidRPr="00BB185F">
        <w:rPr>
          <w:rFonts w:eastAsiaTheme="minorHAnsi"/>
          <w:szCs w:val="22"/>
        </w:rPr>
        <w:t xml:space="preserve"> of a maturity average to that of the plant being evaluated</w:t>
      </w:r>
      <w:r w:rsidR="009E3F66">
        <w:rPr>
          <w:rFonts w:eastAsiaTheme="minorHAnsi"/>
          <w:szCs w:val="22"/>
        </w:rPr>
        <w:t>,</w:t>
      </w:r>
      <w:r w:rsidRPr="00BB185F">
        <w:rPr>
          <w:rFonts w:eastAsiaTheme="minorHAnsi"/>
          <w:szCs w:val="22"/>
        </w:rPr>
        <w:t xml:space="preserve"> were randomly selected for stem and leaf measurements and an average was calculated for each. Stem width</w:t>
      </w:r>
      <w:r w:rsidR="0013705B">
        <w:rPr>
          <w:rFonts w:eastAsiaTheme="minorHAnsi"/>
          <w:szCs w:val="22"/>
        </w:rPr>
        <w:t xml:space="preserve"> (</w:t>
      </w:r>
      <w:r w:rsidR="009E3F66">
        <w:rPr>
          <w:rFonts w:eastAsiaTheme="minorHAnsi"/>
          <w:szCs w:val="22"/>
        </w:rPr>
        <w:t>mm</w:t>
      </w:r>
      <w:r w:rsidR="0013705B">
        <w:rPr>
          <w:rFonts w:eastAsiaTheme="minorHAnsi"/>
          <w:szCs w:val="22"/>
        </w:rPr>
        <w:t>)</w:t>
      </w:r>
      <w:r w:rsidRPr="00BB185F">
        <w:rPr>
          <w:rFonts w:eastAsiaTheme="minorHAnsi"/>
          <w:szCs w:val="22"/>
        </w:rPr>
        <w:t xml:space="preserve"> was measured directly above the lowest node using calipers. </w:t>
      </w:r>
      <w:r w:rsidR="00B8390A">
        <w:rPr>
          <w:rFonts w:eastAsiaTheme="minorHAnsi"/>
          <w:szCs w:val="22"/>
        </w:rPr>
        <w:t>Leaf width</w:t>
      </w:r>
      <w:r w:rsidR="009E3F66">
        <w:rPr>
          <w:rFonts w:eastAsiaTheme="minorHAnsi"/>
          <w:szCs w:val="22"/>
        </w:rPr>
        <w:t xml:space="preserve"> </w:t>
      </w:r>
      <w:r w:rsidR="0013705B">
        <w:rPr>
          <w:rFonts w:eastAsiaTheme="minorHAnsi"/>
          <w:szCs w:val="22"/>
        </w:rPr>
        <w:t>(</w:t>
      </w:r>
      <w:r w:rsidR="009E3F66">
        <w:rPr>
          <w:rFonts w:eastAsiaTheme="minorHAnsi"/>
          <w:szCs w:val="22"/>
        </w:rPr>
        <w:t>mm</w:t>
      </w:r>
      <w:r w:rsidR="0013705B">
        <w:rPr>
          <w:rFonts w:eastAsiaTheme="minorHAnsi"/>
          <w:szCs w:val="22"/>
        </w:rPr>
        <w:t>)</w:t>
      </w:r>
      <w:r w:rsidR="009E3F66">
        <w:rPr>
          <w:rFonts w:eastAsiaTheme="minorHAnsi"/>
          <w:szCs w:val="22"/>
        </w:rPr>
        <w:t xml:space="preserve"> </w:t>
      </w:r>
      <w:r w:rsidRPr="00BB185F">
        <w:rPr>
          <w:rFonts w:eastAsiaTheme="minorHAnsi"/>
          <w:szCs w:val="22"/>
        </w:rPr>
        <w:t>was measured on the fully emerged leaf directly above the bottommost node at the widest port</w:t>
      </w:r>
      <w:r w:rsidR="009E3F66">
        <w:rPr>
          <w:rFonts w:eastAsiaTheme="minorHAnsi"/>
          <w:szCs w:val="22"/>
        </w:rPr>
        <w:t xml:space="preserve">ion of the leaf, approximately 8 </w:t>
      </w:r>
      <w:r w:rsidRPr="00BB185F">
        <w:rPr>
          <w:rFonts w:eastAsiaTheme="minorHAnsi"/>
          <w:szCs w:val="22"/>
        </w:rPr>
        <w:t xml:space="preserve">cm from the stem using calipers. Leaf angle was evaluated visually using a 1-5 scale with 1 indicating </w:t>
      </w:r>
      <w:r w:rsidRPr="00BB185F">
        <w:rPr>
          <w:rFonts w:eastAsiaTheme="minorHAnsi"/>
          <w:szCs w:val="22"/>
        </w:rPr>
        <w:lastRenderedPageBreak/>
        <w:t>prostrate leaves</w:t>
      </w:r>
      <w:r w:rsidR="00D5280E">
        <w:rPr>
          <w:rFonts w:eastAsiaTheme="minorHAnsi"/>
          <w:szCs w:val="22"/>
        </w:rPr>
        <w:t>, leaves at a 135</w:t>
      </w:r>
      <w:r w:rsidR="00D5280E">
        <w:rPr>
          <w:rFonts w:eastAsiaTheme="minorHAnsi" w:cs="Times New Roman"/>
          <w:szCs w:val="22"/>
        </w:rPr>
        <w:t>°</w:t>
      </w:r>
      <w:r w:rsidR="00D5280E">
        <w:rPr>
          <w:rFonts w:eastAsiaTheme="minorHAnsi"/>
          <w:szCs w:val="22"/>
        </w:rPr>
        <w:t xml:space="preserve"> angle or greater relative to the stem,</w:t>
      </w:r>
      <w:r w:rsidRPr="00BB185F">
        <w:rPr>
          <w:rFonts w:eastAsiaTheme="minorHAnsi"/>
          <w:szCs w:val="22"/>
        </w:rPr>
        <w:t xml:space="preserve"> and 5 indicating upright leaves</w:t>
      </w:r>
      <w:r w:rsidR="00D5280E">
        <w:rPr>
          <w:rFonts w:eastAsiaTheme="minorHAnsi"/>
          <w:szCs w:val="22"/>
        </w:rPr>
        <w:t>, leaves at a 45</w:t>
      </w:r>
      <w:r w:rsidR="00D5280E">
        <w:rPr>
          <w:rFonts w:eastAsiaTheme="minorHAnsi" w:cs="Times New Roman"/>
          <w:szCs w:val="22"/>
        </w:rPr>
        <w:t>º</w:t>
      </w:r>
      <w:r w:rsidR="00D5280E">
        <w:rPr>
          <w:rFonts w:eastAsiaTheme="minorHAnsi"/>
          <w:szCs w:val="22"/>
        </w:rPr>
        <w:t xml:space="preserve"> angle or less relative to the stem</w:t>
      </w:r>
      <w:r w:rsidR="00954DB7">
        <w:rPr>
          <w:rFonts w:eastAsiaTheme="minorHAnsi"/>
          <w:szCs w:val="22"/>
        </w:rPr>
        <w:t xml:space="preserve">. </w:t>
      </w:r>
      <w:r w:rsidR="00DB61CB">
        <w:rPr>
          <w:rFonts w:eastAsiaTheme="minorHAnsi"/>
          <w:szCs w:val="22"/>
        </w:rPr>
        <w:t>Plant color</w:t>
      </w:r>
      <w:r w:rsidRPr="00BB185F">
        <w:rPr>
          <w:rFonts w:eastAsiaTheme="minorHAnsi"/>
          <w:szCs w:val="22"/>
        </w:rPr>
        <w:t xml:space="preserve"> was evaluated on a 1-3 scale with 1 indicating </w:t>
      </w:r>
      <w:r w:rsidR="00A44411">
        <w:rPr>
          <w:rFonts w:eastAsiaTheme="minorHAnsi"/>
          <w:szCs w:val="22"/>
        </w:rPr>
        <w:t xml:space="preserve">medium green </w:t>
      </w:r>
      <w:r w:rsidRPr="00BB185F">
        <w:rPr>
          <w:rFonts w:eastAsiaTheme="minorHAnsi"/>
          <w:szCs w:val="22"/>
        </w:rPr>
        <w:t xml:space="preserve">and 3 indicating </w:t>
      </w:r>
      <w:r w:rsidR="0061071A">
        <w:rPr>
          <w:rFonts w:eastAsiaTheme="minorHAnsi"/>
          <w:szCs w:val="22"/>
        </w:rPr>
        <w:t>blue</w:t>
      </w:r>
      <w:r w:rsidR="00CC35AE">
        <w:rPr>
          <w:rFonts w:eastAsiaTheme="minorHAnsi"/>
          <w:szCs w:val="22"/>
        </w:rPr>
        <w:t>.</w:t>
      </w:r>
      <w:r w:rsidRPr="00BB185F">
        <w:rPr>
          <w:rFonts w:eastAsiaTheme="minorHAnsi"/>
          <w:szCs w:val="22"/>
        </w:rPr>
        <w:t xml:space="preserve"> </w:t>
      </w:r>
      <w:r w:rsidR="00CC35AE">
        <w:rPr>
          <w:rFonts w:eastAsiaTheme="minorHAnsi" w:cs="Times New Roman"/>
        </w:rPr>
        <w:t xml:space="preserve">Canopy density was evaluated on a 1-5 scale with one indicating a dense canopy and five indicating an open canopy. </w:t>
      </w:r>
      <w:r w:rsidRPr="00BB185F">
        <w:rPr>
          <w:rFonts w:eastAsiaTheme="minorHAnsi"/>
          <w:szCs w:val="22"/>
        </w:rPr>
        <w:t xml:space="preserve">Biomass yield was measured by harvesting plants individually with a sickle bar mower </w:t>
      </w:r>
      <w:r w:rsidR="009E3F66">
        <w:rPr>
          <w:rFonts w:eastAsiaTheme="minorHAnsi"/>
          <w:szCs w:val="22"/>
        </w:rPr>
        <w:t xml:space="preserve">set to cut at approximately 15 cm from the soil surface </w:t>
      </w:r>
      <w:r w:rsidRPr="00BB185F">
        <w:rPr>
          <w:rFonts w:eastAsiaTheme="minorHAnsi"/>
          <w:szCs w:val="22"/>
        </w:rPr>
        <w:t xml:space="preserve">and weighing the harvested bundle. Immediately after weighing, a 20 tiller sample was taken from each plant. Each sample was weighed, dried in an oven at 65 ºC for at least </w:t>
      </w:r>
      <w:r w:rsidR="009E3F66">
        <w:rPr>
          <w:rFonts w:eastAsiaTheme="minorHAnsi"/>
          <w:szCs w:val="22"/>
        </w:rPr>
        <w:t>48 to 72</w:t>
      </w:r>
      <w:r w:rsidRPr="00BB185F">
        <w:rPr>
          <w:rFonts w:eastAsiaTheme="minorHAnsi"/>
          <w:szCs w:val="22"/>
        </w:rPr>
        <w:t xml:space="preserve"> </w:t>
      </w:r>
      <w:proofErr w:type="gramStart"/>
      <w:r w:rsidR="006F7A2F" w:rsidRPr="00BB185F">
        <w:rPr>
          <w:rFonts w:eastAsiaTheme="minorHAnsi"/>
          <w:szCs w:val="22"/>
        </w:rPr>
        <w:t>hrs.</w:t>
      </w:r>
      <w:r w:rsidR="00501697" w:rsidRPr="00BB185F">
        <w:rPr>
          <w:rFonts w:eastAsiaTheme="minorHAnsi"/>
          <w:szCs w:val="22"/>
        </w:rPr>
        <w:t>,</w:t>
      </w:r>
      <w:proofErr w:type="gramEnd"/>
      <w:r w:rsidRPr="00BB185F">
        <w:rPr>
          <w:rFonts w:eastAsiaTheme="minorHAnsi"/>
          <w:szCs w:val="22"/>
        </w:rPr>
        <w:t xml:space="preserve"> and weighed again to obtain percent moisture. This value was used to adjust yield values to an equivalent dry weight. </w:t>
      </w:r>
      <w:r w:rsidRPr="007C0900">
        <w:t xml:space="preserve">Dried material </w:t>
      </w:r>
      <w:r w:rsidRPr="00BB185F">
        <w:t>was</w:t>
      </w:r>
      <w:r w:rsidRPr="007C0900">
        <w:t xml:space="preserve"> ground using a Wiley Mill (</w:t>
      </w:r>
      <w:r w:rsidRPr="00BB185F">
        <w:t>Thomas Scientific, Swedesboro, NJ</w:t>
      </w:r>
      <w:r w:rsidRPr="007C0900">
        <w:t xml:space="preserve">) to pass a </w:t>
      </w:r>
      <w:r w:rsidR="009E3F66">
        <w:t>1 mm</w:t>
      </w:r>
      <w:r w:rsidRPr="007C0900">
        <w:t xml:space="preserve"> mesh screen</w:t>
      </w:r>
      <w:r w:rsidR="00954DB7">
        <w:t xml:space="preserve">. </w:t>
      </w:r>
      <w:r>
        <w:rPr>
          <w:rFonts w:cs="Times New Roman"/>
        </w:rPr>
        <w:t>Samples were analyzed using a FOSS NIRSystems 4</w:t>
      </w:r>
      <w:r w:rsidRPr="00441ABD">
        <w:rPr>
          <w:rFonts w:cs="Times New Roman"/>
        </w:rPr>
        <w:t xml:space="preserve">500 Feed &amp; Forage Analyzer </w:t>
      </w:r>
      <w:r>
        <w:rPr>
          <w:rFonts w:cs="Times New Roman"/>
        </w:rPr>
        <w:t>(</w:t>
      </w:r>
      <w:r w:rsidRPr="00441ABD">
        <w:rPr>
          <w:rFonts w:cs="Times New Roman"/>
        </w:rPr>
        <w:t>FOSS Analytical, Hilleroed, Denmark)</w:t>
      </w:r>
      <w:r>
        <w:rPr>
          <w:rFonts w:cs="Times New Roman"/>
        </w:rPr>
        <w:t>. WINSI II software, supplied by Infrasoft International LLC (State College, PA) was used for NIRS analysis</w:t>
      </w:r>
      <w:r w:rsidR="00954DB7">
        <w:rPr>
          <w:rFonts w:cs="Times New Roman"/>
        </w:rPr>
        <w:t xml:space="preserve">. </w:t>
      </w:r>
      <w:r>
        <w:rPr>
          <w:rFonts w:cs="Times New Roman"/>
        </w:rPr>
        <w:t xml:space="preserve">A global H statistical test in the WINSI II program was used to check the fit of the spectral profile of the calibration set to the current data </w:t>
      </w:r>
      <w:r w:rsidR="00301182">
        <w:rPr>
          <w:rFonts w:cs="Times New Roman"/>
        </w:rPr>
        <w:fldChar w:fldCharType="begin"/>
      </w:r>
      <w:r>
        <w:rPr>
          <w:rFonts w:cs="Times New Roman"/>
        </w:rPr>
        <w:instrText xml:space="preserve"> ADDIN EN.CITE &lt;EndNote&gt;&lt;Cite&gt;&lt;Author&gt;Murray&lt;/Author&gt;&lt;Year&gt;2004&lt;/Year&gt;&lt;RecNum&gt;302&lt;/RecNum&gt;&lt;DisplayText&gt;(Murray and Cowe, 2004)&lt;/DisplayText&gt;&lt;record&gt;&lt;rec-number&gt;302&lt;/rec-number&gt;&lt;foreign-keys&gt;&lt;key app="EN" db-id="9zfxt259rawwvce0pfa5efeuatdw0pz5va5z" timestamp="1396893591"&gt;302&lt;/key&gt;&lt;/foreign-keys&gt;&lt;ref-type name="Journal Article"&gt;17&lt;/ref-type&gt;&lt;contributors&gt;&lt;authors&gt;&lt;author&gt;Murray, I. &lt;/author&gt;&lt;author&gt;Cowe, I.&lt;/author&gt;&lt;/authors&gt;&lt;/contributors&gt;&lt;titles&gt;&lt;title&gt;Sample preparation. Near-Infrared Spectroscopy in Agriculture&lt;/title&gt;&lt;secondary-title&gt;Near Infrared Spectroscopy&lt;/secondary-title&gt;&lt;/titles&gt;&lt;periodical&gt;&lt;full-title&gt;Near Infrared Spectroscopy&lt;/full-title&gt;&lt;/periodical&gt;&lt;pages&gt;75-112&lt;/pages&gt;&lt;dates&gt;&lt;year&gt;2004&lt;/year&gt;&lt;/dates&gt;&lt;urls&gt;&lt;/urls&gt;&lt;/record&gt;&lt;/Cite&gt;&lt;/EndNote&gt;</w:instrText>
      </w:r>
      <w:r w:rsidR="00301182">
        <w:rPr>
          <w:rFonts w:cs="Times New Roman"/>
        </w:rPr>
        <w:fldChar w:fldCharType="separate"/>
      </w:r>
      <w:r>
        <w:rPr>
          <w:rFonts w:cs="Times New Roman"/>
          <w:noProof/>
        </w:rPr>
        <w:t>(</w:t>
      </w:r>
      <w:hyperlink w:anchor="_ENREF_72" w:tooltip="Murray, 2004 #302" w:history="1">
        <w:r w:rsidR="00FB5014">
          <w:rPr>
            <w:rFonts w:cs="Times New Roman"/>
            <w:noProof/>
          </w:rPr>
          <w:t>Murray and Cowe, 2004</w:t>
        </w:r>
      </w:hyperlink>
      <w:r>
        <w:rPr>
          <w:rFonts w:cs="Times New Roman"/>
          <w:noProof/>
        </w:rPr>
        <w:t>)</w:t>
      </w:r>
      <w:r w:rsidR="00301182">
        <w:rPr>
          <w:rFonts w:cs="Times New Roman"/>
        </w:rPr>
        <w:fldChar w:fldCharType="end"/>
      </w:r>
      <w:r>
        <w:rPr>
          <w:rFonts w:cs="Times New Roman"/>
        </w:rPr>
        <w:t xml:space="preserve"> Although </w:t>
      </w:r>
      <w:hyperlink w:anchor="_ENREF_99" w:tooltip="Vogel, 2011 #256" w:history="1">
        <w:r w:rsidR="00FB5014">
          <w:rPr>
            <w:rFonts w:cs="Times New Roman"/>
          </w:rPr>
          <w:fldChar w:fldCharType="begin"/>
        </w:r>
        <w:r w:rsidR="00FB5014">
          <w:rPr>
            <w:rFonts w:cs="Times New Roman"/>
          </w:rPr>
          <w:instrText xml:space="preserve"> ADDIN EN.CITE &lt;EndNote&gt;&lt;Cite AuthorYear="1"&gt;&lt;Author&gt;Vogel&lt;/Author&gt;&lt;Year&gt;2011&lt;/Year&gt;&lt;RecNum&gt;256&lt;/RecNum&gt;&lt;DisplayText&gt;Vogel et al. (2011)&lt;/DisplayText&gt;&lt;record&gt;&lt;rec-number&gt;256&lt;/rec-number&gt;&lt;foreign-keys&gt;&lt;key app="EN" db-id="9zfxt259rawwvce0pfa5efeuatdw0pz5va5z" timestamp="1323887732"&gt;256&lt;/key&gt;&lt;/foreign-keys&gt;&lt;ref-type name="Journal Article"&gt;17&lt;/ref-type&gt;&lt;contributors&gt;&lt;authors&gt;&lt;author&gt;Vogel, K.P.&lt;/author&gt;&lt;author&gt;Dien, B.S.&lt;/author&gt;&lt;author&gt;Jung, H.G.&lt;/author&gt;&lt;author&gt;Casler, M.D.&lt;/author&gt;&lt;author&gt;Masterson, S.D.&lt;/author&gt;&lt;author&gt;Mitchell, R.B.&lt;/author&gt;&lt;/authors&gt;&lt;/contributors&gt;&lt;titles&gt;&lt;title&gt;Quantifying actual and theoretical ethanol yields for switchgrass strains using NIRS analyses&lt;/title&gt;&lt;secondary-title&gt;Bioenergy Research&lt;/secondary-title&gt;&lt;/titles&gt;&lt;periodical&gt;&lt;full-title&gt;Bioenergy Research&lt;/full-title&gt;&lt;abbr-1&gt;BioEnergy Res.&lt;/abbr-1&gt;&lt;/periodical&gt;&lt;pages&gt;96-110&lt;/pages&gt;&lt;volume&gt;4&lt;/volume&gt;&lt;section&gt;96&lt;/section&gt;&lt;dates&gt;&lt;year&gt;2011&lt;/year&gt;&lt;/dates&gt;&lt;urls&gt;&lt;/urls&gt;&lt;/record&gt;&lt;/Cite&gt;&lt;/EndNote&gt;</w:instrText>
        </w:r>
        <w:r w:rsidR="00FB5014">
          <w:rPr>
            <w:rFonts w:cs="Times New Roman"/>
          </w:rPr>
          <w:fldChar w:fldCharType="separate"/>
        </w:r>
        <w:r w:rsidR="00FB5014">
          <w:rPr>
            <w:rFonts w:cs="Times New Roman"/>
            <w:noProof/>
          </w:rPr>
          <w:t>Vogel et al. (2011)</w:t>
        </w:r>
        <w:r w:rsidR="00FB5014">
          <w:rPr>
            <w:rFonts w:cs="Times New Roman"/>
          </w:rPr>
          <w:fldChar w:fldCharType="end"/>
        </w:r>
      </w:hyperlink>
      <w:r>
        <w:rPr>
          <w:rFonts w:cs="Times New Roman"/>
        </w:rPr>
        <w:t xml:space="preserve"> developed NIRS calibrations specifically for estimating ethanol production from switchgrass, the samples from this experiment were not within the spectral profile of the calibration set for estimating ethanol yield. All samples did fit the 2013 mixed hay equation (H</w:t>
      </w:r>
      <w:r w:rsidR="005F3E43">
        <w:rPr>
          <w:rFonts w:cs="Times New Roman"/>
        </w:rPr>
        <w:t xml:space="preserve"> </w:t>
      </w:r>
      <w:r>
        <w:rPr>
          <w:rFonts w:cs="Times New Roman"/>
        </w:rPr>
        <w:t>&lt;</w:t>
      </w:r>
      <w:r w:rsidR="005F3E43">
        <w:rPr>
          <w:rFonts w:cs="Times New Roman"/>
        </w:rPr>
        <w:t xml:space="preserve"> </w:t>
      </w:r>
      <w:r>
        <w:rPr>
          <w:rFonts w:cs="Times New Roman"/>
        </w:rPr>
        <w:t xml:space="preserve">3.0) published by the NIRS Consortium (Hillsboro, WI). Values obtained for neutral detergent fiber (NDF) and neutral detergent fiber digestibility at 48 hours (NDFD48) were inserted into the regression equation developed by </w:t>
      </w:r>
      <w:hyperlink w:anchor="_ENREF_65" w:tooltip="Lorenz, 2009 #280" w:history="1">
        <w:r w:rsidR="00FB5014">
          <w:rPr>
            <w:rFonts w:cs="Times New Roman"/>
          </w:rPr>
          <w:fldChar w:fldCharType="begin"/>
        </w:r>
        <w:r w:rsidR="00FB5014">
          <w:rPr>
            <w:rFonts w:cs="Times New Roman"/>
          </w:rPr>
          <w:instrText xml:space="preserve"> ADDIN EN.CITE &lt;EndNote&gt;&lt;Cite AuthorYear="1"&gt;&lt;Author&gt;Lorenz&lt;/Author&gt;&lt;Year&gt;2009&lt;/Year&gt;&lt;RecNum&gt;280&lt;/RecNum&gt;&lt;DisplayText&gt;Lorenz et al. (2009)&lt;/DisplayText&gt;&lt;record&gt;&lt;rec-number&gt;280&lt;/rec-number&gt;&lt;foreign-keys&gt;&lt;key app="EN" db-id="9zfxt259rawwvce0pfa5efeuatdw0pz5va5z" timestamp="1393016506"&gt;280&lt;/key&gt;&lt;/foreign-keys&gt;&lt;ref-type name="Journal Article"&gt;17&lt;/ref-type&gt;&lt;contributors&gt;&lt;authors&gt;&lt;author&gt;Lorenz, A.J. &lt;/author&gt;&lt;author&gt;Anex, R.P.&lt;/author&gt;&lt;author&gt;Isci, A.&lt;/author&gt;&lt;author&gt;Coors, J.G.&lt;/author&gt;&lt;author&gt;de Leon, N.&lt;/author&gt;&lt;author&gt;Weimer, P.J.&lt;/author&gt;&lt;/authors&gt;&lt;/contributors&gt;&lt;titles&gt;&lt;title&gt;&lt;style face="normal" font="default" size="100%"&gt;Forage quality and composition measurements as predictors of ethanol yield from maize (&lt;/style&gt;&lt;style face="italic" font="default" size="100%"&gt;Zea mays&lt;/style&gt;&lt;style face="normal" font="default" size="100%"&gt; L.) stover&lt;/style&gt;&lt;/title&gt;&lt;secondary-title&gt;Biotechnology for Biofuels&lt;/secondary-title&gt;&lt;/titles&gt;&lt;periodical&gt;&lt;full-title&gt;Biotechnology for Biofuels&lt;/full-title&gt;&lt;/periodical&gt;&lt;volume&gt;2&lt;/volume&gt;&lt;number&gt;5&lt;/number&gt;&lt;dates&gt;&lt;year&gt;2009&lt;/year&gt;&lt;/dates&gt;&lt;urls&gt;&lt;/urls&gt;&lt;electronic-resource-num&gt;10.1186/1754-6834-2-5&lt;/electronic-resource-num&gt;&lt;/record&gt;&lt;/Cite&gt;&lt;/EndNote&gt;</w:instrText>
        </w:r>
        <w:r w:rsidR="00FB5014">
          <w:rPr>
            <w:rFonts w:cs="Times New Roman"/>
          </w:rPr>
          <w:fldChar w:fldCharType="separate"/>
        </w:r>
        <w:r w:rsidR="00FB5014">
          <w:rPr>
            <w:rFonts w:cs="Times New Roman"/>
            <w:noProof/>
          </w:rPr>
          <w:t>Lorenz et al. (2009)</w:t>
        </w:r>
        <w:r w:rsidR="00FB5014">
          <w:rPr>
            <w:rFonts w:cs="Times New Roman"/>
          </w:rPr>
          <w:fldChar w:fldCharType="end"/>
        </w:r>
      </w:hyperlink>
      <w:r>
        <w:rPr>
          <w:rFonts w:cs="Times New Roman"/>
        </w:rPr>
        <w:t xml:space="preserve"> to estimate ethanol yield from SSF. </w:t>
      </w:r>
      <w:r w:rsidRPr="00BB185F">
        <w:t xml:space="preserve">This equation was developed to estimate ethanol yield from SSF using corn stover; however, in previous studies on switchgrass, NIRS estimated ethanol yields explained 97.5% of the variation in average SSF ethanol yield (Sykes, unpublished data). </w:t>
      </w:r>
    </w:p>
    <w:p w14:paraId="6D558549" w14:textId="77777777" w:rsidR="00596A40" w:rsidRPr="00BA3F3D" w:rsidRDefault="00596A40" w:rsidP="00596A40">
      <w:pPr>
        <w:pStyle w:val="Heading3"/>
        <w:rPr>
          <w:rFonts w:eastAsiaTheme="majorEastAsia" w:cs="Times New Roman"/>
        </w:rPr>
      </w:pPr>
      <w:bookmarkStart w:id="60" w:name="_Toc404069838"/>
      <w:r w:rsidRPr="00BA3F3D">
        <w:rPr>
          <w:rFonts w:eastAsiaTheme="majorEastAsia" w:cs="Times New Roman"/>
        </w:rPr>
        <w:lastRenderedPageBreak/>
        <w:t>Statistical Analysis</w:t>
      </w:r>
      <w:bookmarkEnd w:id="60"/>
    </w:p>
    <w:p w14:paraId="04E734FD" w14:textId="1A7B2E37" w:rsidR="00596A40" w:rsidRDefault="00596A40" w:rsidP="00596A40">
      <w:pPr>
        <w:ind w:firstLine="720"/>
        <w:rPr>
          <w:rFonts w:eastAsiaTheme="minorHAnsi" w:cs="Times New Roman"/>
          <w:szCs w:val="22"/>
        </w:rPr>
      </w:pPr>
      <w:r w:rsidRPr="00BA3F3D">
        <w:rPr>
          <w:rFonts w:eastAsiaTheme="minorHAnsi" w:cs="Times New Roman"/>
          <w:szCs w:val="22"/>
        </w:rPr>
        <w:t xml:space="preserve">All </w:t>
      </w:r>
      <w:r w:rsidR="009E3F66">
        <w:rPr>
          <w:rFonts w:eastAsiaTheme="minorHAnsi" w:cs="Times New Roman"/>
          <w:szCs w:val="22"/>
        </w:rPr>
        <w:t>data</w:t>
      </w:r>
      <w:r w:rsidRPr="00BA3F3D">
        <w:rPr>
          <w:rFonts w:eastAsiaTheme="minorHAnsi" w:cs="Times New Roman"/>
          <w:szCs w:val="22"/>
        </w:rPr>
        <w:t xml:space="preserve"> were </w:t>
      </w:r>
      <w:r w:rsidR="009E3F66">
        <w:rPr>
          <w:rFonts w:eastAsiaTheme="minorHAnsi" w:cs="Times New Roman"/>
          <w:szCs w:val="22"/>
        </w:rPr>
        <w:t>analyzed</w:t>
      </w:r>
      <w:r w:rsidRPr="00BA3F3D">
        <w:rPr>
          <w:rFonts w:eastAsiaTheme="minorHAnsi" w:cs="Times New Roman"/>
          <w:szCs w:val="22"/>
        </w:rPr>
        <w:t xml:space="preserve"> using SAS vs. 9.3 (SAS Institute, Cary, NC). </w:t>
      </w:r>
      <w:r>
        <w:rPr>
          <w:rFonts w:eastAsiaTheme="minorHAnsi" w:cs="Times New Roman"/>
          <w:szCs w:val="22"/>
        </w:rPr>
        <w:t xml:space="preserve">Parent plants were excluded from all analyses except for evaluation of heterosis. Greenhouse evaluation data </w:t>
      </w:r>
      <w:r w:rsidR="009E3F66">
        <w:rPr>
          <w:rFonts w:eastAsiaTheme="minorHAnsi" w:cs="Times New Roman"/>
          <w:szCs w:val="22"/>
        </w:rPr>
        <w:t>were</w:t>
      </w:r>
      <w:r w:rsidR="00A44411">
        <w:rPr>
          <w:rFonts w:eastAsiaTheme="minorHAnsi" w:cs="Times New Roman"/>
          <w:szCs w:val="22"/>
        </w:rPr>
        <w:t xml:space="preserve"> used in correlations </w:t>
      </w:r>
      <w:r>
        <w:rPr>
          <w:rFonts w:eastAsiaTheme="minorHAnsi" w:cs="Times New Roman"/>
          <w:szCs w:val="22"/>
        </w:rPr>
        <w:t xml:space="preserve">and evaluation of early selection, but were excluded from all other analyses since greenhouse evaluations were done prior to clonal division and thus did not contain the replication and blocking of plants evaluated under field conditions. </w:t>
      </w:r>
    </w:p>
    <w:p w14:paraId="34E87DF1" w14:textId="2EB693CF" w:rsidR="00596A40" w:rsidRPr="00BA3F3D" w:rsidRDefault="00B428AC" w:rsidP="00596A40">
      <w:pPr>
        <w:ind w:firstLine="720"/>
        <w:rPr>
          <w:rFonts w:eastAsiaTheme="minorHAnsi" w:cs="Times New Roman"/>
          <w:szCs w:val="22"/>
        </w:rPr>
      </w:pPr>
      <w:r>
        <w:rPr>
          <w:rFonts w:eastAsiaTheme="minorHAnsi" w:cs="Times New Roman"/>
          <w:szCs w:val="22"/>
        </w:rPr>
        <w:t>Pearson c</w:t>
      </w:r>
      <w:r w:rsidR="00596A40" w:rsidRPr="00BA3F3D">
        <w:rPr>
          <w:rFonts w:eastAsiaTheme="minorHAnsi" w:cs="Times New Roman"/>
          <w:szCs w:val="22"/>
        </w:rPr>
        <w:t xml:space="preserve">orrelation coefficients were calculated between each measured trait and biomass yield and </w:t>
      </w:r>
      <w:r w:rsidR="00596A40">
        <w:rPr>
          <w:rFonts w:eastAsiaTheme="minorHAnsi" w:cs="Times New Roman"/>
          <w:szCs w:val="22"/>
        </w:rPr>
        <w:t>predicted ethanol yield respectively for each year</w:t>
      </w:r>
      <w:r>
        <w:rPr>
          <w:rFonts w:eastAsiaTheme="minorHAnsi" w:cs="Times New Roman"/>
          <w:szCs w:val="22"/>
        </w:rPr>
        <w:t xml:space="preserve"> using individual data points from each plant</w:t>
      </w:r>
      <w:r w:rsidR="00596A40">
        <w:rPr>
          <w:rFonts w:eastAsiaTheme="minorHAnsi" w:cs="Times New Roman"/>
          <w:szCs w:val="22"/>
        </w:rPr>
        <w:t xml:space="preserve">. </w:t>
      </w:r>
      <w:r w:rsidR="00596A40" w:rsidRPr="00BA3F3D">
        <w:rPr>
          <w:rFonts w:eastAsiaTheme="minorHAnsi" w:cs="Times New Roman"/>
          <w:szCs w:val="22"/>
        </w:rPr>
        <w:t xml:space="preserve">Estimates of </w:t>
      </w:r>
      <w:r w:rsidR="00596A40">
        <w:rPr>
          <w:rFonts w:eastAsiaTheme="minorHAnsi" w:cs="Times New Roman"/>
          <w:szCs w:val="22"/>
        </w:rPr>
        <w:t>general combining ability (GCA) and</w:t>
      </w:r>
      <w:r w:rsidR="00596A40" w:rsidRPr="00BA3F3D">
        <w:rPr>
          <w:rFonts w:eastAsiaTheme="minorHAnsi" w:cs="Times New Roman"/>
          <w:szCs w:val="22"/>
        </w:rPr>
        <w:t xml:space="preserve"> specific combining ability (SCA) were determined using analyses of variance </w:t>
      </w:r>
      <w:r w:rsidR="00596A40">
        <w:rPr>
          <w:rFonts w:eastAsiaTheme="minorHAnsi" w:cs="Times New Roman"/>
          <w:szCs w:val="22"/>
        </w:rPr>
        <w:t>of</w:t>
      </w:r>
      <w:r w:rsidR="00596A40" w:rsidRPr="00BA3F3D">
        <w:rPr>
          <w:rFonts w:eastAsiaTheme="minorHAnsi" w:cs="Times New Roman"/>
          <w:szCs w:val="22"/>
        </w:rPr>
        <w:t xml:space="preserve"> the following mixed model:</w:t>
      </w:r>
    </w:p>
    <w:p w14:paraId="56344A96" w14:textId="31700542" w:rsidR="00596A40" w:rsidRPr="00BA3F3D" w:rsidRDefault="00596A40" w:rsidP="00596A40">
      <w:pPr>
        <w:ind w:left="720"/>
        <w:rPr>
          <w:rFonts w:eastAsiaTheme="minorHAnsi" w:cs="Times New Roman"/>
          <w:i/>
          <w:szCs w:val="22"/>
          <w:vertAlign w:val="subscript"/>
        </w:rPr>
      </w:pPr>
      <w:proofErr w:type="spellStart"/>
      <w:r w:rsidRPr="00BA3F3D">
        <w:rPr>
          <w:rFonts w:eastAsiaTheme="minorHAnsi" w:cs="Times New Roman"/>
          <w:i/>
          <w:szCs w:val="22"/>
        </w:rPr>
        <w:t>Y</w:t>
      </w:r>
      <w:r w:rsidR="00C17D6B">
        <w:rPr>
          <w:rFonts w:eastAsiaTheme="minorHAnsi" w:cs="Times New Roman"/>
          <w:i/>
          <w:szCs w:val="22"/>
          <w:vertAlign w:val="subscript"/>
        </w:rPr>
        <w:t>ij</w:t>
      </w:r>
      <w:r w:rsidR="00991D2F">
        <w:rPr>
          <w:rFonts w:eastAsiaTheme="minorHAnsi" w:cs="Times New Roman"/>
          <w:i/>
          <w:szCs w:val="22"/>
          <w:vertAlign w:val="subscript"/>
        </w:rPr>
        <w:t>lmn</w:t>
      </w:r>
      <w:r w:rsidR="00BC2196">
        <w:rPr>
          <w:rFonts w:eastAsiaTheme="minorHAnsi" w:cs="Times New Roman"/>
          <w:i/>
          <w:szCs w:val="22"/>
          <w:vertAlign w:val="subscript"/>
        </w:rPr>
        <w:t>o</w:t>
      </w:r>
      <w:proofErr w:type="spellEnd"/>
      <w:r w:rsidRPr="00BA3F3D">
        <w:rPr>
          <w:rFonts w:eastAsiaTheme="minorHAnsi" w:cs="Times New Roman"/>
          <w:szCs w:val="22"/>
          <w:vertAlign w:val="subscript"/>
        </w:rPr>
        <w:t xml:space="preserve"> </w:t>
      </w:r>
      <w:r w:rsidRPr="00BA3F3D">
        <w:rPr>
          <w:rFonts w:eastAsiaTheme="minorHAnsi" w:cs="Times New Roman"/>
          <w:szCs w:val="22"/>
        </w:rPr>
        <w:t xml:space="preserve">= </w:t>
      </w:r>
      <w:r w:rsidR="009B34EB">
        <w:rPr>
          <w:rFonts w:eastAsiaTheme="minorHAnsi" w:cs="Times New Roman"/>
          <w:i/>
          <w:szCs w:val="22"/>
        </w:rPr>
        <w:t xml:space="preserve">µ + </w:t>
      </w:r>
      <w:proofErr w:type="spellStart"/>
      <w:r w:rsidR="009B34EB">
        <w:rPr>
          <w:rFonts w:eastAsiaTheme="minorHAnsi" w:cs="Times New Roman"/>
          <w:i/>
          <w:szCs w:val="22"/>
        </w:rPr>
        <w:t>G</w:t>
      </w:r>
      <w:r w:rsidR="009B34EB">
        <w:rPr>
          <w:rFonts w:eastAsiaTheme="minorHAnsi" w:cs="Times New Roman"/>
          <w:i/>
          <w:szCs w:val="22"/>
          <w:vertAlign w:val="subscript"/>
        </w:rPr>
        <w:t>k</w:t>
      </w:r>
      <w:proofErr w:type="spellEnd"/>
      <w:r w:rsidR="00952A43">
        <w:rPr>
          <w:rFonts w:eastAsiaTheme="minorHAnsi" w:cs="Times New Roman"/>
          <w:i/>
          <w:szCs w:val="22"/>
          <w:vertAlign w:val="subscript"/>
        </w:rPr>
        <w:t xml:space="preserve"> </w:t>
      </w:r>
      <w:r w:rsidR="00952A43" w:rsidRPr="0065644C">
        <w:rPr>
          <w:rFonts w:eastAsiaTheme="minorHAnsi" w:cs="Times New Roman"/>
          <w:szCs w:val="22"/>
        </w:rPr>
        <w:t>[</w:t>
      </w:r>
      <w:r w:rsidR="00952A43">
        <w:rPr>
          <w:rFonts w:eastAsiaTheme="minorHAnsi" w:cs="Times New Roman"/>
          <w:szCs w:val="22"/>
        </w:rPr>
        <w:t xml:space="preserve">= </w:t>
      </w:r>
      <w:proofErr w:type="spellStart"/>
      <w:r w:rsidR="00952A43">
        <w:rPr>
          <w:rFonts w:eastAsiaTheme="minorHAnsi" w:cs="Times New Roman"/>
          <w:i/>
          <w:szCs w:val="22"/>
        </w:rPr>
        <w:t>G</w:t>
      </w:r>
      <w:r w:rsidR="00952A43" w:rsidRPr="0065644C">
        <w:rPr>
          <w:rFonts w:eastAsiaTheme="minorHAnsi" w:cs="Times New Roman"/>
          <w:i/>
          <w:szCs w:val="22"/>
          <w:vertAlign w:val="subscript"/>
        </w:rPr>
        <w:t>i</w:t>
      </w:r>
      <w:proofErr w:type="spellEnd"/>
      <w:r w:rsidR="00952A43">
        <w:rPr>
          <w:rFonts w:eastAsiaTheme="minorHAnsi" w:cs="Times New Roman"/>
          <w:i/>
          <w:szCs w:val="22"/>
        </w:rPr>
        <w:t xml:space="preserve"> + </w:t>
      </w:r>
      <w:proofErr w:type="spellStart"/>
      <w:r w:rsidR="00952A43">
        <w:rPr>
          <w:rFonts w:eastAsiaTheme="minorHAnsi" w:cs="Times New Roman"/>
          <w:i/>
          <w:szCs w:val="22"/>
        </w:rPr>
        <w:t>G</w:t>
      </w:r>
      <w:r w:rsidR="00952A43" w:rsidRPr="0065644C">
        <w:rPr>
          <w:rFonts w:eastAsiaTheme="minorHAnsi" w:cs="Times New Roman"/>
          <w:i/>
          <w:szCs w:val="22"/>
          <w:vertAlign w:val="subscript"/>
        </w:rPr>
        <w:t>j</w:t>
      </w:r>
      <w:proofErr w:type="spellEnd"/>
      <w:r w:rsidR="00952A43" w:rsidRPr="0065644C">
        <w:rPr>
          <w:rFonts w:eastAsiaTheme="minorHAnsi" w:cs="Times New Roman"/>
          <w:szCs w:val="22"/>
        </w:rPr>
        <w:t>]</w:t>
      </w:r>
      <w:r w:rsidR="009B34EB">
        <w:rPr>
          <w:rFonts w:eastAsiaTheme="minorHAnsi" w:cs="Times New Roman"/>
          <w:i/>
          <w:szCs w:val="22"/>
          <w:vertAlign w:val="subscript"/>
        </w:rPr>
        <w:t xml:space="preserve"> </w:t>
      </w:r>
      <w:r w:rsidR="009B34EB" w:rsidRPr="00BA3F3D">
        <w:rPr>
          <w:rFonts w:eastAsiaTheme="minorHAnsi" w:cs="Times New Roman"/>
          <w:szCs w:val="22"/>
        </w:rPr>
        <w:t>+</w:t>
      </w:r>
      <w:r w:rsidR="009B34EB" w:rsidRPr="00BA3F3D">
        <w:rPr>
          <w:rFonts w:eastAsiaTheme="minorHAnsi" w:cs="Times New Roman"/>
          <w:i/>
          <w:szCs w:val="22"/>
        </w:rPr>
        <w:t xml:space="preserve"> </w:t>
      </w:r>
      <w:proofErr w:type="spellStart"/>
      <w:r>
        <w:rPr>
          <w:rFonts w:eastAsiaTheme="minorHAnsi" w:cs="Times New Roman"/>
          <w:i/>
          <w:szCs w:val="22"/>
        </w:rPr>
        <w:t>S</w:t>
      </w:r>
      <w:r w:rsidR="00F67C71">
        <w:rPr>
          <w:rFonts w:eastAsiaTheme="minorHAnsi" w:cs="Times New Roman"/>
          <w:i/>
          <w:szCs w:val="22"/>
          <w:vertAlign w:val="subscript"/>
        </w:rPr>
        <w:t>ij</w:t>
      </w:r>
      <w:proofErr w:type="spellEnd"/>
      <w:r w:rsidRPr="00BA3F3D">
        <w:rPr>
          <w:rFonts w:eastAsiaTheme="minorHAnsi" w:cs="Times New Roman"/>
          <w:i/>
          <w:szCs w:val="22"/>
        </w:rPr>
        <w:t xml:space="preserve"> </w:t>
      </w:r>
      <w:r w:rsidRPr="00BA3F3D">
        <w:rPr>
          <w:rFonts w:eastAsiaTheme="minorHAnsi" w:cs="Times New Roman"/>
          <w:szCs w:val="22"/>
        </w:rPr>
        <w:t xml:space="preserve"> +</w:t>
      </w:r>
      <w:r w:rsidRPr="00BA3F3D">
        <w:rPr>
          <w:rFonts w:eastAsiaTheme="minorHAnsi" w:cs="Times New Roman"/>
          <w:i/>
          <w:szCs w:val="22"/>
        </w:rPr>
        <w:t xml:space="preserve"> T</w:t>
      </w:r>
      <w:r w:rsidR="00F62180">
        <w:rPr>
          <w:rFonts w:eastAsiaTheme="minorHAnsi" w:cs="Times New Roman"/>
          <w:i/>
          <w:szCs w:val="22"/>
          <w:vertAlign w:val="subscript"/>
        </w:rPr>
        <w:t>l</w:t>
      </w:r>
      <w:r w:rsidRPr="00BA3F3D">
        <w:rPr>
          <w:rFonts w:eastAsiaTheme="minorHAnsi" w:cs="Times New Roman"/>
          <w:szCs w:val="22"/>
        </w:rPr>
        <w:t xml:space="preserve"> + </w:t>
      </w:r>
      <w:r w:rsidRPr="00BA3F3D">
        <w:rPr>
          <w:rFonts w:eastAsiaTheme="minorHAnsi" w:cs="Times New Roman"/>
          <w:i/>
          <w:szCs w:val="22"/>
        </w:rPr>
        <w:t>L</w:t>
      </w:r>
      <w:r w:rsidRPr="00BA3F3D">
        <w:rPr>
          <w:rFonts w:eastAsiaTheme="minorHAnsi" w:cs="Times New Roman"/>
          <w:i/>
          <w:szCs w:val="22"/>
        </w:rPr>
        <w:softHyphen/>
      </w:r>
      <w:r w:rsidR="00F62180">
        <w:rPr>
          <w:rFonts w:eastAsiaTheme="minorHAnsi" w:cs="Times New Roman"/>
          <w:i/>
          <w:szCs w:val="22"/>
          <w:vertAlign w:val="subscript"/>
        </w:rPr>
        <w:t>m</w:t>
      </w:r>
      <w:r w:rsidRPr="00BA3F3D">
        <w:rPr>
          <w:rFonts w:eastAsiaTheme="minorHAnsi" w:cs="Times New Roman"/>
          <w:i/>
          <w:szCs w:val="22"/>
        </w:rPr>
        <w:t xml:space="preserve"> </w:t>
      </w:r>
      <w:r w:rsidRPr="00BA3F3D">
        <w:rPr>
          <w:rFonts w:eastAsiaTheme="minorHAnsi" w:cs="Times New Roman"/>
          <w:szCs w:val="22"/>
        </w:rPr>
        <w:t>+</w:t>
      </w:r>
      <w:r w:rsidRPr="00BA3F3D">
        <w:rPr>
          <w:rFonts w:eastAsiaTheme="minorHAnsi" w:cs="Times New Roman"/>
          <w:i/>
          <w:szCs w:val="22"/>
        </w:rPr>
        <w:t xml:space="preserve"> B(L)</w:t>
      </w:r>
      <w:r w:rsidR="00F62180">
        <w:rPr>
          <w:rFonts w:eastAsiaTheme="minorHAnsi" w:cs="Times New Roman"/>
          <w:i/>
          <w:szCs w:val="22"/>
          <w:vertAlign w:val="subscript"/>
        </w:rPr>
        <w:t>n(m</w:t>
      </w:r>
      <w:r w:rsidRPr="00BA3F3D">
        <w:rPr>
          <w:rFonts w:eastAsiaTheme="minorHAnsi" w:cs="Times New Roman"/>
          <w:i/>
          <w:szCs w:val="22"/>
          <w:vertAlign w:val="subscript"/>
        </w:rPr>
        <w:t>)</w:t>
      </w:r>
      <w:r w:rsidRPr="00BA3F3D">
        <w:rPr>
          <w:rFonts w:eastAsiaTheme="minorHAnsi" w:cs="Times New Roman"/>
          <w:i/>
          <w:szCs w:val="22"/>
        </w:rPr>
        <w:t xml:space="preserve"> + </w:t>
      </w:r>
      <w:proofErr w:type="spellStart"/>
      <w:r w:rsidRPr="00BA3F3D">
        <w:rPr>
          <w:rFonts w:eastAsiaTheme="minorHAnsi" w:cs="Times New Roman"/>
          <w:i/>
          <w:szCs w:val="22"/>
        </w:rPr>
        <w:t>TL</w:t>
      </w:r>
      <w:r w:rsidR="00F62180">
        <w:rPr>
          <w:rFonts w:eastAsiaTheme="minorHAnsi" w:cs="Times New Roman"/>
          <w:i/>
          <w:szCs w:val="22"/>
          <w:vertAlign w:val="subscript"/>
        </w:rPr>
        <w:t>lm</w:t>
      </w:r>
      <w:proofErr w:type="spellEnd"/>
      <w:r w:rsidRPr="00BA3F3D">
        <w:rPr>
          <w:rFonts w:eastAsiaTheme="minorHAnsi" w:cs="Times New Roman"/>
          <w:i/>
          <w:szCs w:val="22"/>
        </w:rPr>
        <w:t xml:space="preserve"> </w:t>
      </w:r>
      <w:r w:rsidRPr="00BA3F3D">
        <w:rPr>
          <w:rFonts w:eastAsiaTheme="minorHAnsi" w:cs="Times New Roman"/>
          <w:szCs w:val="22"/>
        </w:rPr>
        <w:t xml:space="preserve">+ </w:t>
      </w:r>
      <w:r w:rsidR="00E12C72">
        <w:rPr>
          <w:rFonts w:eastAsiaTheme="minorHAnsi" w:cs="Times New Roman"/>
          <w:i/>
          <w:szCs w:val="22"/>
        </w:rPr>
        <w:t>B(</w:t>
      </w:r>
      <w:r w:rsidRPr="00BA3F3D">
        <w:rPr>
          <w:rFonts w:eastAsiaTheme="minorHAnsi" w:cs="Times New Roman"/>
          <w:i/>
          <w:szCs w:val="22"/>
        </w:rPr>
        <w:t>T</w:t>
      </w:r>
      <w:r w:rsidR="00E12C72">
        <w:rPr>
          <w:rFonts w:eastAsiaTheme="minorHAnsi" w:cs="Times New Roman"/>
          <w:i/>
          <w:szCs w:val="22"/>
        </w:rPr>
        <w:t>L</w:t>
      </w:r>
      <w:r w:rsidRPr="00BA3F3D">
        <w:rPr>
          <w:rFonts w:eastAsiaTheme="minorHAnsi" w:cs="Times New Roman"/>
          <w:i/>
          <w:szCs w:val="22"/>
        </w:rPr>
        <w:t>)</w:t>
      </w:r>
      <w:r w:rsidR="00F62180">
        <w:rPr>
          <w:rFonts w:eastAsiaTheme="minorHAnsi" w:cs="Times New Roman"/>
          <w:i/>
          <w:szCs w:val="22"/>
          <w:vertAlign w:val="subscript"/>
        </w:rPr>
        <w:t>n</w:t>
      </w:r>
      <w:r w:rsidRPr="00BA3F3D">
        <w:rPr>
          <w:rFonts w:eastAsiaTheme="minorHAnsi" w:cs="Times New Roman"/>
          <w:i/>
          <w:szCs w:val="22"/>
          <w:vertAlign w:val="subscript"/>
        </w:rPr>
        <w:t>(</w:t>
      </w:r>
      <w:r w:rsidR="00F62180">
        <w:rPr>
          <w:rFonts w:eastAsiaTheme="minorHAnsi" w:cs="Times New Roman"/>
          <w:i/>
          <w:szCs w:val="22"/>
          <w:vertAlign w:val="subscript"/>
        </w:rPr>
        <w:t>lm</w:t>
      </w:r>
      <w:r w:rsidRPr="00BA3F3D">
        <w:rPr>
          <w:rFonts w:eastAsiaTheme="minorHAnsi" w:cs="Times New Roman"/>
          <w:i/>
          <w:szCs w:val="22"/>
          <w:vertAlign w:val="subscript"/>
        </w:rPr>
        <w:t>)</w:t>
      </w:r>
      <w:r w:rsidRPr="00BA3F3D">
        <w:rPr>
          <w:rFonts w:eastAsiaTheme="minorHAnsi" w:cs="Times New Roman"/>
          <w:szCs w:val="22"/>
        </w:rPr>
        <w:t xml:space="preserve"> + </w:t>
      </w:r>
      <w:proofErr w:type="spellStart"/>
      <w:r w:rsidR="00E12C72">
        <w:rPr>
          <w:rFonts w:eastAsiaTheme="minorHAnsi" w:cs="Times New Roman"/>
          <w:i/>
          <w:szCs w:val="22"/>
        </w:rPr>
        <w:t>G</w:t>
      </w:r>
      <w:r w:rsidRPr="00BA3F3D">
        <w:rPr>
          <w:rFonts w:eastAsiaTheme="minorHAnsi" w:cs="Times New Roman"/>
          <w:i/>
          <w:szCs w:val="22"/>
        </w:rPr>
        <w:t>T</w:t>
      </w:r>
      <w:r w:rsidR="00F62180">
        <w:rPr>
          <w:rFonts w:eastAsiaTheme="minorHAnsi" w:cs="Times New Roman"/>
          <w:i/>
          <w:szCs w:val="22"/>
          <w:vertAlign w:val="subscript"/>
        </w:rPr>
        <w:t>kl</w:t>
      </w:r>
      <w:proofErr w:type="spellEnd"/>
      <w:r w:rsidRPr="00BA3F3D">
        <w:rPr>
          <w:rFonts w:eastAsiaTheme="minorHAnsi" w:cs="Times New Roman"/>
          <w:i/>
          <w:szCs w:val="22"/>
        </w:rPr>
        <w:t xml:space="preserve"> </w:t>
      </w:r>
      <w:r w:rsidRPr="00BA3F3D">
        <w:rPr>
          <w:rFonts w:eastAsiaTheme="minorHAnsi" w:cs="Times New Roman"/>
          <w:szCs w:val="22"/>
        </w:rPr>
        <w:t xml:space="preserve">+ </w:t>
      </w:r>
      <w:proofErr w:type="spellStart"/>
      <w:r w:rsidR="00E12C72">
        <w:rPr>
          <w:rFonts w:eastAsiaTheme="minorHAnsi" w:cs="Times New Roman"/>
          <w:i/>
          <w:szCs w:val="22"/>
        </w:rPr>
        <w:t>G</w:t>
      </w:r>
      <w:r w:rsidRPr="00BA3F3D">
        <w:rPr>
          <w:rFonts w:eastAsiaTheme="minorHAnsi" w:cs="Times New Roman"/>
          <w:i/>
          <w:szCs w:val="22"/>
        </w:rPr>
        <w:t>L</w:t>
      </w:r>
      <w:r w:rsidR="00F62180">
        <w:rPr>
          <w:rFonts w:eastAsiaTheme="minorHAnsi" w:cs="Times New Roman"/>
          <w:i/>
          <w:szCs w:val="22"/>
          <w:vertAlign w:val="subscript"/>
        </w:rPr>
        <w:t>km</w:t>
      </w:r>
      <w:proofErr w:type="spellEnd"/>
      <w:r w:rsidRPr="00BA3F3D">
        <w:rPr>
          <w:rFonts w:eastAsiaTheme="minorHAnsi" w:cs="Times New Roman"/>
          <w:i/>
          <w:szCs w:val="22"/>
        </w:rPr>
        <w:t xml:space="preserve"> </w:t>
      </w:r>
      <w:r w:rsidRPr="00BA3F3D">
        <w:rPr>
          <w:rFonts w:eastAsiaTheme="minorHAnsi" w:cs="Times New Roman"/>
          <w:szCs w:val="22"/>
        </w:rPr>
        <w:t xml:space="preserve">+ </w:t>
      </w:r>
      <w:proofErr w:type="spellStart"/>
      <w:r w:rsidR="00E12C72">
        <w:rPr>
          <w:rFonts w:eastAsiaTheme="minorHAnsi" w:cs="Times New Roman"/>
          <w:i/>
          <w:szCs w:val="22"/>
        </w:rPr>
        <w:t>G</w:t>
      </w:r>
      <w:r w:rsidRPr="00BA3F3D">
        <w:rPr>
          <w:rFonts w:eastAsiaTheme="minorHAnsi" w:cs="Times New Roman"/>
          <w:i/>
          <w:szCs w:val="22"/>
        </w:rPr>
        <w:t>TL</w:t>
      </w:r>
      <w:r w:rsidR="00F62180">
        <w:rPr>
          <w:rFonts w:eastAsiaTheme="minorHAnsi" w:cs="Times New Roman"/>
          <w:i/>
          <w:szCs w:val="22"/>
          <w:vertAlign w:val="subscript"/>
        </w:rPr>
        <w:t>klm</w:t>
      </w:r>
      <w:proofErr w:type="spellEnd"/>
      <w:r w:rsidRPr="00BA3F3D">
        <w:rPr>
          <w:rFonts w:eastAsiaTheme="minorHAnsi" w:cs="Times New Roman"/>
          <w:i/>
          <w:szCs w:val="22"/>
        </w:rPr>
        <w:t xml:space="preserve"> </w:t>
      </w:r>
      <w:r w:rsidRPr="00BA3F3D">
        <w:rPr>
          <w:rFonts w:eastAsiaTheme="minorHAnsi" w:cs="Times New Roman"/>
          <w:szCs w:val="22"/>
        </w:rPr>
        <w:t xml:space="preserve">+ </w:t>
      </w:r>
      <w:r w:rsidRPr="00BA3F3D">
        <w:rPr>
          <w:rFonts w:eastAsiaTheme="minorHAnsi" w:cs="Times New Roman"/>
          <w:i/>
          <w:szCs w:val="22"/>
        </w:rPr>
        <w:t>B(</w:t>
      </w:r>
      <w:r w:rsidR="00E12C72">
        <w:rPr>
          <w:rFonts w:eastAsiaTheme="minorHAnsi" w:cs="Times New Roman"/>
          <w:i/>
          <w:szCs w:val="22"/>
        </w:rPr>
        <w:t>G</w:t>
      </w:r>
      <w:r w:rsidRPr="00BA3F3D">
        <w:rPr>
          <w:rFonts w:eastAsiaTheme="minorHAnsi" w:cs="Times New Roman"/>
          <w:i/>
          <w:szCs w:val="22"/>
        </w:rPr>
        <w:t>L)</w:t>
      </w:r>
      <w:r w:rsidR="00F62180">
        <w:rPr>
          <w:rFonts w:eastAsiaTheme="minorHAnsi" w:cs="Times New Roman"/>
          <w:i/>
          <w:szCs w:val="22"/>
          <w:vertAlign w:val="subscript"/>
        </w:rPr>
        <w:t>n</w:t>
      </w:r>
      <w:r w:rsidR="00E12C72">
        <w:rPr>
          <w:rFonts w:eastAsiaTheme="minorHAnsi" w:cs="Times New Roman"/>
          <w:i/>
          <w:szCs w:val="22"/>
          <w:vertAlign w:val="subscript"/>
        </w:rPr>
        <w:t>(</w:t>
      </w:r>
      <w:r w:rsidR="00F62180">
        <w:rPr>
          <w:rFonts w:eastAsiaTheme="minorHAnsi" w:cs="Times New Roman"/>
          <w:i/>
          <w:szCs w:val="22"/>
          <w:vertAlign w:val="subscript"/>
        </w:rPr>
        <w:t>km</w:t>
      </w:r>
      <w:r w:rsidRPr="00BA3F3D">
        <w:rPr>
          <w:rFonts w:eastAsiaTheme="minorHAnsi" w:cs="Times New Roman"/>
          <w:i/>
          <w:szCs w:val="22"/>
          <w:vertAlign w:val="subscript"/>
        </w:rPr>
        <w:t>)</w:t>
      </w:r>
      <w:r w:rsidRPr="00BA3F3D">
        <w:rPr>
          <w:rFonts w:eastAsiaTheme="minorHAnsi" w:cs="Times New Roman"/>
          <w:szCs w:val="22"/>
          <w:vertAlign w:val="subscript"/>
        </w:rPr>
        <w:t xml:space="preserve"> </w:t>
      </w:r>
      <w:r w:rsidR="00E12C72" w:rsidRPr="00BA3F3D">
        <w:rPr>
          <w:rFonts w:eastAsiaTheme="minorHAnsi" w:cs="Times New Roman"/>
          <w:szCs w:val="22"/>
        </w:rPr>
        <w:t>+</w:t>
      </w:r>
      <w:r w:rsidR="00E12C72">
        <w:rPr>
          <w:rFonts w:eastAsiaTheme="minorHAnsi" w:cs="Times New Roman"/>
          <w:szCs w:val="22"/>
        </w:rPr>
        <w:t xml:space="preserve"> </w:t>
      </w:r>
      <w:r w:rsidRPr="00BA3F3D">
        <w:rPr>
          <w:rFonts w:eastAsiaTheme="minorHAnsi" w:cs="Times New Roman"/>
          <w:i/>
          <w:szCs w:val="22"/>
        </w:rPr>
        <w:t>B(</w:t>
      </w:r>
      <w:r w:rsidR="00E12C72">
        <w:rPr>
          <w:rFonts w:eastAsiaTheme="minorHAnsi" w:cs="Times New Roman"/>
          <w:i/>
          <w:szCs w:val="22"/>
        </w:rPr>
        <w:t>GTL</w:t>
      </w:r>
      <w:r w:rsidRPr="00BA3F3D">
        <w:rPr>
          <w:rFonts w:eastAsiaTheme="minorHAnsi" w:cs="Times New Roman"/>
          <w:i/>
          <w:szCs w:val="22"/>
        </w:rPr>
        <w:t>)</w:t>
      </w:r>
      <w:r w:rsidR="00F62180">
        <w:rPr>
          <w:rFonts w:eastAsiaTheme="minorHAnsi" w:cs="Times New Roman"/>
          <w:i/>
          <w:szCs w:val="22"/>
          <w:vertAlign w:val="subscript"/>
        </w:rPr>
        <w:t>n</w:t>
      </w:r>
      <w:r w:rsidRPr="00BA3F3D">
        <w:rPr>
          <w:rFonts w:eastAsiaTheme="minorHAnsi" w:cs="Times New Roman"/>
          <w:i/>
          <w:szCs w:val="22"/>
          <w:vertAlign w:val="subscript"/>
        </w:rPr>
        <w:t>(</w:t>
      </w:r>
      <w:proofErr w:type="spellStart"/>
      <w:r w:rsidR="00F62180">
        <w:rPr>
          <w:rFonts w:eastAsiaTheme="minorHAnsi" w:cs="Times New Roman"/>
          <w:i/>
          <w:szCs w:val="22"/>
          <w:vertAlign w:val="subscript"/>
        </w:rPr>
        <w:t>klm</w:t>
      </w:r>
      <w:proofErr w:type="spellEnd"/>
      <w:r w:rsidRPr="00BA3F3D">
        <w:rPr>
          <w:rFonts w:eastAsiaTheme="minorHAnsi" w:cs="Times New Roman"/>
          <w:i/>
          <w:szCs w:val="22"/>
          <w:vertAlign w:val="subscript"/>
        </w:rPr>
        <w:t xml:space="preserve">) </w:t>
      </w:r>
      <w:r w:rsidRPr="00BA3F3D">
        <w:rPr>
          <w:rFonts w:eastAsiaTheme="minorHAnsi" w:cs="Times New Roman"/>
          <w:szCs w:val="22"/>
        </w:rPr>
        <w:t xml:space="preserve">+ </w:t>
      </w:r>
      <w:proofErr w:type="spellStart"/>
      <w:r w:rsidR="00E12C72">
        <w:rPr>
          <w:rFonts w:eastAsiaTheme="minorHAnsi" w:cs="Times New Roman"/>
          <w:i/>
          <w:szCs w:val="22"/>
        </w:rPr>
        <w:t>S</w:t>
      </w:r>
      <w:r w:rsidRPr="00BA3F3D">
        <w:rPr>
          <w:rFonts w:eastAsiaTheme="minorHAnsi" w:cs="Times New Roman"/>
          <w:i/>
          <w:szCs w:val="22"/>
        </w:rPr>
        <w:t>T</w:t>
      </w:r>
      <w:r w:rsidR="00F62180">
        <w:rPr>
          <w:rFonts w:eastAsiaTheme="minorHAnsi" w:cs="Times New Roman"/>
          <w:i/>
          <w:szCs w:val="22"/>
          <w:vertAlign w:val="subscript"/>
        </w:rPr>
        <w:t>ijl</w:t>
      </w:r>
      <w:proofErr w:type="spellEnd"/>
      <w:r w:rsidRPr="00BA3F3D">
        <w:rPr>
          <w:rFonts w:eastAsiaTheme="minorHAnsi" w:cs="Times New Roman"/>
          <w:i/>
          <w:szCs w:val="22"/>
        </w:rPr>
        <w:t xml:space="preserve"> </w:t>
      </w:r>
      <w:r w:rsidRPr="00BA3F3D">
        <w:rPr>
          <w:rFonts w:eastAsiaTheme="minorHAnsi" w:cs="Times New Roman"/>
          <w:szCs w:val="22"/>
        </w:rPr>
        <w:t xml:space="preserve"> + </w:t>
      </w:r>
      <w:proofErr w:type="spellStart"/>
      <w:r w:rsidR="00E12C72">
        <w:rPr>
          <w:rFonts w:eastAsiaTheme="minorHAnsi" w:cs="Times New Roman"/>
          <w:i/>
          <w:szCs w:val="22"/>
        </w:rPr>
        <w:t>S</w:t>
      </w:r>
      <w:r w:rsidRPr="00BA3F3D">
        <w:rPr>
          <w:rFonts w:eastAsiaTheme="minorHAnsi" w:cs="Times New Roman"/>
          <w:i/>
          <w:szCs w:val="22"/>
        </w:rPr>
        <w:t>L</w:t>
      </w:r>
      <w:r w:rsidR="00F62180">
        <w:rPr>
          <w:rFonts w:eastAsiaTheme="minorHAnsi" w:cs="Times New Roman"/>
          <w:i/>
          <w:szCs w:val="22"/>
          <w:vertAlign w:val="subscript"/>
        </w:rPr>
        <w:t>ijm</w:t>
      </w:r>
      <w:proofErr w:type="spellEnd"/>
      <w:r w:rsidRPr="00BA3F3D">
        <w:rPr>
          <w:rFonts w:eastAsiaTheme="minorHAnsi" w:cs="Times New Roman"/>
          <w:i/>
          <w:szCs w:val="22"/>
        </w:rPr>
        <w:t xml:space="preserve"> </w:t>
      </w:r>
      <w:r w:rsidRPr="00BA3F3D">
        <w:rPr>
          <w:rFonts w:eastAsiaTheme="minorHAnsi" w:cs="Times New Roman"/>
          <w:szCs w:val="22"/>
        </w:rPr>
        <w:t xml:space="preserve"> + </w:t>
      </w:r>
      <w:proofErr w:type="spellStart"/>
      <w:r w:rsidR="00E12C72">
        <w:rPr>
          <w:rFonts w:eastAsiaTheme="minorHAnsi" w:cs="Times New Roman"/>
          <w:i/>
          <w:szCs w:val="22"/>
        </w:rPr>
        <w:t>S</w:t>
      </w:r>
      <w:r w:rsidRPr="00BA3F3D">
        <w:rPr>
          <w:rFonts w:eastAsiaTheme="minorHAnsi" w:cs="Times New Roman"/>
          <w:i/>
          <w:szCs w:val="22"/>
        </w:rPr>
        <w:t>TL</w:t>
      </w:r>
      <w:r w:rsidR="00F62180">
        <w:rPr>
          <w:rFonts w:eastAsiaTheme="minorHAnsi" w:cs="Times New Roman"/>
          <w:i/>
          <w:szCs w:val="22"/>
          <w:vertAlign w:val="subscript"/>
        </w:rPr>
        <w:t>ij</w:t>
      </w:r>
      <w:r w:rsidRPr="00BA3F3D">
        <w:rPr>
          <w:rFonts w:eastAsiaTheme="minorHAnsi" w:cs="Times New Roman"/>
          <w:i/>
          <w:szCs w:val="22"/>
          <w:vertAlign w:val="subscript"/>
        </w:rPr>
        <w:t>l</w:t>
      </w:r>
      <w:r w:rsidR="00F62180">
        <w:rPr>
          <w:rFonts w:eastAsiaTheme="minorHAnsi" w:cs="Times New Roman"/>
          <w:i/>
          <w:szCs w:val="22"/>
          <w:vertAlign w:val="subscript"/>
        </w:rPr>
        <w:t>m</w:t>
      </w:r>
      <w:proofErr w:type="spellEnd"/>
      <w:r w:rsidRPr="00BA3F3D">
        <w:rPr>
          <w:rFonts w:eastAsiaTheme="minorHAnsi" w:cs="Times New Roman"/>
          <w:i/>
          <w:szCs w:val="22"/>
        </w:rPr>
        <w:t xml:space="preserve"> </w:t>
      </w:r>
      <w:r w:rsidRPr="00BA3F3D">
        <w:rPr>
          <w:rFonts w:eastAsiaTheme="minorHAnsi" w:cs="Times New Roman"/>
          <w:szCs w:val="22"/>
        </w:rPr>
        <w:t xml:space="preserve"> + </w:t>
      </w:r>
      <w:r w:rsidRPr="00BA3F3D">
        <w:rPr>
          <w:rFonts w:eastAsiaTheme="minorHAnsi" w:cs="Times New Roman"/>
          <w:i/>
          <w:szCs w:val="22"/>
        </w:rPr>
        <w:t>B(</w:t>
      </w:r>
      <w:r w:rsidR="00E12C72">
        <w:rPr>
          <w:rFonts w:eastAsiaTheme="minorHAnsi" w:cs="Times New Roman"/>
          <w:i/>
          <w:szCs w:val="22"/>
        </w:rPr>
        <w:t>SL</w:t>
      </w:r>
      <w:r w:rsidRPr="00BA3F3D">
        <w:rPr>
          <w:rFonts w:eastAsiaTheme="minorHAnsi" w:cs="Times New Roman"/>
          <w:i/>
          <w:szCs w:val="22"/>
        </w:rPr>
        <w:t>)</w:t>
      </w:r>
      <w:r w:rsidR="00F62180">
        <w:rPr>
          <w:rFonts w:eastAsiaTheme="minorHAnsi" w:cs="Times New Roman"/>
          <w:i/>
          <w:szCs w:val="22"/>
          <w:vertAlign w:val="subscript"/>
        </w:rPr>
        <w:t>n</w:t>
      </w:r>
      <w:r w:rsidR="00991D2F">
        <w:rPr>
          <w:rFonts w:eastAsiaTheme="minorHAnsi" w:cs="Times New Roman"/>
          <w:i/>
          <w:szCs w:val="22"/>
          <w:vertAlign w:val="subscript"/>
        </w:rPr>
        <w:t>(</w:t>
      </w:r>
      <w:proofErr w:type="spellStart"/>
      <w:r w:rsidR="00F62180">
        <w:rPr>
          <w:rFonts w:eastAsiaTheme="minorHAnsi" w:cs="Times New Roman"/>
          <w:i/>
          <w:szCs w:val="22"/>
          <w:vertAlign w:val="subscript"/>
        </w:rPr>
        <w:t>ij</w:t>
      </w:r>
      <w:r w:rsidR="00BC2196">
        <w:rPr>
          <w:rFonts w:eastAsiaTheme="minorHAnsi" w:cs="Times New Roman"/>
          <w:i/>
          <w:szCs w:val="22"/>
          <w:vertAlign w:val="subscript"/>
        </w:rPr>
        <w:t>m</w:t>
      </w:r>
      <w:proofErr w:type="spellEnd"/>
      <w:r w:rsidRPr="00BA3F3D">
        <w:rPr>
          <w:rFonts w:eastAsiaTheme="minorHAnsi" w:cs="Times New Roman"/>
          <w:i/>
          <w:szCs w:val="22"/>
          <w:vertAlign w:val="subscript"/>
        </w:rPr>
        <w:t>)</w:t>
      </w:r>
      <w:r w:rsidRPr="00BA3F3D">
        <w:rPr>
          <w:rFonts w:eastAsiaTheme="minorHAnsi" w:cs="Times New Roman"/>
          <w:szCs w:val="22"/>
          <w:vertAlign w:val="subscript"/>
        </w:rPr>
        <w:t xml:space="preserve"> </w:t>
      </w:r>
      <w:r w:rsidRPr="00BA3F3D">
        <w:rPr>
          <w:rFonts w:eastAsiaTheme="minorHAnsi" w:cs="Times New Roman"/>
          <w:szCs w:val="22"/>
        </w:rPr>
        <w:t xml:space="preserve">+ </w:t>
      </w:r>
      <w:r w:rsidR="00E12C72">
        <w:rPr>
          <w:rFonts w:eastAsiaTheme="minorHAnsi" w:cs="Times New Roman"/>
          <w:i/>
          <w:szCs w:val="22"/>
        </w:rPr>
        <w:t>B(STL</w:t>
      </w:r>
      <w:r w:rsidRPr="00BA3F3D">
        <w:rPr>
          <w:rFonts w:eastAsiaTheme="minorHAnsi" w:cs="Times New Roman"/>
          <w:i/>
          <w:szCs w:val="22"/>
        </w:rPr>
        <w:t>)</w:t>
      </w:r>
      <w:r w:rsidR="00F62180">
        <w:rPr>
          <w:rFonts w:eastAsiaTheme="minorHAnsi" w:cs="Times New Roman"/>
          <w:i/>
          <w:szCs w:val="22"/>
          <w:vertAlign w:val="subscript"/>
        </w:rPr>
        <w:t>n</w:t>
      </w:r>
      <w:r w:rsidRPr="00BA3F3D">
        <w:rPr>
          <w:rFonts w:eastAsiaTheme="minorHAnsi" w:cs="Times New Roman"/>
          <w:i/>
          <w:szCs w:val="22"/>
          <w:vertAlign w:val="subscript"/>
        </w:rPr>
        <w:t>(</w:t>
      </w:r>
      <w:proofErr w:type="spellStart"/>
      <w:r w:rsidR="00F62180">
        <w:rPr>
          <w:rFonts w:eastAsiaTheme="minorHAnsi" w:cs="Times New Roman"/>
          <w:i/>
          <w:szCs w:val="22"/>
          <w:vertAlign w:val="subscript"/>
        </w:rPr>
        <w:t>ij</w:t>
      </w:r>
      <w:r w:rsidR="00E12C72">
        <w:rPr>
          <w:rFonts w:eastAsiaTheme="minorHAnsi" w:cs="Times New Roman"/>
          <w:i/>
          <w:szCs w:val="22"/>
          <w:vertAlign w:val="subscript"/>
        </w:rPr>
        <w:t>l</w:t>
      </w:r>
      <w:r w:rsidR="00BC2196">
        <w:rPr>
          <w:rFonts w:eastAsiaTheme="minorHAnsi" w:cs="Times New Roman"/>
          <w:i/>
          <w:szCs w:val="22"/>
          <w:vertAlign w:val="subscript"/>
        </w:rPr>
        <w:t>m</w:t>
      </w:r>
      <w:proofErr w:type="spellEnd"/>
      <w:r w:rsidRPr="00BA3F3D">
        <w:rPr>
          <w:rFonts w:eastAsiaTheme="minorHAnsi" w:cs="Times New Roman"/>
          <w:i/>
          <w:szCs w:val="22"/>
          <w:vertAlign w:val="subscript"/>
        </w:rPr>
        <w:t xml:space="preserve">) </w:t>
      </w:r>
      <w:r w:rsidRPr="00BA3F3D">
        <w:rPr>
          <w:rFonts w:eastAsiaTheme="minorHAnsi" w:cs="Times New Roman"/>
          <w:szCs w:val="22"/>
        </w:rPr>
        <w:t>+</w:t>
      </w:r>
      <w:r w:rsidR="00991D2F" w:rsidRPr="00BA3F3D">
        <w:rPr>
          <w:rFonts w:eastAsiaTheme="minorHAnsi" w:cs="Times New Roman"/>
          <w:i/>
          <w:szCs w:val="22"/>
        </w:rPr>
        <w:t xml:space="preserve"> </w:t>
      </w:r>
      <w:proofErr w:type="spellStart"/>
      <w:r w:rsidR="00991D2F" w:rsidRPr="00BA3F3D">
        <w:rPr>
          <w:rFonts w:eastAsiaTheme="minorHAnsi" w:cs="Times New Roman"/>
          <w:i/>
          <w:szCs w:val="22"/>
        </w:rPr>
        <w:t>e</w:t>
      </w:r>
      <w:r w:rsidR="00BC2196">
        <w:rPr>
          <w:rFonts w:eastAsiaTheme="minorHAnsi" w:cs="Times New Roman"/>
          <w:i/>
          <w:szCs w:val="22"/>
          <w:vertAlign w:val="subscript"/>
        </w:rPr>
        <w:t>o</w:t>
      </w:r>
      <w:proofErr w:type="spellEnd"/>
      <w:r w:rsidR="00F62180">
        <w:rPr>
          <w:rFonts w:eastAsiaTheme="minorHAnsi" w:cs="Times New Roman"/>
          <w:i/>
          <w:szCs w:val="22"/>
          <w:vertAlign w:val="subscript"/>
        </w:rPr>
        <w:t>(</w:t>
      </w:r>
      <w:proofErr w:type="spellStart"/>
      <w:r w:rsidR="00F62180">
        <w:rPr>
          <w:rFonts w:eastAsiaTheme="minorHAnsi" w:cs="Times New Roman"/>
          <w:i/>
          <w:szCs w:val="22"/>
          <w:vertAlign w:val="subscript"/>
        </w:rPr>
        <w:t>ijl</w:t>
      </w:r>
      <w:r w:rsidR="00991D2F">
        <w:rPr>
          <w:rFonts w:eastAsiaTheme="minorHAnsi" w:cs="Times New Roman"/>
          <w:i/>
          <w:szCs w:val="22"/>
          <w:vertAlign w:val="subscript"/>
        </w:rPr>
        <w:t>m</w:t>
      </w:r>
      <w:r w:rsidR="00BC2196">
        <w:rPr>
          <w:rFonts w:eastAsiaTheme="minorHAnsi" w:cs="Times New Roman"/>
          <w:i/>
          <w:szCs w:val="22"/>
          <w:vertAlign w:val="subscript"/>
        </w:rPr>
        <w:t>n</w:t>
      </w:r>
      <w:proofErr w:type="spellEnd"/>
      <w:r w:rsidR="00991D2F">
        <w:rPr>
          <w:rFonts w:eastAsiaTheme="minorHAnsi" w:cs="Times New Roman"/>
          <w:i/>
          <w:szCs w:val="22"/>
          <w:vertAlign w:val="subscript"/>
        </w:rPr>
        <w:t>)</w:t>
      </w:r>
      <w:r w:rsidR="00991D2F" w:rsidRPr="00991D2F">
        <w:rPr>
          <w:rFonts w:eastAsiaTheme="minorHAnsi" w:cs="Times New Roman"/>
          <w:szCs w:val="22"/>
        </w:rPr>
        <w:t xml:space="preserve"> </w:t>
      </w:r>
    </w:p>
    <w:p w14:paraId="2F1E33A3" w14:textId="77777777" w:rsidR="00596A40" w:rsidRPr="00BA3F3D" w:rsidRDefault="00596A40" w:rsidP="00596A40">
      <w:pPr>
        <w:rPr>
          <w:rFonts w:eastAsiaTheme="minorHAnsi" w:cs="Times New Roman"/>
          <w:szCs w:val="22"/>
        </w:rPr>
      </w:pPr>
      <w:proofErr w:type="gramStart"/>
      <w:r w:rsidRPr="00BA3F3D">
        <w:rPr>
          <w:rFonts w:eastAsiaTheme="minorHAnsi" w:cs="Times New Roman"/>
          <w:szCs w:val="22"/>
        </w:rPr>
        <w:t>where</w:t>
      </w:r>
      <w:proofErr w:type="gramEnd"/>
      <w:r w:rsidRPr="00BA3F3D">
        <w:rPr>
          <w:rFonts w:eastAsiaTheme="minorHAnsi" w:cs="Times New Roman"/>
          <w:szCs w:val="22"/>
        </w:rPr>
        <w:t>:</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1"/>
        <w:gridCol w:w="6981"/>
      </w:tblGrid>
      <w:tr w:rsidR="00596A40" w:rsidRPr="00BA3F3D" w14:paraId="298A6BF6" w14:textId="77777777" w:rsidTr="00991D2F">
        <w:tc>
          <w:tcPr>
            <w:tcW w:w="1551" w:type="dxa"/>
          </w:tcPr>
          <w:p w14:paraId="34AFB135" w14:textId="49410D49" w:rsidR="00596A40" w:rsidRPr="00BA3F3D" w:rsidRDefault="00BC2196" w:rsidP="00596A40">
            <w:pPr>
              <w:rPr>
                <w:rFonts w:cs="Times New Roman"/>
                <w:i/>
                <w:szCs w:val="22"/>
                <w:vertAlign w:val="subscript"/>
              </w:rPr>
            </w:pPr>
            <w:proofErr w:type="spellStart"/>
            <w:r w:rsidRPr="00BA3F3D">
              <w:rPr>
                <w:rFonts w:cs="Times New Roman"/>
                <w:i/>
                <w:szCs w:val="22"/>
              </w:rPr>
              <w:t>Y</w:t>
            </w:r>
            <w:r>
              <w:rPr>
                <w:rFonts w:cs="Times New Roman"/>
                <w:i/>
                <w:szCs w:val="22"/>
                <w:vertAlign w:val="subscript"/>
              </w:rPr>
              <w:t>ijlmno</w:t>
            </w:r>
            <w:proofErr w:type="spellEnd"/>
          </w:p>
        </w:tc>
        <w:tc>
          <w:tcPr>
            <w:tcW w:w="6981" w:type="dxa"/>
          </w:tcPr>
          <w:p w14:paraId="532E128C" w14:textId="4C884C62" w:rsidR="00596A40" w:rsidRPr="00BC2196" w:rsidRDefault="00596A40" w:rsidP="00BC2196">
            <w:pPr>
              <w:rPr>
                <w:rFonts w:cs="Times New Roman"/>
                <w:szCs w:val="22"/>
              </w:rPr>
            </w:pPr>
            <w:r w:rsidRPr="00BA3F3D">
              <w:rPr>
                <w:rFonts w:cs="Times New Roman"/>
                <w:szCs w:val="22"/>
              </w:rPr>
              <w:t xml:space="preserve">= observed value of a given </w:t>
            </w:r>
            <w:r>
              <w:rPr>
                <w:rFonts w:cs="Times New Roman"/>
                <w:szCs w:val="22"/>
              </w:rPr>
              <w:t>trait</w:t>
            </w:r>
            <w:r w:rsidRPr="00BA3F3D">
              <w:rPr>
                <w:rFonts w:cs="Times New Roman"/>
                <w:szCs w:val="22"/>
              </w:rPr>
              <w:t xml:space="preserve"> for </w:t>
            </w:r>
            <w:r>
              <w:rPr>
                <w:rFonts w:cs="Times New Roman"/>
                <w:szCs w:val="22"/>
              </w:rPr>
              <w:t>the</w:t>
            </w:r>
            <w:r w:rsidR="009E3F66">
              <w:rPr>
                <w:rFonts w:cs="Times New Roman"/>
                <w:szCs w:val="22"/>
              </w:rPr>
              <w:t xml:space="preserve"> </w:t>
            </w:r>
            <w:proofErr w:type="spellStart"/>
            <w:r w:rsidR="00BC2196">
              <w:rPr>
                <w:rFonts w:cs="Times New Roman"/>
                <w:i/>
                <w:szCs w:val="22"/>
              </w:rPr>
              <w:t>o</w:t>
            </w:r>
            <w:r w:rsidR="009E3F66" w:rsidRPr="008B4003">
              <w:rPr>
                <w:rFonts w:cs="Times New Roman"/>
                <w:i/>
                <w:szCs w:val="22"/>
              </w:rPr>
              <w:t>th</w:t>
            </w:r>
            <w:proofErr w:type="spellEnd"/>
            <w:r w:rsidR="009E3F66">
              <w:rPr>
                <w:rFonts w:cs="Times New Roman"/>
                <w:szCs w:val="22"/>
              </w:rPr>
              <w:t xml:space="preserve"> replication within the </w:t>
            </w:r>
            <w:r w:rsidR="00BC2196">
              <w:rPr>
                <w:rFonts w:cs="Times New Roman"/>
                <w:i/>
                <w:szCs w:val="22"/>
              </w:rPr>
              <w:t>n</w:t>
            </w:r>
            <w:r w:rsidR="009E3F66" w:rsidRPr="008B4003">
              <w:rPr>
                <w:rFonts w:cs="Times New Roman"/>
                <w:i/>
                <w:szCs w:val="22"/>
              </w:rPr>
              <w:t>th</w:t>
            </w:r>
            <w:r w:rsidR="009E3F66">
              <w:rPr>
                <w:rFonts w:cs="Times New Roman"/>
                <w:szCs w:val="22"/>
              </w:rPr>
              <w:t xml:space="preserve"> block </w:t>
            </w:r>
            <w:r w:rsidR="008B4003">
              <w:rPr>
                <w:rFonts w:cs="Times New Roman"/>
                <w:szCs w:val="22"/>
              </w:rPr>
              <w:t xml:space="preserve">within the </w:t>
            </w:r>
            <w:proofErr w:type="spellStart"/>
            <w:r w:rsidR="00BC2196">
              <w:rPr>
                <w:rFonts w:cs="Times New Roman"/>
                <w:i/>
                <w:szCs w:val="22"/>
              </w:rPr>
              <w:t>m</w:t>
            </w:r>
            <w:r w:rsidR="008B4003" w:rsidRPr="008B4003">
              <w:rPr>
                <w:rFonts w:cs="Times New Roman"/>
                <w:i/>
                <w:szCs w:val="22"/>
              </w:rPr>
              <w:t>th</w:t>
            </w:r>
            <w:proofErr w:type="spellEnd"/>
            <w:r w:rsidR="008B4003">
              <w:rPr>
                <w:rFonts w:cs="Times New Roman"/>
                <w:szCs w:val="22"/>
              </w:rPr>
              <w:t xml:space="preserve"> location within the </w:t>
            </w:r>
            <w:proofErr w:type="spellStart"/>
            <w:r w:rsidR="00BC2196">
              <w:rPr>
                <w:rFonts w:cs="Times New Roman"/>
                <w:i/>
                <w:szCs w:val="22"/>
              </w:rPr>
              <w:t>l</w:t>
            </w:r>
            <w:r w:rsidR="008B4003" w:rsidRPr="008B4003">
              <w:rPr>
                <w:rFonts w:cs="Times New Roman"/>
                <w:i/>
                <w:szCs w:val="22"/>
              </w:rPr>
              <w:t>th</w:t>
            </w:r>
            <w:proofErr w:type="spellEnd"/>
            <w:r w:rsidR="008B4003">
              <w:rPr>
                <w:rFonts w:cs="Times New Roman"/>
                <w:szCs w:val="22"/>
              </w:rPr>
              <w:t xml:space="preserve"> year of the </w:t>
            </w:r>
            <w:r w:rsidR="00BC2196">
              <w:rPr>
                <w:rFonts w:cs="Times New Roman"/>
                <w:szCs w:val="22"/>
              </w:rPr>
              <w:t xml:space="preserve">combination of the </w:t>
            </w:r>
            <w:proofErr w:type="spellStart"/>
            <w:r w:rsidR="00BC2196" w:rsidRPr="009B34EB">
              <w:rPr>
                <w:rFonts w:cs="Times New Roman"/>
                <w:i/>
                <w:szCs w:val="22"/>
              </w:rPr>
              <w:t>ith</w:t>
            </w:r>
            <w:proofErr w:type="spellEnd"/>
            <w:r w:rsidR="00BC2196">
              <w:rPr>
                <w:rFonts w:cs="Times New Roman"/>
                <w:szCs w:val="22"/>
              </w:rPr>
              <w:t xml:space="preserve"> male parent and </w:t>
            </w:r>
            <w:proofErr w:type="spellStart"/>
            <w:r w:rsidR="00BC2196">
              <w:rPr>
                <w:rFonts w:cs="Times New Roman"/>
                <w:i/>
                <w:szCs w:val="22"/>
              </w:rPr>
              <w:t>j</w:t>
            </w:r>
            <w:r w:rsidR="00BC2196" w:rsidRPr="009B34EB">
              <w:rPr>
                <w:rFonts w:cs="Times New Roman"/>
                <w:i/>
                <w:szCs w:val="22"/>
              </w:rPr>
              <w:t>th</w:t>
            </w:r>
            <w:proofErr w:type="spellEnd"/>
            <w:r w:rsidR="00BC2196">
              <w:rPr>
                <w:rFonts w:cs="Times New Roman"/>
                <w:szCs w:val="22"/>
              </w:rPr>
              <w:t xml:space="preserve"> female parent</w:t>
            </w:r>
          </w:p>
        </w:tc>
      </w:tr>
      <w:tr w:rsidR="00596A40" w:rsidRPr="00BA3F3D" w14:paraId="792960FC" w14:textId="77777777" w:rsidTr="00991D2F">
        <w:tc>
          <w:tcPr>
            <w:tcW w:w="1551" w:type="dxa"/>
          </w:tcPr>
          <w:p w14:paraId="3E5C93CF" w14:textId="77777777" w:rsidR="00596A40" w:rsidRPr="00BA3F3D" w:rsidRDefault="00596A40" w:rsidP="00596A40">
            <w:pPr>
              <w:rPr>
                <w:rFonts w:cs="Times New Roman"/>
                <w:i/>
                <w:szCs w:val="22"/>
              </w:rPr>
            </w:pPr>
            <w:r w:rsidRPr="00BA3F3D">
              <w:rPr>
                <w:rFonts w:cs="Times New Roman"/>
                <w:i/>
                <w:szCs w:val="22"/>
              </w:rPr>
              <w:t>µ</w:t>
            </w:r>
          </w:p>
        </w:tc>
        <w:tc>
          <w:tcPr>
            <w:tcW w:w="6981" w:type="dxa"/>
          </w:tcPr>
          <w:p w14:paraId="009F4512" w14:textId="77777777" w:rsidR="00596A40" w:rsidRPr="00BA3F3D" w:rsidRDefault="00596A40" w:rsidP="00596A40">
            <w:pPr>
              <w:rPr>
                <w:rFonts w:cs="Times New Roman"/>
                <w:szCs w:val="22"/>
              </w:rPr>
            </w:pPr>
            <w:r w:rsidRPr="00BA3F3D">
              <w:rPr>
                <w:rFonts w:cs="Times New Roman"/>
                <w:szCs w:val="22"/>
              </w:rPr>
              <w:t>= overall population mean of a given trait</w:t>
            </w:r>
          </w:p>
        </w:tc>
      </w:tr>
      <w:tr w:rsidR="009B34EB" w:rsidRPr="00BA3F3D" w14:paraId="1AED0807" w14:textId="77777777" w:rsidTr="00991D2F">
        <w:tc>
          <w:tcPr>
            <w:tcW w:w="1551" w:type="dxa"/>
          </w:tcPr>
          <w:p w14:paraId="31903047" w14:textId="4483596A" w:rsidR="009B34EB" w:rsidRPr="00BA3F3D" w:rsidRDefault="009B34EB" w:rsidP="00596A40">
            <w:pPr>
              <w:rPr>
                <w:rFonts w:cs="Times New Roman"/>
                <w:i/>
                <w:szCs w:val="22"/>
              </w:rPr>
            </w:pPr>
            <w:proofErr w:type="spellStart"/>
            <w:r>
              <w:rPr>
                <w:rFonts w:cs="Times New Roman"/>
                <w:i/>
                <w:szCs w:val="22"/>
              </w:rPr>
              <w:t>G</w:t>
            </w:r>
            <w:r w:rsidRPr="00BA3F3D">
              <w:rPr>
                <w:rFonts w:cs="Times New Roman"/>
                <w:i/>
                <w:szCs w:val="22"/>
                <w:vertAlign w:val="subscript"/>
              </w:rPr>
              <w:t>i</w:t>
            </w:r>
            <w:proofErr w:type="spellEnd"/>
            <w:r>
              <w:rPr>
                <w:rFonts w:cs="Times New Roman"/>
                <w:i/>
                <w:szCs w:val="22"/>
              </w:rPr>
              <w:t xml:space="preserve"> </w:t>
            </w:r>
          </w:p>
        </w:tc>
        <w:tc>
          <w:tcPr>
            <w:tcW w:w="6981" w:type="dxa"/>
          </w:tcPr>
          <w:p w14:paraId="0398E099" w14:textId="633E132F" w:rsidR="009B34EB" w:rsidRPr="00BA3F3D" w:rsidRDefault="009B34EB" w:rsidP="00596A40">
            <w:pPr>
              <w:rPr>
                <w:rFonts w:cs="Times New Roman"/>
                <w:szCs w:val="22"/>
              </w:rPr>
            </w:pPr>
            <w:r>
              <w:rPr>
                <w:rFonts w:cs="Times New Roman"/>
                <w:szCs w:val="22"/>
              </w:rPr>
              <w:t xml:space="preserve">= effect of the </w:t>
            </w:r>
            <w:proofErr w:type="spellStart"/>
            <w:r w:rsidRPr="009B34EB">
              <w:rPr>
                <w:rFonts w:cs="Times New Roman"/>
                <w:i/>
                <w:szCs w:val="22"/>
              </w:rPr>
              <w:t>ith</w:t>
            </w:r>
            <w:proofErr w:type="spellEnd"/>
            <w:r>
              <w:rPr>
                <w:rFonts w:cs="Times New Roman"/>
                <w:szCs w:val="22"/>
              </w:rPr>
              <w:t xml:space="preserve"> male parent, </w:t>
            </w:r>
            <w:proofErr w:type="spellStart"/>
            <w:r w:rsidRPr="009B34EB">
              <w:rPr>
                <w:rFonts w:cs="Times New Roman"/>
                <w:i/>
                <w:szCs w:val="22"/>
              </w:rPr>
              <w:t>i</w:t>
            </w:r>
            <w:proofErr w:type="spellEnd"/>
            <w:r>
              <w:rPr>
                <w:rFonts w:cs="Times New Roman"/>
                <w:szCs w:val="22"/>
              </w:rPr>
              <w:t xml:space="preserve"> = 1 to 8</w:t>
            </w:r>
          </w:p>
        </w:tc>
      </w:tr>
      <w:tr w:rsidR="009B34EB" w:rsidRPr="00BA3F3D" w14:paraId="2BE54231" w14:textId="77777777" w:rsidTr="00991D2F">
        <w:tc>
          <w:tcPr>
            <w:tcW w:w="1551" w:type="dxa"/>
          </w:tcPr>
          <w:p w14:paraId="4BB81BC0" w14:textId="3D2875CA" w:rsidR="009B34EB" w:rsidRPr="00BA3F3D" w:rsidRDefault="009B34EB" w:rsidP="00596A40">
            <w:pPr>
              <w:rPr>
                <w:rFonts w:cs="Times New Roman"/>
                <w:i/>
                <w:szCs w:val="22"/>
              </w:rPr>
            </w:pPr>
            <w:proofErr w:type="spellStart"/>
            <w:r>
              <w:rPr>
                <w:rFonts w:cs="Times New Roman"/>
                <w:i/>
                <w:szCs w:val="22"/>
              </w:rPr>
              <w:t>G</w:t>
            </w:r>
            <w:r>
              <w:rPr>
                <w:rFonts w:cs="Times New Roman"/>
                <w:i/>
                <w:szCs w:val="22"/>
                <w:vertAlign w:val="subscript"/>
              </w:rPr>
              <w:t>j</w:t>
            </w:r>
            <w:proofErr w:type="spellEnd"/>
          </w:p>
        </w:tc>
        <w:tc>
          <w:tcPr>
            <w:tcW w:w="6981" w:type="dxa"/>
          </w:tcPr>
          <w:p w14:paraId="710D7242" w14:textId="778C34DD" w:rsidR="009B34EB" w:rsidRPr="00BA3F3D" w:rsidRDefault="009B34EB" w:rsidP="009B34EB">
            <w:pPr>
              <w:rPr>
                <w:rFonts w:cs="Times New Roman"/>
                <w:szCs w:val="22"/>
              </w:rPr>
            </w:pPr>
            <w:r>
              <w:rPr>
                <w:rFonts w:cs="Times New Roman"/>
                <w:szCs w:val="22"/>
              </w:rPr>
              <w:t xml:space="preserve">= effect of the </w:t>
            </w:r>
            <w:proofErr w:type="spellStart"/>
            <w:r>
              <w:rPr>
                <w:rFonts w:cs="Times New Roman"/>
                <w:i/>
                <w:szCs w:val="22"/>
              </w:rPr>
              <w:t>j</w:t>
            </w:r>
            <w:r w:rsidRPr="009B34EB">
              <w:rPr>
                <w:rFonts w:cs="Times New Roman"/>
                <w:i/>
                <w:szCs w:val="22"/>
              </w:rPr>
              <w:t>th</w:t>
            </w:r>
            <w:proofErr w:type="spellEnd"/>
            <w:r>
              <w:rPr>
                <w:rFonts w:cs="Times New Roman"/>
                <w:szCs w:val="22"/>
              </w:rPr>
              <w:t xml:space="preserve"> female parent, </w:t>
            </w:r>
            <w:r>
              <w:rPr>
                <w:rFonts w:cs="Times New Roman"/>
                <w:i/>
                <w:szCs w:val="22"/>
              </w:rPr>
              <w:t>j</w:t>
            </w:r>
            <w:r>
              <w:rPr>
                <w:rFonts w:cs="Times New Roman"/>
                <w:szCs w:val="22"/>
              </w:rPr>
              <w:t xml:space="preserve"> = 1 to 8</w:t>
            </w:r>
          </w:p>
        </w:tc>
      </w:tr>
      <w:tr w:rsidR="00596A40" w:rsidRPr="00BA3F3D" w14:paraId="195A3F27" w14:textId="77777777" w:rsidTr="00991D2F">
        <w:tc>
          <w:tcPr>
            <w:tcW w:w="1551" w:type="dxa"/>
          </w:tcPr>
          <w:p w14:paraId="437A8C26" w14:textId="101EC371" w:rsidR="00596A40" w:rsidRPr="00BA3F3D" w:rsidRDefault="00596A40" w:rsidP="00C17D6B">
            <w:pPr>
              <w:rPr>
                <w:rFonts w:cs="Times New Roman"/>
                <w:i/>
                <w:szCs w:val="22"/>
                <w:vertAlign w:val="subscript"/>
              </w:rPr>
            </w:pPr>
            <w:proofErr w:type="spellStart"/>
            <w:r>
              <w:rPr>
                <w:rFonts w:cs="Times New Roman"/>
                <w:i/>
                <w:szCs w:val="22"/>
              </w:rPr>
              <w:t>G</w:t>
            </w:r>
            <w:r w:rsidR="009B34EB">
              <w:rPr>
                <w:rFonts w:cs="Times New Roman"/>
                <w:i/>
                <w:szCs w:val="22"/>
                <w:vertAlign w:val="subscript"/>
              </w:rPr>
              <w:t>k</w:t>
            </w:r>
            <w:proofErr w:type="spellEnd"/>
          </w:p>
        </w:tc>
        <w:tc>
          <w:tcPr>
            <w:tcW w:w="6981" w:type="dxa"/>
          </w:tcPr>
          <w:p w14:paraId="4F5F62B3" w14:textId="0D5AC016" w:rsidR="00596A40" w:rsidRPr="009B34EB" w:rsidRDefault="00596A40" w:rsidP="009B34EB">
            <w:pPr>
              <w:jc w:val="both"/>
              <w:rPr>
                <w:rFonts w:cs="Times New Roman"/>
                <w:szCs w:val="22"/>
              </w:rPr>
            </w:pPr>
            <w:r>
              <w:rPr>
                <w:rFonts w:cs="Times New Roman"/>
                <w:szCs w:val="22"/>
              </w:rPr>
              <w:t xml:space="preserve">= </w:t>
            </w:r>
            <w:r w:rsidR="009B34EB">
              <w:rPr>
                <w:rFonts w:cs="Times New Roman"/>
                <w:szCs w:val="22"/>
              </w:rPr>
              <w:t>Since parents plants can be used as both male and female parents, GCA</w:t>
            </w:r>
            <w:r>
              <w:rPr>
                <w:rFonts w:cs="Times New Roman"/>
                <w:szCs w:val="22"/>
              </w:rPr>
              <w:t xml:space="preserve"> was modeled using a multimember effect in </w:t>
            </w:r>
            <w:r w:rsidR="008B4003">
              <w:rPr>
                <w:rFonts w:cs="Times New Roman"/>
                <w:szCs w:val="22"/>
              </w:rPr>
              <w:t>PROC GLIMMIX</w:t>
            </w:r>
            <w:r>
              <w:rPr>
                <w:rFonts w:cs="Times New Roman"/>
                <w:szCs w:val="22"/>
              </w:rPr>
              <w:t xml:space="preserve"> to </w:t>
            </w:r>
            <w:r>
              <w:rPr>
                <w:rFonts w:cs="Times New Roman"/>
                <w:szCs w:val="22"/>
              </w:rPr>
              <w:lastRenderedPageBreak/>
              <w:t>combine male</w:t>
            </w:r>
            <w:r w:rsidR="00F67C71">
              <w:rPr>
                <w:rFonts w:cs="Times New Roman"/>
                <w:szCs w:val="22"/>
              </w:rPr>
              <w:t xml:space="preserve"> (</w:t>
            </w:r>
            <w:proofErr w:type="spellStart"/>
            <w:r w:rsidR="009B34EB" w:rsidRPr="009B34EB">
              <w:rPr>
                <w:rFonts w:cs="Times New Roman"/>
                <w:i/>
                <w:szCs w:val="22"/>
              </w:rPr>
              <w:t>G</w:t>
            </w:r>
            <w:r w:rsidR="00F67C71" w:rsidRPr="009B34EB">
              <w:rPr>
                <w:rFonts w:cs="Times New Roman"/>
                <w:i/>
                <w:szCs w:val="22"/>
                <w:vertAlign w:val="subscript"/>
              </w:rPr>
              <w:t>i</w:t>
            </w:r>
            <w:proofErr w:type="spellEnd"/>
            <w:r w:rsidR="00F67C71">
              <w:rPr>
                <w:rFonts w:cs="Times New Roman"/>
                <w:i/>
                <w:szCs w:val="22"/>
              </w:rPr>
              <w:t>)</w:t>
            </w:r>
            <w:r>
              <w:rPr>
                <w:rFonts w:cs="Times New Roman"/>
                <w:szCs w:val="22"/>
              </w:rPr>
              <w:t xml:space="preserve"> and female</w:t>
            </w:r>
            <w:r w:rsidR="00F67C71">
              <w:rPr>
                <w:rFonts w:cs="Times New Roman"/>
                <w:szCs w:val="22"/>
              </w:rPr>
              <w:t xml:space="preserve"> (</w:t>
            </w:r>
            <w:proofErr w:type="spellStart"/>
            <w:r w:rsidR="009B34EB">
              <w:rPr>
                <w:rFonts w:cs="Times New Roman"/>
                <w:szCs w:val="22"/>
              </w:rPr>
              <w:t>G</w:t>
            </w:r>
            <w:r w:rsidR="00F67C71" w:rsidRPr="009B34EB">
              <w:rPr>
                <w:rFonts w:cs="Times New Roman"/>
                <w:i/>
                <w:szCs w:val="22"/>
                <w:vertAlign w:val="subscript"/>
              </w:rPr>
              <w:t>j</w:t>
            </w:r>
            <w:proofErr w:type="spellEnd"/>
            <w:r w:rsidR="00F67C71">
              <w:rPr>
                <w:rFonts w:cs="Times New Roman"/>
                <w:i/>
                <w:szCs w:val="22"/>
              </w:rPr>
              <w:t>)</w:t>
            </w:r>
            <w:r>
              <w:rPr>
                <w:rFonts w:cs="Times New Roman"/>
                <w:szCs w:val="22"/>
              </w:rPr>
              <w:t xml:space="preserve"> effects into a single GCA estimate for each parental line</w:t>
            </w:r>
            <w:r w:rsidR="009B34EB">
              <w:rPr>
                <w:rFonts w:cs="Times New Roman"/>
                <w:szCs w:val="22"/>
              </w:rPr>
              <w:t xml:space="preserve">, </w:t>
            </w:r>
            <w:proofErr w:type="spellStart"/>
            <w:r w:rsidR="009B34EB">
              <w:rPr>
                <w:rFonts w:cs="Times New Roman"/>
                <w:i/>
                <w:szCs w:val="22"/>
              </w:rPr>
              <w:t>G</w:t>
            </w:r>
            <w:r w:rsidR="009B34EB">
              <w:rPr>
                <w:rFonts w:cs="Times New Roman"/>
                <w:i/>
                <w:szCs w:val="22"/>
                <w:vertAlign w:val="subscript"/>
              </w:rPr>
              <w:t>k</w:t>
            </w:r>
            <w:proofErr w:type="spellEnd"/>
            <w:r w:rsidR="009B34EB">
              <w:rPr>
                <w:rFonts w:cs="Times New Roman"/>
                <w:i/>
                <w:szCs w:val="22"/>
              </w:rPr>
              <w:t xml:space="preserve"> = </w:t>
            </w:r>
            <w:proofErr w:type="spellStart"/>
            <w:r w:rsidR="009B34EB">
              <w:rPr>
                <w:rFonts w:cs="Times New Roman"/>
                <w:i/>
                <w:szCs w:val="22"/>
              </w:rPr>
              <w:t>G</w:t>
            </w:r>
            <w:r w:rsidR="009B34EB" w:rsidRPr="00BA3F3D">
              <w:rPr>
                <w:rFonts w:cs="Times New Roman"/>
                <w:i/>
                <w:szCs w:val="22"/>
                <w:vertAlign w:val="subscript"/>
              </w:rPr>
              <w:t>i</w:t>
            </w:r>
            <w:proofErr w:type="spellEnd"/>
            <w:r w:rsidR="009B34EB">
              <w:rPr>
                <w:rFonts w:cs="Times New Roman"/>
                <w:szCs w:val="22"/>
                <w:vertAlign w:val="subscript"/>
              </w:rPr>
              <w:t xml:space="preserve"> </w:t>
            </w:r>
            <w:r w:rsidR="009B34EB">
              <w:rPr>
                <w:rFonts w:cs="Times New Roman"/>
                <w:szCs w:val="22"/>
              </w:rPr>
              <w:t xml:space="preserve">+ </w:t>
            </w:r>
            <w:proofErr w:type="spellStart"/>
            <w:r w:rsidR="009B34EB">
              <w:rPr>
                <w:rFonts w:cs="Times New Roman"/>
                <w:szCs w:val="22"/>
              </w:rPr>
              <w:t>G</w:t>
            </w:r>
            <w:r w:rsidR="009B34EB" w:rsidRPr="009B34EB">
              <w:rPr>
                <w:rFonts w:cs="Times New Roman"/>
                <w:i/>
                <w:szCs w:val="22"/>
                <w:vertAlign w:val="subscript"/>
              </w:rPr>
              <w:t>j</w:t>
            </w:r>
            <w:proofErr w:type="spellEnd"/>
          </w:p>
        </w:tc>
      </w:tr>
      <w:tr w:rsidR="00596A40" w:rsidRPr="00BA3F3D" w14:paraId="5993C90D" w14:textId="77777777" w:rsidTr="00991D2F">
        <w:tc>
          <w:tcPr>
            <w:tcW w:w="1551" w:type="dxa"/>
          </w:tcPr>
          <w:p w14:paraId="363571A4" w14:textId="6D87BF9E" w:rsidR="00596A40" w:rsidRPr="00BA3F3D" w:rsidRDefault="00596A40" w:rsidP="00596A40">
            <w:pPr>
              <w:rPr>
                <w:rFonts w:cs="Times New Roman"/>
                <w:i/>
                <w:szCs w:val="22"/>
                <w:vertAlign w:val="subscript"/>
              </w:rPr>
            </w:pPr>
            <w:proofErr w:type="spellStart"/>
            <w:r>
              <w:rPr>
                <w:rFonts w:cs="Times New Roman"/>
                <w:i/>
                <w:szCs w:val="22"/>
              </w:rPr>
              <w:lastRenderedPageBreak/>
              <w:t>S</w:t>
            </w:r>
            <w:r w:rsidR="009B34EB" w:rsidRPr="009B34EB">
              <w:rPr>
                <w:rFonts w:cs="Times New Roman"/>
                <w:i/>
                <w:szCs w:val="22"/>
                <w:vertAlign w:val="subscript"/>
              </w:rPr>
              <w:t>i</w:t>
            </w:r>
            <w:r w:rsidRPr="00BA3F3D">
              <w:rPr>
                <w:rFonts w:cs="Times New Roman"/>
                <w:i/>
                <w:szCs w:val="22"/>
                <w:vertAlign w:val="subscript"/>
              </w:rPr>
              <w:t>j</w:t>
            </w:r>
            <w:proofErr w:type="spellEnd"/>
          </w:p>
        </w:tc>
        <w:tc>
          <w:tcPr>
            <w:tcW w:w="6981" w:type="dxa"/>
          </w:tcPr>
          <w:p w14:paraId="3B557C71" w14:textId="22BCC3AF" w:rsidR="00596A40" w:rsidRPr="00BA3F3D" w:rsidRDefault="00596A40" w:rsidP="009B34EB">
            <w:pPr>
              <w:jc w:val="both"/>
              <w:rPr>
                <w:rFonts w:cs="Times New Roman"/>
                <w:szCs w:val="22"/>
              </w:rPr>
            </w:pPr>
            <w:r w:rsidRPr="00BA3F3D">
              <w:rPr>
                <w:rFonts w:cs="Times New Roman"/>
                <w:szCs w:val="22"/>
              </w:rPr>
              <w:t xml:space="preserve">= </w:t>
            </w:r>
            <w:r>
              <w:rPr>
                <w:rFonts w:cs="Times New Roman"/>
                <w:szCs w:val="22"/>
              </w:rPr>
              <w:t xml:space="preserve">effect of </w:t>
            </w:r>
            <w:r w:rsidR="009B34EB">
              <w:rPr>
                <w:rFonts w:cs="Times New Roman"/>
                <w:szCs w:val="22"/>
              </w:rPr>
              <w:t xml:space="preserve">the interaction of male parent </w:t>
            </w:r>
            <w:proofErr w:type="spellStart"/>
            <w:r w:rsidR="009B34EB">
              <w:rPr>
                <w:rFonts w:cs="Times New Roman"/>
                <w:i/>
                <w:szCs w:val="22"/>
              </w:rPr>
              <w:t>i</w:t>
            </w:r>
            <w:proofErr w:type="spellEnd"/>
            <w:r w:rsidR="009B34EB">
              <w:rPr>
                <w:rFonts w:cs="Times New Roman"/>
                <w:szCs w:val="22"/>
              </w:rPr>
              <w:t xml:space="preserve"> and female parent </w:t>
            </w:r>
            <w:r w:rsidR="009B34EB">
              <w:rPr>
                <w:rFonts w:cs="Times New Roman"/>
                <w:i/>
                <w:szCs w:val="22"/>
              </w:rPr>
              <w:t xml:space="preserve">j </w:t>
            </w:r>
            <w:r w:rsidR="009B34EB">
              <w:rPr>
                <w:rFonts w:cs="Times New Roman"/>
                <w:szCs w:val="22"/>
              </w:rPr>
              <w:t xml:space="preserve"> where parental order </w:t>
            </w:r>
            <w:r w:rsidR="00F62180">
              <w:rPr>
                <w:rFonts w:cs="Times New Roman"/>
                <w:szCs w:val="22"/>
              </w:rPr>
              <w:t xml:space="preserve">is retained and </w:t>
            </w:r>
            <w:proofErr w:type="spellStart"/>
            <w:r w:rsidR="00F62180">
              <w:rPr>
                <w:rFonts w:cs="Times New Roman"/>
                <w:szCs w:val="22"/>
              </w:rPr>
              <w:t>selfs</w:t>
            </w:r>
            <w:proofErr w:type="spellEnd"/>
            <w:r w:rsidR="00F62180">
              <w:rPr>
                <w:rFonts w:cs="Times New Roman"/>
                <w:szCs w:val="22"/>
              </w:rPr>
              <w:t xml:space="preserve"> are excluded, </w:t>
            </w:r>
            <w:proofErr w:type="spellStart"/>
            <w:r w:rsidR="00F62180">
              <w:rPr>
                <w:rFonts w:cs="Times New Roman"/>
                <w:i/>
                <w:szCs w:val="22"/>
              </w:rPr>
              <w:t>ij</w:t>
            </w:r>
            <w:proofErr w:type="spellEnd"/>
            <w:r w:rsidR="00F62180">
              <w:rPr>
                <w:rFonts w:cs="Times New Roman"/>
                <w:szCs w:val="22"/>
              </w:rPr>
              <w:t xml:space="preserve"> = (8)(8-1) = 56</w:t>
            </w:r>
            <w:r w:rsidRPr="00BA3F3D">
              <w:rPr>
                <w:rFonts w:cs="Times New Roman"/>
                <w:szCs w:val="22"/>
              </w:rPr>
              <w:t xml:space="preserve"> </w:t>
            </w:r>
          </w:p>
        </w:tc>
      </w:tr>
      <w:tr w:rsidR="00596A40" w:rsidRPr="00BA3F3D" w14:paraId="33350404" w14:textId="77777777" w:rsidTr="00991D2F">
        <w:tc>
          <w:tcPr>
            <w:tcW w:w="1551" w:type="dxa"/>
          </w:tcPr>
          <w:p w14:paraId="1594D4F0" w14:textId="62408FC8" w:rsidR="00596A40" w:rsidRPr="00BA3F3D" w:rsidRDefault="00596A40" w:rsidP="00596A40">
            <w:pPr>
              <w:rPr>
                <w:rFonts w:cs="Times New Roman"/>
                <w:i/>
                <w:szCs w:val="22"/>
                <w:vertAlign w:val="subscript"/>
              </w:rPr>
            </w:pPr>
            <w:r w:rsidRPr="00BA3F3D">
              <w:rPr>
                <w:rFonts w:cs="Times New Roman"/>
                <w:i/>
                <w:szCs w:val="22"/>
              </w:rPr>
              <w:t>T</w:t>
            </w:r>
            <w:r w:rsidR="00BC2196">
              <w:rPr>
                <w:rFonts w:cs="Times New Roman"/>
                <w:i/>
                <w:szCs w:val="22"/>
                <w:vertAlign w:val="subscript"/>
              </w:rPr>
              <w:t>l</w:t>
            </w:r>
          </w:p>
        </w:tc>
        <w:tc>
          <w:tcPr>
            <w:tcW w:w="6981" w:type="dxa"/>
          </w:tcPr>
          <w:p w14:paraId="09B9AD2B" w14:textId="58F765DD" w:rsidR="00596A40" w:rsidRPr="00BA3F3D" w:rsidRDefault="00596A40" w:rsidP="00BC2196">
            <w:pPr>
              <w:rPr>
                <w:rFonts w:cs="Times New Roman"/>
                <w:szCs w:val="22"/>
              </w:rPr>
            </w:pPr>
            <w:r w:rsidRPr="00BA3F3D">
              <w:rPr>
                <w:rFonts w:cs="Times New Roman"/>
                <w:szCs w:val="22"/>
              </w:rPr>
              <w:t xml:space="preserve">=effect of year </w:t>
            </w:r>
            <w:r w:rsidR="00BC2196">
              <w:rPr>
                <w:rFonts w:cs="Times New Roman"/>
                <w:i/>
                <w:szCs w:val="22"/>
              </w:rPr>
              <w:t>l</w:t>
            </w:r>
            <w:r w:rsidRPr="00BA3F3D">
              <w:rPr>
                <w:rFonts w:cs="Times New Roman"/>
                <w:szCs w:val="22"/>
              </w:rPr>
              <w:t xml:space="preserve">, </w:t>
            </w:r>
            <w:r w:rsidR="00BC2196">
              <w:rPr>
                <w:rFonts w:cs="Times New Roman"/>
                <w:i/>
                <w:szCs w:val="22"/>
              </w:rPr>
              <w:t>l</w:t>
            </w:r>
            <w:r w:rsidRPr="00BA3F3D">
              <w:rPr>
                <w:rFonts w:cs="Times New Roman"/>
                <w:i/>
                <w:szCs w:val="22"/>
              </w:rPr>
              <w:t xml:space="preserve"> </w:t>
            </w:r>
            <w:r w:rsidRPr="00BA3F3D">
              <w:rPr>
                <w:rFonts w:cs="Times New Roman"/>
                <w:szCs w:val="22"/>
              </w:rPr>
              <w:t>= 2012, 2013</w:t>
            </w:r>
          </w:p>
        </w:tc>
      </w:tr>
      <w:tr w:rsidR="00596A40" w:rsidRPr="00BA3F3D" w14:paraId="5BE17A1B" w14:textId="77777777" w:rsidTr="00991D2F">
        <w:tc>
          <w:tcPr>
            <w:tcW w:w="1551" w:type="dxa"/>
          </w:tcPr>
          <w:p w14:paraId="13E7EC8A" w14:textId="2A5DEB8A" w:rsidR="00596A40" w:rsidRPr="00BA3F3D" w:rsidRDefault="00596A40" w:rsidP="00BC2196">
            <w:pPr>
              <w:rPr>
                <w:rFonts w:cs="Times New Roman"/>
                <w:i/>
                <w:szCs w:val="22"/>
                <w:vertAlign w:val="subscript"/>
              </w:rPr>
            </w:pPr>
            <w:r w:rsidRPr="00BA3F3D">
              <w:rPr>
                <w:rFonts w:cs="Times New Roman"/>
                <w:i/>
                <w:szCs w:val="22"/>
              </w:rPr>
              <w:t>L</w:t>
            </w:r>
            <w:r w:rsidR="00BC2196">
              <w:rPr>
                <w:rFonts w:cs="Times New Roman"/>
                <w:i/>
                <w:szCs w:val="22"/>
                <w:vertAlign w:val="subscript"/>
              </w:rPr>
              <w:t>m</w:t>
            </w:r>
          </w:p>
        </w:tc>
        <w:tc>
          <w:tcPr>
            <w:tcW w:w="6981" w:type="dxa"/>
          </w:tcPr>
          <w:p w14:paraId="436A30DE" w14:textId="0069072B" w:rsidR="00596A40" w:rsidRPr="00BA3F3D" w:rsidRDefault="00596A40" w:rsidP="00BC2196">
            <w:pPr>
              <w:rPr>
                <w:rFonts w:cs="Times New Roman"/>
                <w:szCs w:val="22"/>
              </w:rPr>
            </w:pPr>
            <w:r w:rsidRPr="00BA3F3D">
              <w:rPr>
                <w:rFonts w:cs="Times New Roman"/>
                <w:szCs w:val="22"/>
              </w:rPr>
              <w:t xml:space="preserve">= effect of location </w:t>
            </w:r>
            <w:r w:rsidR="00BC2196">
              <w:rPr>
                <w:rFonts w:cs="Times New Roman"/>
                <w:i/>
                <w:szCs w:val="22"/>
              </w:rPr>
              <w:t>m</w:t>
            </w:r>
            <w:r w:rsidRPr="00BA3F3D">
              <w:rPr>
                <w:rFonts w:cs="Times New Roman"/>
                <w:szCs w:val="22"/>
              </w:rPr>
              <w:t xml:space="preserve">, </w:t>
            </w:r>
            <w:r w:rsidR="00BC2196">
              <w:rPr>
                <w:rFonts w:cs="Times New Roman"/>
                <w:i/>
                <w:szCs w:val="22"/>
              </w:rPr>
              <w:t>m</w:t>
            </w:r>
            <w:r w:rsidRPr="00BA3F3D">
              <w:rPr>
                <w:rFonts w:cs="Times New Roman"/>
                <w:i/>
                <w:szCs w:val="22"/>
              </w:rPr>
              <w:t xml:space="preserve"> </w:t>
            </w:r>
            <w:r w:rsidR="008B4003">
              <w:rPr>
                <w:rFonts w:cs="Times New Roman"/>
                <w:szCs w:val="22"/>
              </w:rPr>
              <w:t xml:space="preserve">= 1 to </w:t>
            </w:r>
            <w:r w:rsidRPr="00BA3F3D">
              <w:rPr>
                <w:rFonts w:cs="Times New Roman"/>
                <w:szCs w:val="22"/>
              </w:rPr>
              <w:t>2</w:t>
            </w:r>
          </w:p>
        </w:tc>
      </w:tr>
      <w:tr w:rsidR="00596A40" w:rsidRPr="00BA3F3D" w14:paraId="24D874F7" w14:textId="77777777" w:rsidTr="00991D2F">
        <w:tc>
          <w:tcPr>
            <w:tcW w:w="1551" w:type="dxa"/>
          </w:tcPr>
          <w:p w14:paraId="74164641" w14:textId="13DF6425" w:rsidR="00596A40" w:rsidRPr="00BA3F3D" w:rsidRDefault="00596A40" w:rsidP="00BC2196">
            <w:pPr>
              <w:rPr>
                <w:rFonts w:cs="Times New Roman"/>
                <w:i/>
                <w:szCs w:val="22"/>
                <w:vertAlign w:val="subscript"/>
              </w:rPr>
            </w:pPr>
            <w:r w:rsidRPr="00BA3F3D">
              <w:rPr>
                <w:rFonts w:cs="Times New Roman"/>
                <w:i/>
                <w:szCs w:val="22"/>
              </w:rPr>
              <w:t>B(L)</w:t>
            </w:r>
            <w:r w:rsidR="00BC2196">
              <w:rPr>
                <w:rFonts w:cs="Times New Roman"/>
                <w:i/>
                <w:szCs w:val="22"/>
                <w:vertAlign w:val="subscript"/>
              </w:rPr>
              <w:t>n</w:t>
            </w:r>
            <w:r w:rsidRPr="00BA3F3D">
              <w:rPr>
                <w:rFonts w:cs="Times New Roman"/>
                <w:i/>
                <w:szCs w:val="22"/>
                <w:vertAlign w:val="subscript"/>
              </w:rPr>
              <w:t>(</w:t>
            </w:r>
            <w:r w:rsidR="00BC2196">
              <w:rPr>
                <w:rFonts w:cs="Times New Roman"/>
                <w:i/>
                <w:szCs w:val="22"/>
                <w:vertAlign w:val="subscript"/>
              </w:rPr>
              <w:t>m</w:t>
            </w:r>
            <w:r w:rsidRPr="00BA3F3D">
              <w:rPr>
                <w:rFonts w:cs="Times New Roman"/>
                <w:i/>
                <w:szCs w:val="22"/>
                <w:vertAlign w:val="subscript"/>
              </w:rPr>
              <w:t>)</w:t>
            </w:r>
          </w:p>
        </w:tc>
        <w:tc>
          <w:tcPr>
            <w:tcW w:w="6981" w:type="dxa"/>
          </w:tcPr>
          <w:p w14:paraId="159233C3" w14:textId="18EACBED" w:rsidR="00596A40" w:rsidRPr="00BA3F3D" w:rsidRDefault="00596A40" w:rsidP="00BC2196">
            <w:pPr>
              <w:rPr>
                <w:rFonts w:cs="Times New Roman"/>
                <w:szCs w:val="22"/>
              </w:rPr>
            </w:pPr>
            <w:r w:rsidRPr="00BA3F3D">
              <w:rPr>
                <w:rFonts w:cs="Times New Roman"/>
                <w:szCs w:val="22"/>
              </w:rPr>
              <w:t xml:space="preserve">= effect of block </w:t>
            </w:r>
            <w:r w:rsidR="00BC2196">
              <w:rPr>
                <w:rFonts w:cs="Times New Roman"/>
                <w:i/>
                <w:szCs w:val="22"/>
              </w:rPr>
              <w:t>n</w:t>
            </w:r>
            <w:r w:rsidRPr="00BA3F3D">
              <w:rPr>
                <w:rFonts w:cs="Times New Roman"/>
                <w:i/>
                <w:szCs w:val="22"/>
              </w:rPr>
              <w:t xml:space="preserve"> </w:t>
            </w:r>
            <w:r w:rsidRPr="00BA3F3D">
              <w:rPr>
                <w:rFonts w:cs="Times New Roman"/>
                <w:szCs w:val="22"/>
              </w:rPr>
              <w:t xml:space="preserve">within location </w:t>
            </w:r>
            <w:r w:rsidR="00BC2196">
              <w:rPr>
                <w:rFonts w:cs="Times New Roman"/>
                <w:i/>
                <w:szCs w:val="22"/>
              </w:rPr>
              <w:t>m</w:t>
            </w:r>
            <w:r w:rsidRPr="00BA3F3D">
              <w:rPr>
                <w:rFonts w:cs="Times New Roman"/>
                <w:i/>
                <w:szCs w:val="22"/>
              </w:rPr>
              <w:t xml:space="preserve">, </w:t>
            </w:r>
            <w:r w:rsidR="00BC2196">
              <w:rPr>
                <w:rFonts w:cs="Times New Roman"/>
                <w:i/>
                <w:szCs w:val="22"/>
              </w:rPr>
              <w:t>n</w:t>
            </w:r>
            <w:r w:rsidRPr="00BA3F3D">
              <w:rPr>
                <w:rFonts w:cs="Times New Roman"/>
                <w:szCs w:val="22"/>
              </w:rPr>
              <w:t xml:space="preserve"> = 1</w:t>
            </w:r>
            <w:r w:rsidR="008B4003">
              <w:rPr>
                <w:rFonts w:cs="Times New Roman"/>
                <w:szCs w:val="22"/>
              </w:rPr>
              <w:t xml:space="preserve"> to </w:t>
            </w:r>
            <w:r w:rsidRPr="00BA3F3D">
              <w:rPr>
                <w:rFonts w:cs="Times New Roman"/>
                <w:szCs w:val="22"/>
              </w:rPr>
              <w:t>4</w:t>
            </w:r>
          </w:p>
        </w:tc>
      </w:tr>
      <w:tr w:rsidR="00596A40" w:rsidRPr="00BA3F3D" w14:paraId="48D0A8A5" w14:textId="77777777" w:rsidTr="00991D2F">
        <w:tc>
          <w:tcPr>
            <w:tcW w:w="1551" w:type="dxa"/>
          </w:tcPr>
          <w:p w14:paraId="1F0BF941" w14:textId="01093714" w:rsidR="00596A40" w:rsidRPr="00BA3F3D" w:rsidRDefault="00596A40" w:rsidP="00596A40">
            <w:pPr>
              <w:rPr>
                <w:rFonts w:cs="Times New Roman"/>
                <w:i/>
                <w:szCs w:val="22"/>
                <w:vertAlign w:val="subscript"/>
              </w:rPr>
            </w:pPr>
            <w:proofErr w:type="spellStart"/>
            <w:r w:rsidRPr="00BA3F3D">
              <w:rPr>
                <w:rFonts w:cs="Times New Roman"/>
                <w:i/>
                <w:szCs w:val="22"/>
              </w:rPr>
              <w:t>TL</w:t>
            </w:r>
            <w:r w:rsidRPr="00BA3F3D">
              <w:rPr>
                <w:rFonts w:cs="Times New Roman"/>
                <w:i/>
                <w:szCs w:val="22"/>
                <w:vertAlign w:val="subscript"/>
              </w:rPr>
              <w:t>l</w:t>
            </w:r>
            <w:r w:rsidR="00BC2196">
              <w:rPr>
                <w:rFonts w:cs="Times New Roman"/>
                <w:i/>
                <w:szCs w:val="22"/>
                <w:vertAlign w:val="subscript"/>
              </w:rPr>
              <w:t>m</w:t>
            </w:r>
            <w:proofErr w:type="spellEnd"/>
          </w:p>
        </w:tc>
        <w:tc>
          <w:tcPr>
            <w:tcW w:w="6981" w:type="dxa"/>
          </w:tcPr>
          <w:p w14:paraId="2965FE11" w14:textId="6B6B6ECB" w:rsidR="00596A40" w:rsidRPr="00BA3F3D" w:rsidRDefault="00596A40" w:rsidP="00BC2196">
            <w:pPr>
              <w:rPr>
                <w:rFonts w:cs="Times New Roman"/>
                <w:szCs w:val="22"/>
              </w:rPr>
            </w:pPr>
            <w:r w:rsidRPr="00BA3F3D">
              <w:rPr>
                <w:rFonts w:cs="Times New Roman"/>
                <w:szCs w:val="22"/>
              </w:rPr>
              <w:t xml:space="preserve">= interaction effect between year </w:t>
            </w:r>
            <w:r w:rsidR="00BC2196">
              <w:rPr>
                <w:rFonts w:cs="Times New Roman"/>
                <w:i/>
                <w:szCs w:val="22"/>
              </w:rPr>
              <w:t>l</w:t>
            </w:r>
            <w:r w:rsidRPr="00BA3F3D">
              <w:rPr>
                <w:rFonts w:cs="Times New Roman"/>
                <w:szCs w:val="22"/>
              </w:rPr>
              <w:t xml:space="preserve"> and location </w:t>
            </w:r>
            <w:r w:rsidR="00BC2196">
              <w:rPr>
                <w:rFonts w:cs="Times New Roman"/>
                <w:i/>
                <w:szCs w:val="22"/>
              </w:rPr>
              <w:t>m</w:t>
            </w:r>
          </w:p>
        </w:tc>
      </w:tr>
      <w:tr w:rsidR="00596A40" w:rsidRPr="00BA3F3D" w14:paraId="2B859E8E" w14:textId="77777777" w:rsidTr="00991D2F">
        <w:tc>
          <w:tcPr>
            <w:tcW w:w="1551" w:type="dxa"/>
          </w:tcPr>
          <w:p w14:paraId="07E28CF3" w14:textId="6C62825D" w:rsidR="00596A40" w:rsidRPr="00BA3F3D" w:rsidRDefault="00991D2F" w:rsidP="00BC2196">
            <w:pPr>
              <w:rPr>
                <w:rFonts w:cs="Times New Roman"/>
                <w:i/>
                <w:szCs w:val="22"/>
                <w:vertAlign w:val="subscript"/>
              </w:rPr>
            </w:pPr>
            <w:r>
              <w:rPr>
                <w:rFonts w:cs="Times New Roman"/>
                <w:i/>
                <w:szCs w:val="22"/>
              </w:rPr>
              <w:t>B(</w:t>
            </w:r>
            <w:r w:rsidR="00596A40" w:rsidRPr="00BA3F3D">
              <w:rPr>
                <w:rFonts w:cs="Times New Roman"/>
                <w:i/>
                <w:szCs w:val="22"/>
              </w:rPr>
              <w:t>T</w:t>
            </w:r>
            <w:r>
              <w:rPr>
                <w:rFonts w:cs="Times New Roman"/>
                <w:i/>
                <w:szCs w:val="22"/>
              </w:rPr>
              <w:t>L</w:t>
            </w:r>
            <w:r w:rsidR="00596A40" w:rsidRPr="00BA3F3D">
              <w:rPr>
                <w:rFonts w:cs="Times New Roman"/>
                <w:i/>
                <w:szCs w:val="22"/>
              </w:rPr>
              <w:t>)</w:t>
            </w:r>
            <w:r w:rsidR="00BC2196">
              <w:rPr>
                <w:rFonts w:cs="Times New Roman"/>
                <w:i/>
                <w:szCs w:val="22"/>
                <w:vertAlign w:val="subscript"/>
              </w:rPr>
              <w:t>n</w:t>
            </w:r>
            <w:r w:rsidR="00596A40" w:rsidRPr="00BA3F3D">
              <w:rPr>
                <w:rFonts w:cs="Times New Roman"/>
                <w:i/>
                <w:szCs w:val="22"/>
                <w:vertAlign w:val="subscript"/>
              </w:rPr>
              <w:t>(</w:t>
            </w:r>
            <w:r w:rsidR="00BC2196">
              <w:rPr>
                <w:rFonts w:cs="Times New Roman"/>
                <w:i/>
                <w:szCs w:val="22"/>
                <w:vertAlign w:val="subscript"/>
              </w:rPr>
              <w:t>lm</w:t>
            </w:r>
            <w:r w:rsidR="00596A40" w:rsidRPr="00BA3F3D">
              <w:rPr>
                <w:rFonts w:cs="Times New Roman"/>
                <w:i/>
                <w:szCs w:val="22"/>
                <w:vertAlign w:val="subscript"/>
              </w:rPr>
              <w:t>)</w:t>
            </w:r>
          </w:p>
        </w:tc>
        <w:tc>
          <w:tcPr>
            <w:tcW w:w="6981" w:type="dxa"/>
          </w:tcPr>
          <w:p w14:paraId="1945F2F0" w14:textId="7995A074" w:rsidR="00596A40" w:rsidRPr="00BC2196" w:rsidRDefault="00596A40" w:rsidP="00BC2196">
            <w:pPr>
              <w:rPr>
                <w:rFonts w:cs="Times New Roman"/>
                <w:i/>
                <w:szCs w:val="22"/>
              </w:rPr>
            </w:pPr>
            <w:r w:rsidRPr="00BA3F3D">
              <w:rPr>
                <w:rFonts w:cs="Times New Roman"/>
                <w:szCs w:val="22"/>
              </w:rPr>
              <w:t xml:space="preserve">= interaction effect between block </w:t>
            </w:r>
            <w:r w:rsidR="00BC2196">
              <w:rPr>
                <w:rFonts w:cs="Times New Roman"/>
                <w:i/>
                <w:szCs w:val="22"/>
              </w:rPr>
              <w:t>n</w:t>
            </w:r>
            <w:r w:rsidRPr="00BA3F3D">
              <w:rPr>
                <w:rFonts w:cs="Times New Roman"/>
                <w:szCs w:val="22"/>
              </w:rPr>
              <w:t xml:space="preserve"> within </w:t>
            </w:r>
            <w:r w:rsidR="00BC2196">
              <w:rPr>
                <w:rFonts w:cs="Times New Roman"/>
                <w:szCs w:val="22"/>
              </w:rPr>
              <w:t>location</w:t>
            </w:r>
            <w:r w:rsidRPr="00BA3F3D">
              <w:rPr>
                <w:rFonts w:cs="Times New Roman"/>
                <w:szCs w:val="22"/>
              </w:rPr>
              <w:t xml:space="preserve"> </w:t>
            </w:r>
            <w:r w:rsidR="00BC2196">
              <w:rPr>
                <w:rFonts w:cs="Times New Roman"/>
                <w:i/>
                <w:szCs w:val="22"/>
              </w:rPr>
              <w:t>m</w:t>
            </w:r>
            <w:r w:rsidR="00BC2196">
              <w:rPr>
                <w:rFonts w:cs="Times New Roman"/>
                <w:szCs w:val="22"/>
              </w:rPr>
              <w:t xml:space="preserve"> by year </w:t>
            </w:r>
            <w:r w:rsidR="00BC2196">
              <w:rPr>
                <w:rFonts w:cs="Times New Roman"/>
                <w:i/>
                <w:szCs w:val="22"/>
              </w:rPr>
              <w:t>l</w:t>
            </w:r>
          </w:p>
        </w:tc>
      </w:tr>
      <w:tr w:rsidR="00596A40" w:rsidRPr="00BA3F3D" w14:paraId="3F654DB0" w14:textId="77777777" w:rsidTr="00991D2F">
        <w:tc>
          <w:tcPr>
            <w:tcW w:w="1551" w:type="dxa"/>
          </w:tcPr>
          <w:p w14:paraId="40207E5C" w14:textId="451C3DC9" w:rsidR="00596A40" w:rsidRPr="00BA3F3D" w:rsidRDefault="00596A40" w:rsidP="00BC2196">
            <w:pPr>
              <w:rPr>
                <w:rFonts w:cs="Times New Roman"/>
                <w:i/>
                <w:szCs w:val="22"/>
              </w:rPr>
            </w:pPr>
            <w:proofErr w:type="spellStart"/>
            <w:r>
              <w:rPr>
                <w:rFonts w:cs="Times New Roman"/>
                <w:i/>
                <w:szCs w:val="22"/>
              </w:rPr>
              <w:t>G</w:t>
            </w:r>
            <w:r w:rsidRPr="00BA3F3D">
              <w:rPr>
                <w:rFonts w:cs="Times New Roman"/>
                <w:i/>
                <w:szCs w:val="22"/>
              </w:rPr>
              <w:t>T</w:t>
            </w:r>
            <w:r w:rsidRPr="00BA3F3D">
              <w:rPr>
                <w:rFonts w:cs="Times New Roman"/>
                <w:i/>
                <w:szCs w:val="22"/>
                <w:vertAlign w:val="subscript"/>
              </w:rPr>
              <w:t>k</w:t>
            </w:r>
            <w:r w:rsidR="00BC2196">
              <w:rPr>
                <w:rFonts w:cs="Times New Roman"/>
                <w:i/>
                <w:szCs w:val="22"/>
                <w:vertAlign w:val="subscript"/>
              </w:rPr>
              <w:t>l</w:t>
            </w:r>
            <w:proofErr w:type="spellEnd"/>
          </w:p>
        </w:tc>
        <w:tc>
          <w:tcPr>
            <w:tcW w:w="6981" w:type="dxa"/>
          </w:tcPr>
          <w:p w14:paraId="399C61EB" w14:textId="0DAB399F" w:rsidR="00596A40" w:rsidRPr="00BA3F3D" w:rsidRDefault="00596A40" w:rsidP="00BC2196">
            <w:pPr>
              <w:rPr>
                <w:rFonts w:cs="Times New Roman"/>
                <w:i/>
                <w:szCs w:val="22"/>
              </w:rPr>
            </w:pPr>
            <w:r w:rsidRPr="00BA3F3D">
              <w:rPr>
                <w:rFonts w:cs="Times New Roman"/>
                <w:szCs w:val="22"/>
              </w:rPr>
              <w:t xml:space="preserve">= interaction effect between </w:t>
            </w:r>
            <w:r>
              <w:rPr>
                <w:rFonts w:cs="Times New Roman"/>
                <w:szCs w:val="22"/>
              </w:rPr>
              <w:t>GCA</w:t>
            </w:r>
            <w:r w:rsidRPr="00BA3F3D">
              <w:rPr>
                <w:rFonts w:cs="Times New Roman"/>
                <w:szCs w:val="22"/>
              </w:rPr>
              <w:t xml:space="preserve"> </w:t>
            </w:r>
            <w:r w:rsidR="00BC2196">
              <w:rPr>
                <w:rFonts w:cs="Times New Roman"/>
                <w:i/>
                <w:szCs w:val="22"/>
              </w:rPr>
              <w:t>k</w:t>
            </w:r>
            <w:r w:rsidRPr="00BA3F3D">
              <w:rPr>
                <w:rFonts w:cs="Times New Roman"/>
                <w:szCs w:val="22"/>
              </w:rPr>
              <w:t xml:space="preserve"> and year </w:t>
            </w:r>
            <w:r w:rsidR="00BC2196">
              <w:rPr>
                <w:rFonts w:cs="Times New Roman"/>
                <w:i/>
                <w:szCs w:val="22"/>
              </w:rPr>
              <w:t>l</w:t>
            </w:r>
          </w:p>
        </w:tc>
      </w:tr>
      <w:tr w:rsidR="00596A40" w:rsidRPr="00BA3F3D" w14:paraId="1FADC13D" w14:textId="77777777" w:rsidTr="00991D2F">
        <w:tc>
          <w:tcPr>
            <w:tcW w:w="1551" w:type="dxa"/>
          </w:tcPr>
          <w:p w14:paraId="2C622032" w14:textId="1232C58A" w:rsidR="00596A40" w:rsidRPr="00BA3F3D" w:rsidRDefault="00596A40" w:rsidP="00596A40">
            <w:pPr>
              <w:rPr>
                <w:rFonts w:cs="Times New Roman"/>
                <w:i/>
                <w:szCs w:val="22"/>
                <w:vertAlign w:val="subscript"/>
              </w:rPr>
            </w:pPr>
            <w:proofErr w:type="spellStart"/>
            <w:r>
              <w:rPr>
                <w:rFonts w:cs="Times New Roman"/>
                <w:i/>
                <w:szCs w:val="22"/>
              </w:rPr>
              <w:t>G</w:t>
            </w:r>
            <w:r w:rsidRPr="00BA3F3D">
              <w:rPr>
                <w:rFonts w:cs="Times New Roman"/>
                <w:i/>
                <w:szCs w:val="22"/>
              </w:rPr>
              <w:t>L</w:t>
            </w:r>
            <w:r w:rsidR="00BC2196">
              <w:rPr>
                <w:rFonts w:cs="Times New Roman"/>
                <w:i/>
                <w:szCs w:val="22"/>
                <w:vertAlign w:val="subscript"/>
              </w:rPr>
              <w:t>km</w:t>
            </w:r>
            <w:proofErr w:type="spellEnd"/>
          </w:p>
        </w:tc>
        <w:tc>
          <w:tcPr>
            <w:tcW w:w="6981" w:type="dxa"/>
          </w:tcPr>
          <w:p w14:paraId="4B79EE0A" w14:textId="1EFC2C55" w:rsidR="00596A40" w:rsidRPr="00BA3F3D" w:rsidRDefault="00596A40" w:rsidP="00BC2196">
            <w:pPr>
              <w:rPr>
                <w:rFonts w:cs="Times New Roman"/>
                <w:i/>
                <w:szCs w:val="22"/>
              </w:rPr>
            </w:pPr>
            <w:r w:rsidRPr="00BA3F3D">
              <w:rPr>
                <w:rFonts w:cs="Times New Roman"/>
                <w:szCs w:val="22"/>
              </w:rPr>
              <w:t xml:space="preserve">= interaction effect between </w:t>
            </w:r>
            <w:r>
              <w:rPr>
                <w:rFonts w:cs="Times New Roman"/>
                <w:szCs w:val="22"/>
              </w:rPr>
              <w:t>GCA</w:t>
            </w:r>
            <w:r w:rsidRPr="00BA3F3D">
              <w:rPr>
                <w:rFonts w:cs="Times New Roman"/>
                <w:szCs w:val="22"/>
              </w:rPr>
              <w:t xml:space="preserve"> </w:t>
            </w:r>
            <w:r w:rsidR="00BC2196">
              <w:rPr>
                <w:rFonts w:cs="Times New Roman"/>
                <w:i/>
                <w:szCs w:val="22"/>
              </w:rPr>
              <w:t>k</w:t>
            </w:r>
            <w:r w:rsidRPr="00BA3F3D">
              <w:rPr>
                <w:rFonts w:cs="Times New Roman"/>
                <w:szCs w:val="22"/>
              </w:rPr>
              <w:t xml:space="preserve"> and location </w:t>
            </w:r>
            <w:r w:rsidR="00BC2196">
              <w:rPr>
                <w:rFonts w:cs="Times New Roman"/>
                <w:i/>
                <w:szCs w:val="22"/>
              </w:rPr>
              <w:t>m</w:t>
            </w:r>
          </w:p>
        </w:tc>
      </w:tr>
      <w:tr w:rsidR="00596A40" w:rsidRPr="00BA3F3D" w14:paraId="78C04A6F" w14:textId="77777777" w:rsidTr="00991D2F">
        <w:tc>
          <w:tcPr>
            <w:tcW w:w="1551" w:type="dxa"/>
          </w:tcPr>
          <w:p w14:paraId="67DAFF33" w14:textId="2B99151A" w:rsidR="00596A40" w:rsidRPr="00BA3F3D" w:rsidRDefault="00596A40" w:rsidP="00596A40">
            <w:pPr>
              <w:rPr>
                <w:rFonts w:cs="Times New Roman"/>
                <w:i/>
                <w:szCs w:val="22"/>
                <w:vertAlign w:val="subscript"/>
              </w:rPr>
            </w:pPr>
            <w:proofErr w:type="spellStart"/>
            <w:r>
              <w:rPr>
                <w:rFonts w:cs="Times New Roman"/>
                <w:i/>
                <w:szCs w:val="22"/>
              </w:rPr>
              <w:t>G</w:t>
            </w:r>
            <w:r w:rsidRPr="00BA3F3D">
              <w:rPr>
                <w:rFonts w:cs="Times New Roman"/>
                <w:i/>
                <w:szCs w:val="22"/>
              </w:rPr>
              <w:t>TL</w:t>
            </w:r>
            <w:r w:rsidRPr="00BA3F3D">
              <w:rPr>
                <w:rFonts w:cs="Times New Roman"/>
                <w:i/>
                <w:szCs w:val="22"/>
                <w:vertAlign w:val="subscript"/>
              </w:rPr>
              <w:t>kl</w:t>
            </w:r>
            <w:r w:rsidR="00BC2196">
              <w:rPr>
                <w:rFonts w:cs="Times New Roman"/>
                <w:i/>
                <w:szCs w:val="22"/>
                <w:vertAlign w:val="subscript"/>
              </w:rPr>
              <w:t>m</w:t>
            </w:r>
            <w:proofErr w:type="spellEnd"/>
          </w:p>
        </w:tc>
        <w:tc>
          <w:tcPr>
            <w:tcW w:w="6981" w:type="dxa"/>
          </w:tcPr>
          <w:p w14:paraId="577D30A7" w14:textId="5B600BE5" w:rsidR="00596A40" w:rsidRPr="00BA3F3D" w:rsidRDefault="00596A40" w:rsidP="00BC2196">
            <w:pPr>
              <w:rPr>
                <w:rFonts w:cs="Times New Roman"/>
                <w:i/>
                <w:szCs w:val="22"/>
              </w:rPr>
            </w:pPr>
            <w:r w:rsidRPr="00BA3F3D">
              <w:rPr>
                <w:rFonts w:cs="Times New Roman"/>
                <w:szCs w:val="22"/>
              </w:rPr>
              <w:t xml:space="preserve">= interaction effect between </w:t>
            </w:r>
            <w:r>
              <w:rPr>
                <w:rFonts w:cs="Times New Roman"/>
                <w:szCs w:val="22"/>
              </w:rPr>
              <w:t>GCA</w:t>
            </w:r>
            <w:r w:rsidRPr="00BA3F3D">
              <w:rPr>
                <w:rFonts w:cs="Times New Roman"/>
                <w:szCs w:val="22"/>
              </w:rPr>
              <w:t xml:space="preserve"> </w:t>
            </w:r>
            <w:r w:rsidR="00BC2196">
              <w:rPr>
                <w:rFonts w:cs="Times New Roman"/>
                <w:i/>
                <w:szCs w:val="22"/>
              </w:rPr>
              <w:t>k</w:t>
            </w:r>
            <w:r w:rsidRPr="00BA3F3D">
              <w:rPr>
                <w:rFonts w:cs="Times New Roman"/>
                <w:szCs w:val="22"/>
              </w:rPr>
              <w:t xml:space="preserve">, year </w:t>
            </w:r>
            <w:r w:rsidR="00BC2196">
              <w:rPr>
                <w:rFonts w:cs="Times New Roman"/>
                <w:i/>
                <w:szCs w:val="22"/>
              </w:rPr>
              <w:t>l</w:t>
            </w:r>
            <w:r w:rsidRPr="00BA3F3D">
              <w:rPr>
                <w:rFonts w:cs="Times New Roman"/>
                <w:szCs w:val="22"/>
              </w:rPr>
              <w:t xml:space="preserve">, and location </w:t>
            </w:r>
            <w:r w:rsidR="00BC2196">
              <w:rPr>
                <w:rFonts w:cs="Times New Roman"/>
                <w:i/>
                <w:szCs w:val="22"/>
              </w:rPr>
              <w:t>m</w:t>
            </w:r>
          </w:p>
        </w:tc>
      </w:tr>
      <w:tr w:rsidR="00596A40" w:rsidRPr="00BA3F3D" w14:paraId="58D7DD96" w14:textId="77777777" w:rsidTr="00991D2F">
        <w:tc>
          <w:tcPr>
            <w:tcW w:w="1551" w:type="dxa"/>
          </w:tcPr>
          <w:p w14:paraId="03F48761" w14:textId="2BFC35B2" w:rsidR="00596A40" w:rsidRPr="00BA3F3D" w:rsidRDefault="00991D2F" w:rsidP="00BC2196">
            <w:pPr>
              <w:rPr>
                <w:rFonts w:cs="Times New Roman"/>
                <w:i/>
                <w:szCs w:val="22"/>
                <w:vertAlign w:val="subscript"/>
              </w:rPr>
            </w:pPr>
            <w:r>
              <w:rPr>
                <w:rFonts w:cs="Times New Roman"/>
                <w:i/>
                <w:szCs w:val="22"/>
              </w:rPr>
              <w:t>B(</w:t>
            </w:r>
            <w:r w:rsidR="00596A40">
              <w:rPr>
                <w:rFonts w:cs="Times New Roman"/>
                <w:i/>
                <w:szCs w:val="22"/>
              </w:rPr>
              <w:t>G</w:t>
            </w:r>
            <w:r>
              <w:rPr>
                <w:rFonts w:cs="Times New Roman"/>
                <w:i/>
                <w:szCs w:val="22"/>
              </w:rPr>
              <w:t>L</w:t>
            </w:r>
            <w:r w:rsidR="00596A40" w:rsidRPr="00BA3F3D">
              <w:rPr>
                <w:rFonts w:cs="Times New Roman"/>
                <w:i/>
                <w:szCs w:val="22"/>
              </w:rPr>
              <w:t>)</w:t>
            </w:r>
            <w:r w:rsidR="00BC2196">
              <w:rPr>
                <w:rFonts w:cs="Times New Roman"/>
                <w:i/>
                <w:szCs w:val="22"/>
                <w:vertAlign w:val="subscript"/>
              </w:rPr>
              <w:t>n(km</w:t>
            </w:r>
            <w:r w:rsidR="00596A40" w:rsidRPr="00BA3F3D">
              <w:rPr>
                <w:rFonts w:cs="Times New Roman"/>
                <w:i/>
                <w:szCs w:val="22"/>
                <w:vertAlign w:val="subscript"/>
              </w:rPr>
              <w:t>)</w:t>
            </w:r>
          </w:p>
        </w:tc>
        <w:tc>
          <w:tcPr>
            <w:tcW w:w="6981" w:type="dxa"/>
          </w:tcPr>
          <w:p w14:paraId="56FA3BE0" w14:textId="5913D946" w:rsidR="00596A40" w:rsidRPr="00BA3F3D" w:rsidRDefault="00596A40" w:rsidP="00A95F60">
            <w:pPr>
              <w:rPr>
                <w:rFonts w:cs="Times New Roman"/>
                <w:i/>
                <w:szCs w:val="22"/>
              </w:rPr>
            </w:pPr>
            <w:r w:rsidRPr="00BA3F3D">
              <w:rPr>
                <w:rFonts w:cs="Times New Roman"/>
                <w:szCs w:val="22"/>
              </w:rPr>
              <w:t xml:space="preserve">= interaction effect between block </w:t>
            </w:r>
            <w:r w:rsidR="00BC2196">
              <w:rPr>
                <w:rFonts w:cs="Times New Roman"/>
                <w:i/>
                <w:szCs w:val="22"/>
              </w:rPr>
              <w:t>n</w:t>
            </w:r>
            <w:r w:rsidRPr="00BA3F3D">
              <w:rPr>
                <w:rFonts w:cs="Times New Roman"/>
                <w:i/>
                <w:szCs w:val="22"/>
              </w:rPr>
              <w:t xml:space="preserve"> </w:t>
            </w:r>
            <w:r w:rsidRPr="00BA3F3D">
              <w:rPr>
                <w:rFonts w:cs="Times New Roman"/>
                <w:szCs w:val="22"/>
              </w:rPr>
              <w:t xml:space="preserve">within location </w:t>
            </w:r>
            <w:r w:rsidR="00BC2196">
              <w:rPr>
                <w:rFonts w:cs="Times New Roman"/>
                <w:i/>
                <w:szCs w:val="22"/>
              </w:rPr>
              <w:t>m</w:t>
            </w:r>
            <w:r w:rsidRPr="00BA3F3D">
              <w:rPr>
                <w:rFonts w:cs="Times New Roman"/>
                <w:szCs w:val="22"/>
              </w:rPr>
              <w:t xml:space="preserve"> </w:t>
            </w:r>
            <w:r w:rsidR="00A95F60">
              <w:rPr>
                <w:rFonts w:cs="Times New Roman"/>
                <w:szCs w:val="22"/>
              </w:rPr>
              <w:t>and</w:t>
            </w:r>
            <w:r w:rsidRPr="00BA3F3D">
              <w:rPr>
                <w:rFonts w:cs="Times New Roman"/>
                <w:szCs w:val="22"/>
              </w:rPr>
              <w:t xml:space="preserve"> </w:t>
            </w:r>
            <w:r>
              <w:rPr>
                <w:rFonts w:cs="Times New Roman"/>
                <w:szCs w:val="22"/>
              </w:rPr>
              <w:t>GCA</w:t>
            </w:r>
            <w:r w:rsidRPr="00BA3F3D">
              <w:rPr>
                <w:rFonts w:cs="Times New Roman"/>
                <w:szCs w:val="22"/>
              </w:rPr>
              <w:t xml:space="preserve"> </w:t>
            </w:r>
            <w:r w:rsidR="00BC2196">
              <w:rPr>
                <w:rFonts w:cs="Times New Roman"/>
                <w:i/>
                <w:szCs w:val="22"/>
              </w:rPr>
              <w:t>k</w:t>
            </w:r>
          </w:p>
        </w:tc>
      </w:tr>
      <w:tr w:rsidR="00596A40" w:rsidRPr="00BA3F3D" w14:paraId="389E8FF3" w14:textId="77777777" w:rsidTr="00991D2F">
        <w:tc>
          <w:tcPr>
            <w:tcW w:w="1551" w:type="dxa"/>
          </w:tcPr>
          <w:p w14:paraId="6C5C9BD5" w14:textId="1A7918AC" w:rsidR="00596A40" w:rsidRPr="00BA3F3D" w:rsidRDefault="00991D2F" w:rsidP="00BC2196">
            <w:pPr>
              <w:rPr>
                <w:rFonts w:cs="Times New Roman"/>
                <w:i/>
                <w:szCs w:val="22"/>
              </w:rPr>
            </w:pPr>
            <w:r>
              <w:rPr>
                <w:rFonts w:cs="Times New Roman"/>
                <w:i/>
                <w:szCs w:val="22"/>
              </w:rPr>
              <w:t>B(</w:t>
            </w:r>
            <w:r w:rsidR="00596A40">
              <w:rPr>
                <w:rFonts w:cs="Times New Roman"/>
                <w:i/>
                <w:szCs w:val="22"/>
              </w:rPr>
              <w:t>G</w:t>
            </w:r>
            <w:r w:rsidR="00596A40" w:rsidRPr="00BA3F3D">
              <w:rPr>
                <w:rFonts w:cs="Times New Roman"/>
                <w:i/>
                <w:szCs w:val="22"/>
              </w:rPr>
              <w:t>T</w:t>
            </w:r>
            <w:r>
              <w:rPr>
                <w:rFonts w:cs="Times New Roman"/>
                <w:i/>
                <w:szCs w:val="22"/>
              </w:rPr>
              <w:t>L</w:t>
            </w:r>
            <w:r w:rsidR="00596A40" w:rsidRPr="00BA3F3D">
              <w:rPr>
                <w:rFonts w:cs="Times New Roman"/>
                <w:i/>
                <w:szCs w:val="22"/>
              </w:rPr>
              <w:t>)</w:t>
            </w:r>
            <w:r w:rsidR="00BC2196">
              <w:rPr>
                <w:rFonts w:cs="Times New Roman"/>
                <w:i/>
                <w:szCs w:val="22"/>
                <w:vertAlign w:val="subscript"/>
              </w:rPr>
              <w:t>n</w:t>
            </w:r>
            <w:r>
              <w:rPr>
                <w:rFonts w:cs="Times New Roman"/>
                <w:i/>
                <w:szCs w:val="22"/>
                <w:vertAlign w:val="subscript"/>
              </w:rPr>
              <w:t>(</w:t>
            </w:r>
            <w:proofErr w:type="spellStart"/>
            <w:r w:rsidR="00596A40" w:rsidRPr="00BA3F3D">
              <w:rPr>
                <w:rFonts w:cs="Times New Roman"/>
                <w:i/>
                <w:szCs w:val="22"/>
                <w:vertAlign w:val="subscript"/>
              </w:rPr>
              <w:t>k</w:t>
            </w:r>
            <w:r>
              <w:rPr>
                <w:rFonts w:cs="Times New Roman"/>
                <w:i/>
                <w:szCs w:val="22"/>
                <w:vertAlign w:val="subscript"/>
              </w:rPr>
              <w:t>l</w:t>
            </w:r>
            <w:r w:rsidR="00BC2196">
              <w:rPr>
                <w:rFonts w:cs="Times New Roman"/>
                <w:i/>
                <w:szCs w:val="22"/>
                <w:vertAlign w:val="subscript"/>
              </w:rPr>
              <w:t>m</w:t>
            </w:r>
            <w:proofErr w:type="spellEnd"/>
            <w:r w:rsidR="00596A40" w:rsidRPr="00BA3F3D">
              <w:rPr>
                <w:rFonts w:cs="Times New Roman"/>
                <w:i/>
                <w:szCs w:val="22"/>
                <w:vertAlign w:val="subscript"/>
              </w:rPr>
              <w:t>)</w:t>
            </w:r>
          </w:p>
        </w:tc>
        <w:tc>
          <w:tcPr>
            <w:tcW w:w="6981" w:type="dxa"/>
          </w:tcPr>
          <w:p w14:paraId="37D31A23" w14:textId="7DC34C3B" w:rsidR="00596A40" w:rsidRPr="00BA3F3D" w:rsidRDefault="00596A40" w:rsidP="00A95F60">
            <w:pPr>
              <w:rPr>
                <w:rFonts w:cs="Times New Roman"/>
                <w:i/>
                <w:szCs w:val="22"/>
              </w:rPr>
            </w:pPr>
            <w:r w:rsidRPr="00BA3F3D">
              <w:rPr>
                <w:rFonts w:cs="Times New Roman"/>
                <w:szCs w:val="22"/>
              </w:rPr>
              <w:t xml:space="preserve">= interaction effect between block </w:t>
            </w:r>
            <w:r w:rsidR="00BC2196">
              <w:rPr>
                <w:rFonts w:cs="Times New Roman"/>
                <w:i/>
                <w:szCs w:val="22"/>
              </w:rPr>
              <w:t>n</w:t>
            </w:r>
            <w:r w:rsidRPr="00BA3F3D">
              <w:rPr>
                <w:rFonts w:cs="Times New Roman"/>
                <w:szCs w:val="22"/>
              </w:rPr>
              <w:t xml:space="preserve"> within location </w:t>
            </w:r>
            <w:r w:rsidR="00BC2196">
              <w:rPr>
                <w:rFonts w:cs="Times New Roman"/>
                <w:i/>
                <w:szCs w:val="22"/>
              </w:rPr>
              <w:t>m</w:t>
            </w:r>
            <w:r w:rsidR="00A95F60">
              <w:rPr>
                <w:rFonts w:cs="Times New Roman"/>
                <w:szCs w:val="22"/>
              </w:rPr>
              <w:t>,</w:t>
            </w:r>
            <w:r w:rsidRPr="00BA3F3D">
              <w:rPr>
                <w:rFonts w:cs="Times New Roman"/>
                <w:szCs w:val="22"/>
              </w:rPr>
              <w:t xml:space="preserve"> </w:t>
            </w:r>
            <w:r>
              <w:rPr>
                <w:rFonts w:cs="Times New Roman"/>
                <w:szCs w:val="22"/>
              </w:rPr>
              <w:t>GCA</w:t>
            </w:r>
            <w:r w:rsidRPr="00BA3F3D">
              <w:rPr>
                <w:rFonts w:cs="Times New Roman"/>
                <w:szCs w:val="22"/>
              </w:rPr>
              <w:t xml:space="preserve"> </w:t>
            </w:r>
            <w:r w:rsidR="00BC2196">
              <w:rPr>
                <w:rFonts w:cs="Times New Roman"/>
                <w:i/>
                <w:szCs w:val="22"/>
              </w:rPr>
              <w:t>k</w:t>
            </w:r>
            <w:r w:rsidR="00A95F60">
              <w:rPr>
                <w:rFonts w:cs="Times New Roman"/>
                <w:szCs w:val="22"/>
              </w:rPr>
              <w:t xml:space="preserve">, and </w:t>
            </w:r>
            <w:r w:rsidRPr="00BA3F3D">
              <w:rPr>
                <w:rFonts w:cs="Times New Roman"/>
                <w:szCs w:val="22"/>
              </w:rPr>
              <w:t xml:space="preserve">year </w:t>
            </w:r>
            <w:r w:rsidR="00BC2196">
              <w:rPr>
                <w:rFonts w:cs="Times New Roman"/>
                <w:i/>
                <w:szCs w:val="22"/>
              </w:rPr>
              <w:t>l</w:t>
            </w:r>
          </w:p>
        </w:tc>
      </w:tr>
      <w:tr w:rsidR="00991D2F" w:rsidRPr="00BA3F3D" w14:paraId="2BB6CC5E" w14:textId="77777777" w:rsidTr="00991D2F">
        <w:tc>
          <w:tcPr>
            <w:tcW w:w="1551" w:type="dxa"/>
          </w:tcPr>
          <w:p w14:paraId="455929DD" w14:textId="10C180BD" w:rsidR="00991D2F" w:rsidRDefault="00991D2F" w:rsidP="00BC2196">
            <w:pPr>
              <w:rPr>
                <w:rFonts w:cs="Times New Roman"/>
                <w:i/>
                <w:szCs w:val="22"/>
              </w:rPr>
            </w:pPr>
            <w:proofErr w:type="spellStart"/>
            <w:r>
              <w:rPr>
                <w:rFonts w:cs="Times New Roman"/>
                <w:i/>
                <w:szCs w:val="22"/>
              </w:rPr>
              <w:t>ST</w:t>
            </w:r>
            <w:r w:rsidR="00BC2196">
              <w:rPr>
                <w:rFonts w:cs="Times New Roman"/>
                <w:i/>
                <w:szCs w:val="22"/>
                <w:vertAlign w:val="subscript"/>
              </w:rPr>
              <w:t>ijl</w:t>
            </w:r>
            <w:proofErr w:type="spellEnd"/>
          </w:p>
        </w:tc>
        <w:tc>
          <w:tcPr>
            <w:tcW w:w="6981" w:type="dxa"/>
          </w:tcPr>
          <w:p w14:paraId="08A7E2DC" w14:textId="2D9CEAE3" w:rsidR="00991D2F" w:rsidRPr="00BA3F3D" w:rsidRDefault="00991D2F" w:rsidP="00BC2196">
            <w:pPr>
              <w:rPr>
                <w:rFonts w:cs="Times New Roman"/>
                <w:szCs w:val="22"/>
              </w:rPr>
            </w:pPr>
            <w:r w:rsidRPr="00BA3F3D">
              <w:rPr>
                <w:rFonts w:cs="Times New Roman"/>
                <w:szCs w:val="22"/>
              </w:rPr>
              <w:t>= interaction effect between</w:t>
            </w:r>
            <w:r>
              <w:rPr>
                <w:rFonts w:cs="Times New Roman"/>
                <w:szCs w:val="22"/>
              </w:rPr>
              <w:t xml:space="preserve"> SCA</w:t>
            </w:r>
            <w:r w:rsidRPr="00BA3F3D">
              <w:rPr>
                <w:rFonts w:cs="Times New Roman"/>
                <w:szCs w:val="22"/>
              </w:rPr>
              <w:t xml:space="preserve"> </w:t>
            </w:r>
            <w:proofErr w:type="spellStart"/>
            <w:r w:rsidR="00BC2196" w:rsidRPr="00BC2196">
              <w:rPr>
                <w:rFonts w:cs="Times New Roman"/>
                <w:i/>
                <w:szCs w:val="22"/>
              </w:rPr>
              <w:t>i</w:t>
            </w:r>
            <w:r>
              <w:rPr>
                <w:rFonts w:cs="Times New Roman"/>
                <w:i/>
                <w:szCs w:val="22"/>
              </w:rPr>
              <w:t>j</w:t>
            </w:r>
            <w:proofErr w:type="spellEnd"/>
            <w:r>
              <w:rPr>
                <w:rFonts w:cs="Times New Roman"/>
                <w:szCs w:val="22"/>
              </w:rPr>
              <w:t xml:space="preserve"> and</w:t>
            </w:r>
            <w:r w:rsidRPr="00BA3F3D">
              <w:rPr>
                <w:rFonts w:cs="Times New Roman"/>
                <w:szCs w:val="22"/>
              </w:rPr>
              <w:t xml:space="preserve"> </w:t>
            </w:r>
            <w:r>
              <w:rPr>
                <w:rFonts w:cs="Times New Roman"/>
                <w:szCs w:val="22"/>
              </w:rPr>
              <w:t>year</w:t>
            </w:r>
            <w:r w:rsidRPr="00BA3F3D">
              <w:rPr>
                <w:rFonts w:cs="Times New Roman"/>
                <w:szCs w:val="22"/>
              </w:rPr>
              <w:t xml:space="preserve"> </w:t>
            </w:r>
            <w:r w:rsidR="00BC2196">
              <w:rPr>
                <w:rFonts w:cs="Times New Roman"/>
                <w:i/>
                <w:szCs w:val="22"/>
              </w:rPr>
              <w:t>l</w:t>
            </w:r>
            <w:r>
              <w:rPr>
                <w:rFonts w:cs="Times New Roman"/>
                <w:szCs w:val="22"/>
              </w:rPr>
              <w:t xml:space="preserve"> </w:t>
            </w:r>
          </w:p>
        </w:tc>
      </w:tr>
      <w:tr w:rsidR="00596A40" w:rsidRPr="00BA3F3D" w14:paraId="16056EFA" w14:textId="77777777" w:rsidTr="00991D2F">
        <w:tc>
          <w:tcPr>
            <w:tcW w:w="1551" w:type="dxa"/>
          </w:tcPr>
          <w:p w14:paraId="360531F2" w14:textId="5D316D1F" w:rsidR="00596A40" w:rsidRPr="00BA3F3D" w:rsidRDefault="00596A40" w:rsidP="00596A40">
            <w:pPr>
              <w:rPr>
                <w:rFonts w:cs="Times New Roman"/>
                <w:i/>
                <w:szCs w:val="22"/>
                <w:vertAlign w:val="subscript"/>
              </w:rPr>
            </w:pPr>
            <w:proofErr w:type="spellStart"/>
            <w:r>
              <w:rPr>
                <w:rFonts w:cs="Times New Roman"/>
                <w:i/>
                <w:szCs w:val="22"/>
              </w:rPr>
              <w:t>S</w:t>
            </w:r>
            <w:r w:rsidRPr="00BA3F3D">
              <w:rPr>
                <w:rFonts w:cs="Times New Roman"/>
                <w:i/>
                <w:szCs w:val="22"/>
              </w:rPr>
              <w:t>L</w:t>
            </w:r>
            <w:r w:rsidR="00BC2196">
              <w:rPr>
                <w:rFonts w:cs="Times New Roman"/>
                <w:i/>
                <w:szCs w:val="22"/>
                <w:vertAlign w:val="subscript"/>
              </w:rPr>
              <w:t>ijm</w:t>
            </w:r>
            <w:proofErr w:type="spellEnd"/>
          </w:p>
        </w:tc>
        <w:tc>
          <w:tcPr>
            <w:tcW w:w="6981" w:type="dxa"/>
          </w:tcPr>
          <w:p w14:paraId="0059F47F" w14:textId="0ACEF03F" w:rsidR="00596A40" w:rsidRPr="00BA3F3D" w:rsidRDefault="00596A40" w:rsidP="00BC2196">
            <w:pPr>
              <w:rPr>
                <w:rFonts w:cs="Times New Roman"/>
                <w:i/>
                <w:szCs w:val="22"/>
              </w:rPr>
            </w:pPr>
            <w:r w:rsidRPr="00BA3F3D">
              <w:rPr>
                <w:rFonts w:cs="Times New Roman"/>
                <w:szCs w:val="22"/>
              </w:rPr>
              <w:t>= interaction effect between</w:t>
            </w:r>
            <w:r>
              <w:rPr>
                <w:rFonts w:cs="Times New Roman"/>
                <w:szCs w:val="22"/>
              </w:rPr>
              <w:t xml:space="preserve"> SCA</w:t>
            </w:r>
            <w:r w:rsidRPr="00BA3F3D">
              <w:rPr>
                <w:rFonts w:cs="Times New Roman"/>
                <w:szCs w:val="22"/>
              </w:rPr>
              <w:t xml:space="preserve"> </w:t>
            </w:r>
            <w:proofErr w:type="spellStart"/>
            <w:r w:rsidR="00BC2196">
              <w:rPr>
                <w:rFonts w:cs="Times New Roman"/>
                <w:i/>
                <w:szCs w:val="22"/>
              </w:rPr>
              <w:t>ij</w:t>
            </w:r>
            <w:proofErr w:type="spellEnd"/>
            <w:r>
              <w:rPr>
                <w:rFonts w:cs="Times New Roman"/>
                <w:szCs w:val="22"/>
              </w:rPr>
              <w:t xml:space="preserve"> and</w:t>
            </w:r>
            <w:r w:rsidRPr="00BA3F3D">
              <w:rPr>
                <w:rFonts w:cs="Times New Roman"/>
                <w:szCs w:val="22"/>
              </w:rPr>
              <w:t xml:space="preserve"> location </w:t>
            </w:r>
            <w:r w:rsidR="00BC2196">
              <w:rPr>
                <w:rFonts w:cs="Times New Roman"/>
                <w:i/>
                <w:szCs w:val="22"/>
              </w:rPr>
              <w:t>m</w:t>
            </w:r>
            <w:r>
              <w:rPr>
                <w:rFonts w:cs="Times New Roman"/>
                <w:szCs w:val="22"/>
              </w:rPr>
              <w:t xml:space="preserve"> </w:t>
            </w:r>
          </w:p>
        </w:tc>
      </w:tr>
      <w:tr w:rsidR="00596A40" w:rsidRPr="00BA3F3D" w14:paraId="47A52A74" w14:textId="77777777" w:rsidTr="00991D2F">
        <w:tc>
          <w:tcPr>
            <w:tcW w:w="1551" w:type="dxa"/>
          </w:tcPr>
          <w:p w14:paraId="697F2132" w14:textId="4DB008BA" w:rsidR="00596A40" w:rsidRPr="00BA3F3D" w:rsidRDefault="00596A40" w:rsidP="00596A40">
            <w:pPr>
              <w:rPr>
                <w:rFonts w:cs="Times New Roman"/>
                <w:i/>
                <w:szCs w:val="22"/>
                <w:vertAlign w:val="subscript"/>
              </w:rPr>
            </w:pPr>
            <w:proofErr w:type="spellStart"/>
            <w:r>
              <w:rPr>
                <w:rFonts w:cs="Times New Roman"/>
                <w:i/>
                <w:szCs w:val="22"/>
              </w:rPr>
              <w:t>S</w:t>
            </w:r>
            <w:r w:rsidRPr="00BA3F3D">
              <w:rPr>
                <w:rFonts w:cs="Times New Roman"/>
                <w:i/>
                <w:szCs w:val="22"/>
              </w:rPr>
              <w:t>TL</w:t>
            </w:r>
            <w:r w:rsidR="00BC2196">
              <w:rPr>
                <w:rFonts w:cs="Times New Roman"/>
                <w:i/>
                <w:szCs w:val="22"/>
                <w:vertAlign w:val="subscript"/>
              </w:rPr>
              <w:t>ijlm</w:t>
            </w:r>
            <w:proofErr w:type="spellEnd"/>
          </w:p>
        </w:tc>
        <w:tc>
          <w:tcPr>
            <w:tcW w:w="6981" w:type="dxa"/>
          </w:tcPr>
          <w:p w14:paraId="4D296219" w14:textId="60D561F3" w:rsidR="00596A40" w:rsidRPr="00BA3F3D" w:rsidRDefault="00596A40" w:rsidP="00BC2196">
            <w:pPr>
              <w:rPr>
                <w:rFonts w:cs="Times New Roman"/>
                <w:i/>
                <w:szCs w:val="22"/>
              </w:rPr>
            </w:pPr>
            <w:r w:rsidRPr="00BA3F3D">
              <w:rPr>
                <w:rFonts w:cs="Times New Roman"/>
                <w:szCs w:val="22"/>
              </w:rPr>
              <w:t xml:space="preserve">= interaction effect between </w:t>
            </w:r>
            <w:r>
              <w:rPr>
                <w:rFonts w:cs="Times New Roman"/>
                <w:szCs w:val="22"/>
              </w:rPr>
              <w:t xml:space="preserve">SCA </w:t>
            </w:r>
            <w:r w:rsidRPr="00BA3F3D">
              <w:rPr>
                <w:rFonts w:cs="Times New Roman"/>
                <w:szCs w:val="22"/>
              </w:rPr>
              <w:t xml:space="preserve"> </w:t>
            </w:r>
            <w:proofErr w:type="spellStart"/>
            <w:r w:rsidR="00BC2196">
              <w:rPr>
                <w:rFonts w:cs="Times New Roman"/>
                <w:i/>
                <w:szCs w:val="22"/>
              </w:rPr>
              <w:t>ij</w:t>
            </w:r>
            <w:proofErr w:type="spellEnd"/>
            <w:r w:rsidRPr="00BA3F3D">
              <w:rPr>
                <w:rFonts w:cs="Times New Roman"/>
                <w:szCs w:val="22"/>
              </w:rPr>
              <w:t xml:space="preserve"> </w:t>
            </w:r>
            <w:r>
              <w:rPr>
                <w:rFonts w:cs="Times New Roman"/>
                <w:szCs w:val="22"/>
              </w:rPr>
              <w:t xml:space="preserve">, </w:t>
            </w:r>
            <w:r w:rsidRPr="00BA3F3D">
              <w:rPr>
                <w:rFonts w:cs="Times New Roman"/>
                <w:szCs w:val="22"/>
              </w:rPr>
              <w:t xml:space="preserve">year </w:t>
            </w:r>
            <w:r w:rsidR="00BC2196">
              <w:rPr>
                <w:rFonts w:cs="Times New Roman"/>
                <w:i/>
                <w:szCs w:val="22"/>
              </w:rPr>
              <w:t>l</w:t>
            </w:r>
            <w:r w:rsidRPr="00BA3F3D">
              <w:rPr>
                <w:rFonts w:cs="Times New Roman"/>
                <w:szCs w:val="22"/>
              </w:rPr>
              <w:t xml:space="preserve">, </w:t>
            </w:r>
            <w:r>
              <w:rPr>
                <w:rFonts w:cs="Times New Roman"/>
                <w:szCs w:val="22"/>
              </w:rPr>
              <w:t xml:space="preserve">and </w:t>
            </w:r>
            <w:r w:rsidRPr="00BA3F3D">
              <w:rPr>
                <w:rFonts w:cs="Times New Roman"/>
                <w:szCs w:val="22"/>
              </w:rPr>
              <w:t xml:space="preserve">location </w:t>
            </w:r>
            <w:r w:rsidR="00BC2196">
              <w:rPr>
                <w:rFonts w:cs="Times New Roman"/>
                <w:i/>
                <w:szCs w:val="22"/>
              </w:rPr>
              <w:t>m</w:t>
            </w:r>
          </w:p>
        </w:tc>
      </w:tr>
      <w:tr w:rsidR="00596A40" w:rsidRPr="00BA3F3D" w14:paraId="6004334C" w14:textId="77777777" w:rsidTr="00991D2F">
        <w:tc>
          <w:tcPr>
            <w:tcW w:w="1551" w:type="dxa"/>
          </w:tcPr>
          <w:p w14:paraId="265A8806" w14:textId="0CF46D1E" w:rsidR="00596A40" w:rsidRPr="00BA3F3D" w:rsidRDefault="00596A40" w:rsidP="00BC2196">
            <w:pPr>
              <w:rPr>
                <w:rFonts w:cs="Times New Roman"/>
                <w:i/>
                <w:szCs w:val="22"/>
                <w:vertAlign w:val="subscript"/>
              </w:rPr>
            </w:pPr>
            <w:r w:rsidRPr="00BA3F3D">
              <w:rPr>
                <w:rFonts w:cs="Times New Roman"/>
                <w:i/>
                <w:szCs w:val="22"/>
              </w:rPr>
              <w:t>B(</w:t>
            </w:r>
            <w:r>
              <w:rPr>
                <w:rFonts w:cs="Times New Roman"/>
                <w:i/>
                <w:szCs w:val="22"/>
              </w:rPr>
              <w:t>S</w:t>
            </w:r>
            <w:r w:rsidRPr="00BA3F3D">
              <w:rPr>
                <w:rFonts w:cs="Times New Roman"/>
                <w:i/>
                <w:szCs w:val="22"/>
              </w:rPr>
              <w:t>L)</w:t>
            </w:r>
            <w:r w:rsidR="00BC2196">
              <w:rPr>
                <w:rFonts w:cs="Times New Roman"/>
                <w:i/>
                <w:szCs w:val="22"/>
                <w:vertAlign w:val="subscript"/>
              </w:rPr>
              <w:t>n</w:t>
            </w:r>
            <w:r>
              <w:rPr>
                <w:rFonts w:cs="Times New Roman"/>
                <w:i/>
                <w:szCs w:val="22"/>
                <w:vertAlign w:val="subscript"/>
              </w:rPr>
              <w:t>(</w:t>
            </w:r>
            <w:proofErr w:type="spellStart"/>
            <w:r w:rsidR="00BC2196">
              <w:rPr>
                <w:rFonts w:cs="Times New Roman"/>
                <w:i/>
                <w:szCs w:val="22"/>
                <w:vertAlign w:val="subscript"/>
              </w:rPr>
              <w:t>ijm</w:t>
            </w:r>
            <w:proofErr w:type="spellEnd"/>
            <w:r w:rsidRPr="00BA3F3D">
              <w:rPr>
                <w:rFonts w:cs="Times New Roman"/>
                <w:i/>
                <w:szCs w:val="22"/>
                <w:vertAlign w:val="subscript"/>
              </w:rPr>
              <w:t>)</w:t>
            </w:r>
          </w:p>
        </w:tc>
        <w:tc>
          <w:tcPr>
            <w:tcW w:w="6981" w:type="dxa"/>
          </w:tcPr>
          <w:p w14:paraId="7A210686" w14:textId="167F0619" w:rsidR="00596A40" w:rsidRPr="00BA3F3D" w:rsidRDefault="00596A40" w:rsidP="00BC2196">
            <w:pPr>
              <w:rPr>
                <w:rFonts w:cs="Times New Roman"/>
                <w:szCs w:val="22"/>
              </w:rPr>
            </w:pPr>
            <w:r w:rsidRPr="00BA3F3D">
              <w:rPr>
                <w:rFonts w:cs="Times New Roman"/>
                <w:szCs w:val="22"/>
              </w:rPr>
              <w:t xml:space="preserve">= interaction effect between block </w:t>
            </w:r>
            <w:r w:rsidR="00BC2196">
              <w:rPr>
                <w:rFonts w:cs="Times New Roman"/>
                <w:i/>
                <w:szCs w:val="22"/>
              </w:rPr>
              <w:t>n</w:t>
            </w:r>
            <w:r w:rsidRPr="00BA3F3D">
              <w:rPr>
                <w:rFonts w:cs="Times New Roman"/>
                <w:i/>
                <w:szCs w:val="22"/>
              </w:rPr>
              <w:t xml:space="preserve"> </w:t>
            </w:r>
            <w:r w:rsidRPr="00BA3F3D">
              <w:rPr>
                <w:rFonts w:cs="Times New Roman"/>
                <w:szCs w:val="22"/>
              </w:rPr>
              <w:t xml:space="preserve">within </w:t>
            </w:r>
            <w:r w:rsidR="00BC2196">
              <w:rPr>
                <w:rFonts w:cs="Times New Roman"/>
                <w:szCs w:val="22"/>
              </w:rPr>
              <w:t xml:space="preserve">location </w:t>
            </w:r>
            <w:r w:rsidR="00BC2196">
              <w:rPr>
                <w:rFonts w:cs="Times New Roman"/>
                <w:i/>
                <w:szCs w:val="22"/>
              </w:rPr>
              <w:t xml:space="preserve">m </w:t>
            </w:r>
            <w:r w:rsidR="00BC2196">
              <w:rPr>
                <w:rFonts w:cs="Times New Roman"/>
                <w:szCs w:val="22"/>
              </w:rPr>
              <w:t xml:space="preserve"> and </w:t>
            </w:r>
            <w:r>
              <w:rPr>
                <w:rFonts w:cs="Times New Roman"/>
                <w:szCs w:val="22"/>
              </w:rPr>
              <w:t xml:space="preserve">SCA </w:t>
            </w:r>
            <w:proofErr w:type="spellStart"/>
            <w:r w:rsidR="00BC2196">
              <w:rPr>
                <w:rFonts w:cs="Times New Roman"/>
                <w:i/>
                <w:szCs w:val="22"/>
              </w:rPr>
              <w:t>ij</w:t>
            </w:r>
            <w:proofErr w:type="spellEnd"/>
            <w:r>
              <w:rPr>
                <w:rFonts w:cs="Times New Roman"/>
                <w:i/>
                <w:szCs w:val="22"/>
              </w:rPr>
              <w:t xml:space="preserve"> </w:t>
            </w:r>
          </w:p>
        </w:tc>
      </w:tr>
      <w:tr w:rsidR="00596A40" w:rsidRPr="00BA3F3D" w14:paraId="030E59BC" w14:textId="77777777" w:rsidTr="00991D2F">
        <w:tc>
          <w:tcPr>
            <w:tcW w:w="1551" w:type="dxa"/>
          </w:tcPr>
          <w:p w14:paraId="1C30C4C0" w14:textId="3B61B27F" w:rsidR="00596A40" w:rsidRPr="00BA3F3D" w:rsidRDefault="00596A40" w:rsidP="00BC2196">
            <w:pPr>
              <w:rPr>
                <w:rFonts w:cs="Times New Roman"/>
                <w:i/>
                <w:szCs w:val="22"/>
                <w:vertAlign w:val="subscript"/>
              </w:rPr>
            </w:pPr>
            <w:r w:rsidRPr="00BA3F3D">
              <w:rPr>
                <w:rFonts w:cs="Times New Roman"/>
                <w:i/>
                <w:szCs w:val="22"/>
              </w:rPr>
              <w:t>B(</w:t>
            </w:r>
            <w:r w:rsidR="00991D2F">
              <w:rPr>
                <w:rFonts w:cs="Times New Roman"/>
                <w:i/>
                <w:szCs w:val="22"/>
              </w:rPr>
              <w:t>ST</w:t>
            </w:r>
            <w:r w:rsidRPr="00BA3F3D">
              <w:rPr>
                <w:rFonts w:cs="Times New Roman"/>
                <w:i/>
                <w:szCs w:val="22"/>
              </w:rPr>
              <w:t>L)</w:t>
            </w:r>
            <w:r w:rsidR="00BC2196">
              <w:rPr>
                <w:rFonts w:cs="Times New Roman"/>
                <w:i/>
                <w:szCs w:val="22"/>
                <w:vertAlign w:val="subscript"/>
              </w:rPr>
              <w:t>n</w:t>
            </w:r>
            <w:r w:rsidRPr="00BA3F3D">
              <w:rPr>
                <w:rFonts w:cs="Times New Roman"/>
                <w:i/>
                <w:szCs w:val="22"/>
                <w:vertAlign w:val="subscript"/>
              </w:rPr>
              <w:t>(</w:t>
            </w:r>
            <w:proofErr w:type="spellStart"/>
            <w:r w:rsidR="00BC2196">
              <w:rPr>
                <w:rFonts w:cs="Times New Roman"/>
                <w:i/>
                <w:szCs w:val="22"/>
                <w:vertAlign w:val="subscript"/>
              </w:rPr>
              <w:t>ijlm</w:t>
            </w:r>
            <w:proofErr w:type="spellEnd"/>
            <w:r w:rsidRPr="00BA3F3D">
              <w:rPr>
                <w:rFonts w:cs="Times New Roman"/>
                <w:i/>
                <w:szCs w:val="22"/>
                <w:vertAlign w:val="subscript"/>
              </w:rPr>
              <w:t>)</w:t>
            </w:r>
          </w:p>
        </w:tc>
        <w:tc>
          <w:tcPr>
            <w:tcW w:w="6981" w:type="dxa"/>
          </w:tcPr>
          <w:p w14:paraId="15F8C0EF" w14:textId="65A3921A" w:rsidR="00596A40" w:rsidRPr="00BA3F3D" w:rsidRDefault="00596A40" w:rsidP="00A95F60">
            <w:pPr>
              <w:rPr>
                <w:rFonts w:cs="Times New Roman"/>
                <w:szCs w:val="22"/>
              </w:rPr>
            </w:pPr>
            <w:r w:rsidRPr="00BA3F3D">
              <w:rPr>
                <w:rFonts w:cs="Times New Roman"/>
                <w:szCs w:val="22"/>
              </w:rPr>
              <w:t xml:space="preserve">= interaction effect between block </w:t>
            </w:r>
            <w:r w:rsidR="00BC2196">
              <w:rPr>
                <w:rFonts w:cs="Times New Roman"/>
                <w:i/>
                <w:szCs w:val="22"/>
              </w:rPr>
              <w:t>n</w:t>
            </w:r>
            <w:r w:rsidRPr="00BA3F3D">
              <w:rPr>
                <w:rFonts w:cs="Times New Roman"/>
                <w:szCs w:val="22"/>
              </w:rPr>
              <w:t xml:space="preserve"> within</w:t>
            </w:r>
            <w:r w:rsidR="00BC2196">
              <w:rPr>
                <w:rFonts w:cs="Times New Roman"/>
                <w:szCs w:val="22"/>
              </w:rPr>
              <w:t xml:space="preserve"> location </w:t>
            </w:r>
            <w:r w:rsidR="00BC2196">
              <w:rPr>
                <w:rFonts w:cs="Times New Roman"/>
                <w:i/>
                <w:szCs w:val="22"/>
              </w:rPr>
              <w:t>m</w:t>
            </w:r>
            <w:r w:rsidR="00A95F60">
              <w:rPr>
                <w:rFonts w:cs="Times New Roman"/>
                <w:szCs w:val="22"/>
              </w:rPr>
              <w:t xml:space="preserve">, </w:t>
            </w:r>
            <w:r>
              <w:rPr>
                <w:rFonts w:cs="Times New Roman"/>
                <w:szCs w:val="22"/>
              </w:rPr>
              <w:t xml:space="preserve">SCA </w:t>
            </w:r>
            <w:r w:rsidRPr="00BA3F3D">
              <w:rPr>
                <w:rFonts w:cs="Times New Roman"/>
                <w:szCs w:val="22"/>
              </w:rPr>
              <w:t xml:space="preserve"> </w:t>
            </w:r>
            <w:proofErr w:type="spellStart"/>
            <w:r w:rsidR="00BC2196">
              <w:rPr>
                <w:rFonts w:cs="Times New Roman"/>
                <w:i/>
                <w:szCs w:val="22"/>
              </w:rPr>
              <w:t>ij</w:t>
            </w:r>
            <w:proofErr w:type="spellEnd"/>
            <w:r w:rsidR="00A95F60">
              <w:rPr>
                <w:rFonts w:cs="Times New Roman"/>
                <w:szCs w:val="22"/>
              </w:rPr>
              <w:t>,</w:t>
            </w:r>
            <w:r w:rsidR="00BC2196">
              <w:rPr>
                <w:rFonts w:cs="Times New Roman"/>
                <w:szCs w:val="22"/>
              </w:rPr>
              <w:t xml:space="preserve"> </w:t>
            </w:r>
            <w:r w:rsidRPr="00BA3F3D">
              <w:rPr>
                <w:rFonts w:cs="Times New Roman"/>
                <w:szCs w:val="22"/>
              </w:rPr>
              <w:t xml:space="preserve">and year </w:t>
            </w:r>
            <w:r w:rsidR="00BC2196">
              <w:rPr>
                <w:rFonts w:cs="Times New Roman"/>
                <w:i/>
                <w:szCs w:val="22"/>
              </w:rPr>
              <w:t>l</w:t>
            </w:r>
          </w:p>
        </w:tc>
      </w:tr>
      <w:tr w:rsidR="00596A40" w:rsidRPr="00BA3F3D" w14:paraId="21896A1A" w14:textId="77777777" w:rsidTr="00991D2F">
        <w:tc>
          <w:tcPr>
            <w:tcW w:w="1551" w:type="dxa"/>
          </w:tcPr>
          <w:p w14:paraId="58952AA8" w14:textId="420B793F" w:rsidR="00596A40" w:rsidRPr="00BA3F3D" w:rsidRDefault="00991D2F" w:rsidP="00BC2196">
            <w:pPr>
              <w:rPr>
                <w:rFonts w:cs="Times New Roman"/>
                <w:i/>
                <w:szCs w:val="22"/>
              </w:rPr>
            </w:pPr>
            <w:proofErr w:type="spellStart"/>
            <w:r w:rsidRPr="00BA3F3D">
              <w:rPr>
                <w:rFonts w:cs="Times New Roman"/>
                <w:i/>
                <w:szCs w:val="22"/>
              </w:rPr>
              <w:lastRenderedPageBreak/>
              <w:t>E</w:t>
            </w:r>
            <w:r w:rsidR="00BC2196">
              <w:rPr>
                <w:rFonts w:cs="Times New Roman"/>
                <w:i/>
                <w:szCs w:val="22"/>
                <w:vertAlign w:val="subscript"/>
              </w:rPr>
              <w:t>o</w:t>
            </w:r>
            <w:proofErr w:type="spellEnd"/>
            <w:r w:rsidR="00596A40">
              <w:rPr>
                <w:rFonts w:cs="Times New Roman"/>
                <w:i/>
                <w:szCs w:val="22"/>
                <w:vertAlign w:val="subscript"/>
              </w:rPr>
              <w:t>(</w:t>
            </w:r>
            <w:proofErr w:type="spellStart"/>
            <w:r w:rsidR="00BC2196">
              <w:rPr>
                <w:rFonts w:cs="Times New Roman"/>
                <w:i/>
                <w:szCs w:val="22"/>
                <w:vertAlign w:val="subscript"/>
              </w:rPr>
              <w:t>ijlmn</w:t>
            </w:r>
            <w:proofErr w:type="spellEnd"/>
            <w:r w:rsidR="00BC2196">
              <w:rPr>
                <w:rFonts w:cs="Times New Roman"/>
                <w:i/>
                <w:szCs w:val="22"/>
                <w:vertAlign w:val="subscript"/>
              </w:rPr>
              <w:t>)</w:t>
            </w:r>
          </w:p>
        </w:tc>
        <w:tc>
          <w:tcPr>
            <w:tcW w:w="6981" w:type="dxa"/>
          </w:tcPr>
          <w:p w14:paraId="6D92530F" w14:textId="77777777" w:rsidR="00596A40" w:rsidRPr="00BA3F3D" w:rsidRDefault="00596A40" w:rsidP="00BA0C43">
            <w:pPr>
              <w:rPr>
                <w:rFonts w:cs="Times New Roman"/>
                <w:i/>
                <w:szCs w:val="22"/>
              </w:rPr>
            </w:pPr>
            <w:r w:rsidRPr="00BA3F3D">
              <w:rPr>
                <w:rFonts w:cs="Times New Roman"/>
                <w:szCs w:val="22"/>
              </w:rPr>
              <w:t>= experimental error</w:t>
            </w:r>
            <w:r>
              <w:rPr>
                <w:rFonts w:cs="Times New Roman"/>
                <w:szCs w:val="22"/>
              </w:rPr>
              <w:t xml:space="preserve"> </w:t>
            </w:r>
            <w:r w:rsidR="00BA0C43">
              <w:rPr>
                <w:rFonts w:cs="Times New Roman"/>
                <w:szCs w:val="22"/>
              </w:rPr>
              <w:t>or residual</w:t>
            </w:r>
          </w:p>
        </w:tc>
      </w:tr>
    </w:tbl>
    <w:p w14:paraId="2FB82078" w14:textId="77777777" w:rsidR="00596A40" w:rsidRPr="00BA3F3D" w:rsidRDefault="00596A40" w:rsidP="00596A40">
      <w:pPr>
        <w:rPr>
          <w:rFonts w:eastAsiaTheme="minorHAnsi" w:cs="Times New Roman"/>
          <w:szCs w:val="22"/>
        </w:rPr>
      </w:pPr>
    </w:p>
    <w:p w14:paraId="45C257D6" w14:textId="33A5DEED" w:rsidR="00596A40" w:rsidRDefault="008B4003" w:rsidP="00596A40">
      <w:pPr>
        <w:ind w:firstLine="720"/>
        <w:rPr>
          <w:rFonts w:eastAsiaTheme="minorHAnsi" w:cs="Times New Roman"/>
          <w:szCs w:val="22"/>
        </w:rPr>
      </w:pPr>
      <w:r>
        <w:rPr>
          <w:rFonts w:eastAsiaTheme="minorHAnsi" w:cs="Times New Roman"/>
          <w:szCs w:val="22"/>
        </w:rPr>
        <w:t xml:space="preserve">Griffing’s mixed model </w:t>
      </w:r>
      <w:r w:rsidR="00CA2406">
        <w:rPr>
          <w:rFonts w:eastAsiaTheme="minorHAnsi" w:cs="Times New Roman"/>
          <w:szCs w:val="22"/>
        </w:rPr>
        <w:t>A</w:t>
      </w:r>
      <w:r>
        <w:rPr>
          <w:rFonts w:eastAsiaTheme="minorHAnsi" w:cs="Times New Roman"/>
          <w:szCs w:val="22"/>
        </w:rPr>
        <w:t xml:space="preserve"> </w:t>
      </w:r>
      <w:r w:rsidR="00501697">
        <w:rPr>
          <w:rFonts w:eastAsiaTheme="minorHAnsi" w:cs="Times New Roman"/>
          <w:szCs w:val="22"/>
        </w:rPr>
        <w:t>analysis</w:t>
      </w:r>
      <w:r>
        <w:rPr>
          <w:rFonts w:eastAsiaTheme="minorHAnsi" w:cs="Times New Roman"/>
          <w:szCs w:val="22"/>
        </w:rPr>
        <w:t xml:space="preserve"> was used, in which GCA and SCA are considered ran</w:t>
      </w:r>
      <w:r w:rsidR="00BA0C43">
        <w:rPr>
          <w:rFonts w:eastAsiaTheme="minorHAnsi" w:cs="Times New Roman"/>
          <w:szCs w:val="22"/>
        </w:rPr>
        <w:t>dom while location, year, and block are considered fixed</w:t>
      </w:r>
      <w:r w:rsidR="005F3E43">
        <w:rPr>
          <w:rFonts w:eastAsiaTheme="minorHAnsi" w:cs="Times New Roman"/>
          <w:szCs w:val="22"/>
        </w:rPr>
        <w:t xml:space="preserve"> effects</w:t>
      </w:r>
      <w:r w:rsidR="00A44411">
        <w:rPr>
          <w:rFonts w:eastAsiaTheme="minorHAnsi" w:cs="Times New Roman"/>
          <w:szCs w:val="22"/>
        </w:rPr>
        <w:t xml:space="preserve"> </w:t>
      </w:r>
      <w:r w:rsidR="00301182">
        <w:rPr>
          <w:rFonts w:eastAsiaTheme="minorHAnsi" w:cs="Times New Roman"/>
          <w:szCs w:val="22"/>
        </w:rPr>
        <w:fldChar w:fldCharType="begin"/>
      </w:r>
      <w:r w:rsidR="00BA0C43">
        <w:rPr>
          <w:rFonts w:eastAsiaTheme="minorHAnsi" w:cs="Times New Roman"/>
          <w:szCs w:val="22"/>
        </w:rPr>
        <w:instrText xml:space="preserve"> ADDIN EN.CITE &lt;EndNote&gt;&lt;Cite&gt;&lt;Author&gt;Griffing&lt;/Author&gt;&lt;Year&gt;1956&lt;/Year&gt;&lt;RecNum&gt;262&lt;/RecNum&gt;&lt;DisplayText&gt;(Griffing, 1956)&lt;/DisplayText&gt;&lt;record&gt;&lt;rec-number&gt;262&lt;/rec-number&gt;&lt;foreign-keys&gt;&lt;key app="EN" db-id="9zfxt259rawwvce0pfa5efeuatdw0pz5va5z" timestamp="1326988408"&gt;262&lt;/key&gt;&lt;/foreign-keys&gt;&lt;ref-type name="Journal Article"&gt;17&lt;/ref-type&gt;&lt;contributors&gt;&lt;authors&gt;&lt;author&gt;Griffing, B.&lt;/author&gt;&lt;/authors&gt;&lt;/contributors&gt;&lt;titles&gt;&lt;title&gt;Concept of general and specific combining ability in relation to diallel crossing systems&lt;/title&gt;&lt;secondary-title&gt;Austr. J. Biol. Sci.&lt;/secondary-title&gt;&lt;/titles&gt;&lt;periodical&gt;&lt;full-title&gt;Austr. J. Biol. Sci.&lt;/full-title&gt;&lt;/periodical&gt;&lt;pages&gt;463-493&lt;/pages&gt;&lt;volume&gt;9&lt;/volume&gt;&lt;dates&gt;&lt;year&gt;1956&lt;/year&gt;&lt;/dates&gt;&lt;urls&gt;&lt;/urls&gt;&lt;/record&gt;&lt;/Cite&gt;&lt;/EndNote&gt;</w:instrText>
      </w:r>
      <w:r w:rsidR="00301182">
        <w:rPr>
          <w:rFonts w:eastAsiaTheme="minorHAnsi" w:cs="Times New Roman"/>
          <w:szCs w:val="22"/>
        </w:rPr>
        <w:fldChar w:fldCharType="separate"/>
      </w:r>
      <w:r w:rsidR="00BA0C43">
        <w:rPr>
          <w:rFonts w:eastAsiaTheme="minorHAnsi" w:cs="Times New Roman"/>
          <w:noProof/>
          <w:szCs w:val="22"/>
        </w:rPr>
        <w:t>(</w:t>
      </w:r>
      <w:hyperlink w:anchor="_ENREF_40" w:tooltip="Griffing, 1956 #262" w:history="1">
        <w:r w:rsidR="00FB5014">
          <w:rPr>
            <w:rFonts w:eastAsiaTheme="minorHAnsi" w:cs="Times New Roman"/>
            <w:noProof/>
            <w:szCs w:val="22"/>
          </w:rPr>
          <w:t>Griffing, 1956</w:t>
        </w:r>
      </w:hyperlink>
      <w:r w:rsidR="00BA0C43">
        <w:rPr>
          <w:rFonts w:eastAsiaTheme="minorHAnsi" w:cs="Times New Roman"/>
          <w:noProof/>
          <w:szCs w:val="22"/>
        </w:rPr>
        <w:t>)</w:t>
      </w:r>
      <w:r w:rsidR="00301182">
        <w:rPr>
          <w:rFonts w:eastAsiaTheme="minorHAnsi" w:cs="Times New Roman"/>
          <w:szCs w:val="22"/>
        </w:rPr>
        <w:fldChar w:fldCharType="end"/>
      </w:r>
      <w:r w:rsidR="005F3E43">
        <w:rPr>
          <w:rFonts w:eastAsiaTheme="minorHAnsi" w:cs="Times New Roman"/>
          <w:szCs w:val="22"/>
        </w:rPr>
        <w:t>. Doing so allowed</w:t>
      </w:r>
      <w:r w:rsidR="00BA0C43">
        <w:rPr>
          <w:rFonts w:eastAsiaTheme="minorHAnsi" w:cs="Times New Roman"/>
          <w:szCs w:val="22"/>
        </w:rPr>
        <w:t xml:space="preserve"> for extra</w:t>
      </w:r>
      <w:r>
        <w:rPr>
          <w:rFonts w:eastAsiaTheme="minorHAnsi" w:cs="Times New Roman"/>
          <w:szCs w:val="22"/>
        </w:rPr>
        <w:t>p</w:t>
      </w:r>
      <w:r w:rsidR="00BA0C43">
        <w:rPr>
          <w:rFonts w:eastAsiaTheme="minorHAnsi" w:cs="Times New Roman"/>
          <w:szCs w:val="22"/>
        </w:rPr>
        <w:t>olation of results</w:t>
      </w:r>
      <w:r>
        <w:rPr>
          <w:rFonts w:eastAsiaTheme="minorHAnsi" w:cs="Times New Roman"/>
          <w:szCs w:val="22"/>
        </w:rPr>
        <w:t xml:space="preserve"> to the population at large rather than the specific parent</w:t>
      </w:r>
      <w:r w:rsidR="00E04B5E">
        <w:rPr>
          <w:rFonts w:eastAsiaTheme="minorHAnsi" w:cs="Times New Roman"/>
          <w:szCs w:val="22"/>
        </w:rPr>
        <w:t>s</w:t>
      </w:r>
      <w:r>
        <w:rPr>
          <w:rFonts w:eastAsiaTheme="minorHAnsi" w:cs="Times New Roman"/>
          <w:szCs w:val="22"/>
        </w:rPr>
        <w:t xml:space="preserve"> selected.</w:t>
      </w:r>
      <w:r w:rsidR="00596A40">
        <w:rPr>
          <w:rFonts w:eastAsiaTheme="minorHAnsi" w:cs="Times New Roman"/>
          <w:szCs w:val="22"/>
        </w:rPr>
        <w:t xml:space="preserve"> To determine maternal effects, a separate model was analyzed that included all effects listed above but in which SCA was divided into an SCA effect and reciprocal SCA effect by identifying each combination of parents in the SCA effect and using a </w:t>
      </w:r>
      <w:r w:rsidR="00501697">
        <w:rPr>
          <w:rFonts w:eastAsiaTheme="minorHAnsi" w:cs="Times New Roman"/>
          <w:szCs w:val="22"/>
        </w:rPr>
        <w:t>multiplier</w:t>
      </w:r>
      <w:r w:rsidR="00596A40">
        <w:rPr>
          <w:rFonts w:eastAsiaTheme="minorHAnsi" w:cs="Times New Roman"/>
          <w:szCs w:val="22"/>
        </w:rPr>
        <w:t xml:space="preserve"> of 1 or -1 to distinguish crosses and reciprocals. </w:t>
      </w:r>
    </w:p>
    <w:p w14:paraId="4BB08814" w14:textId="684C75AB" w:rsidR="00596A40" w:rsidRPr="00BA3F3D" w:rsidRDefault="00596A40" w:rsidP="00596A40">
      <w:pPr>
        <w:ind w:firstLine="720"/>
        <w:rPr>
          <w:rFonts w:eastAsiaTheme="minorHAnsi" w:cs="Times New Roman"/>
          <w:szCs w:val="22"/>
        </w:rPr>
      </w:pPr>
      <w:r w:rsidRPr="00BA3F3D">
        <w:rPr>
          <w:rFonts w:eastAsiaTheme="minorHAnsi" w:cs="Times New Roman"/>
          <w:szCs w:val="22"/>
        </w:rPr>
        <w:t xml:space="preserve">Genetic variance components for a tetraploid were estimated using the following formula </w:t>
      </w:r>
      <w:r w:rsidR="00301182" w:rsidRPr="00BA3F3D">
        <w:rPr>
          <w:rFonts w:eastAsiaTheme="minorHAnsi" w:cs="Times New Roman"/>
          <w:szCs w:val="22"/>
        </w:rPr>
        <w:fldChar w:fldCharType="begin"/>
      </w:r>
      <w:r w:rsidR="003D2B24">
        <w:rPr>
          <w:rFonts w:eastAsiaTheme="minorHAnsi" w:cs="Times New Roman"/>
          <w:szCs w:val="22"/>
        </w:rPr>
        <w:instrText xml:space="preserve"> ADDIN EN.CITE &lt;EndNote&gt;&lt;Cite&gt;&lt;Author&gt;Wricke&lt;/Author&gt;&lt;Year&gt;1986&lt;/Year&gt;&lt;RecNum&gt;261&lt;/RecNum&gt;&lt;DisplayText&gt;(Wricke and Weber, 1986)&lt;/DisplayText&gt;&lt;record&gt;&lt;rec-number&gt;261&lt;/rec-number&gt;&lt;foreign-keys&gt;&lt;key app="EN" db-id="9zfxt259rawwvce0pfa5efeuatdw0pz5va5z" timestamp="1326988292"&gt;261&lt;/key&gt;&lt;/foreign-keys&gt;&lt;ref-type name="Book"&gt;6&lt;/ref-type&gt;&lt;contributors&gt;&lt;authors&gt;&lt;author&gt;Wricke, Gunter&lt;/author&gt;&lt;author&gt;Weber, W. Eberhard&lt;/author&gt;&lt;/authors&gt;&lt;/contributors&gt;&lt;titles&gt;&lt;title&gt;Quantitative Genetics and Selection in Plant Breeding. &lt;/title&gt;&lt;/titles&gt;&lt;dates&gt;&lt;year&gt;1986&lt;/year&gt;&lt;/dates&gt;&lt;pub-location&gt;New York&lt;/pub-location&gt;&lt;publisher&gt;Walter de Gruyter&lt;/publisher&gt;&lt;urls&gt;&lt;/urls&gt;&lt;/record&gt;&lt;/Cite&gt;&lt;/EndNote&gt;</w:instrText>
      </w:r>
      <w:r w:rsidR="00301182" w:rsidRPr="00BA3F3D">
        <w:rPr>
          <w:rFonts w:eastAsiaTheme="minorHAnsi" w:cs="Times New Roman"/>
          <w:szCs w:val="22"/>
        </w:rPr>
        <w:fldChar w:fldCharType="separate"/>
      </w:r>
      <w:r w:rsidRPr="00BA3F3D">
        <w:rPr>
          <w:rFonts w:eastAsiaTheme="minorHAnsi" w:cs="Times New Roman"/>
          <w:noProof/>
          <w:szCs w:val="22"/>
        </w:rPr>
        <w:t>(</w:t>
      </w:r>
      <w:hyperlink w:anchor="_ENREF_104" w:tooltip="Wricke, 1986 #261" w:history="1">
        <w:r w:rsidR="00FB5014" w:rsidRPr="00BA3F3D">
          <w:rPr>
            <w:rFonts w:eastAsiaTheme="minorHAnsi" w:cs="Times New Roman"/>
            <w:noProof/>
            <w:szCs w:val="22"/>
          </w:rPr>
          <w:t>Wricke and Weber, 1986</w:t>
        </w:r>
      </w:hyperlink>
      <w:r w:rsidRPr="00BA3F3D">
        <w:rPr>
          <w:rFonts w:eastAsiaTheme="minorHAnsi" w:cs="Times New Roman"/>
          <w:noProof/>
          <w:szCs w:val="22"/>
        </w:rPr>
        <w:t>)</w:t>
      </w:r>
      <w:r w:rsidR="00301182" w:rsidRPr="00BA3F3D">
        <w:rPr>
          <w:rFonts w:eastAsiaTheme="minorHAnsi" w:cs="Times New Roman"/>
          <w:szCs w:val="22"/>
        </w:rPr>
        <w:fldChar w:fldCharType="end"/>
      </w:r>
      <w:r w:rsidRPr="00BA3F3D">
        <w:rPr>
          <w:rFonts w:eastAsiaTheme="minorHAnsi" w:cs="Times New Roman"/>
          <w:szCs w:val="22"/>
        </w:rPr>
        <w:t xml:space="preserve">:  </w:t>
      </w:r>
    </w:p>
    <w:p w14:paraId="4E615137" w14:textId="77777777" w:rsidR="00596A40" w:rsidRPr="00BA3F3D" w:rsidRDefault="00596A40" w:rsidP="00596A40">
      <w:pPr>
        <w:rPr>
          <w:rFonts w:eastAsiaTheme="minorHAnsi" w:cs="Times New Roman"/>
          <w:szCs w:val="22"/>
          <w:vertAlign w:val="subscript"/>
        </w:rPr>
      </w:pPr>
      <w:r w:rsidRPr="00BA3F3D">
        <w:rPr>
          <w:rFonts w:eastAsiaTheme="minorHAnsi" w:cs="Times New Roman"/>
          <w:szCs w:val="22"/>
        </w:rPr>
        <w:t>σ</w:t>
      </w:r>
      <w:r w:rsidRPr="00BA3F3D">
        <w:rPr>
          <w:rFonts w:eastAsiaTheme="minorHAnsi" w:cs="Times New Roman"/>
          <w:szCs w:val="22"/>
          <w:vertAlign w:val="superscript"/>
        </w:rPr>
        <w:t>2</w:t>
      </w:r>
      <w:r w:rsidRPr="00BA3F3D">
        <w:rPr>
          <w:rFonts w:eastAsiaTheme="minorHAnsi" w:cs="Times New Roman"/>
          <w:szCs w:val="22"/>
          <w:vertAlign w:val="subscript"/>
        </w:rPr>
        <w:t>A</w:t>
      </w:r>
      <w:r w:rsidRPr="00BA3F3D">
        <w:rPr>
          <w:rFonts w:eastAsiaTheme="minorHAnsi" w:cs="Times New Roman"/>
          <w:szCs w:val="22"/>
        </w:rPr>
        <w:t xml:space="preserve"> = 4s</w:t>
      </w:r>
      <w:r w:rsidRPr="00BA3F3D">
        <w:rPr>
          <w:rFonts w:eastAsiaTheme="minorHAnsi" w:cs="Times New Roman"/>
          <w:szCs w:val="22"/>
          <w:vertAlign w:val="superscript"/>
        </w:rPr>
        <w:t>2</w:t>
      </w:r>
      <w:r w:rsidRPr="00BA3F3D">
        <w:rPr>
          <w:rFonts w:eastAsiaTheme="minorHAnsi" w:cs="Times New Roman"/>
          <w:szCs w:val="22"/>
          <w:vertAlign w:val="subscript"/>
        </w:rPr>
        <w:t>gca</w:t>
      </w:r>
      <w:r w:rsidRPr="00BA3F3D">
        <w:rPr>
          <w:rFonts w:eastAsiaTheme="minorHAnsi" w:cs="Times New Roman"/>
          <w:szCs w:val="22"/>
        </w:rPr>
        <w:t xml:space="preserve"> – 2/3 σ</w:t>
      </w:r>
      <w:r w:rsidRPr="00BA3F3D">
        <w:rPr>
          <w:rFonts w:eastAsiaTheme="minorHAnsi" w:cs="Times New Roman"/>
          <w:szCs w:val="22"/>
          <w:vertAlign w:val="superscript"/>
        </w:rPr>
        <w:t xml:space="preserve"> 2</w:t>
      </w:r>
      <w:r w:rsidRPr="00BA3F3D">
        <w:rPr>
          <w:rFonts w:eastAsiaTheme="minorHAnsi" w:cs="Times New Roman"/>
          <w:szCs w:val="22"/>
          <w:vertAlign w:val="subscript"/>
        </w:rPr>
        <w:t>sca</w:t>
      </w:r>
    </w:p>
    <w:p w14:paraId="06757EAE" w14:textId="77777777" w:rsidR="00596A40" w:rsidRPr="00BA3F3D" w:rsidRDefault="00596A40" w:rsidP="00596A40">
      <w:pPr>
        <w:rPr>
          <w:rFonts w:eastAsiaTheme="minorHAnsi" w:cs="Times New Roman"/>
          <w:szCs w:val="22"/>
        </w:rPr>
      </w:pPr>
      <w:r w:rsidRPr="00BA3F3D">
        <w:rPr>
          <w:rFonts w:eastAsiaTheme="minorHAnsi" w:cs="Times New Roman"/>
          <w:szCs w:val="22"/>
        </w:rPr>
        <w:t>σ</w:t>
      </w:r>
      <w:r w:rsidRPr="00BA3F3D">
        <w:rPr>
          <w:rFonts w:eastAsiaTheme="minorHAnsi" w:cs="Times New Roman"/>
          <w:szCs w:val="22"/>
          <w:vertAlign w:val="superscript"/>
        </w:rPr>
        <w:t>2</w:t>
      </w:r>
      <w:r w:rsidRPr="00BA3F3D">
        <w:rPr>
          <w:rFonts w:eastAsiaTheme="minorHAnsi" w:cs="Times New Roman"/>
          <w:szCs w:val="22"/>
          <w:vertAlign w:val="subscript"/>
        </w:rPr>
        <w:t>D</w:t>
      </w:r>
      <w:r w:rsidRPr="00BA3F3D">
        <w:rPr>
          <w:rFonts w:eastAsiaTheme="minorHAnsi" w:cs="Times New Roman"/>
          <w:szCs w:val="22"/>
        </w:rPr>
        <w:t xml:space="preserve"> = 6 σ</w:t>
      </w:r>
      <w:r w:rsidRPr="00BA3F3D">
        <w:rPr>
          <w:rFonts w:eastAsiaTheme="minorHAnsi" w:cs="Times New Roman"/>
          <w:szCs w:val="22"/>
          <w:vertAlign w:val="superscript"/>
        </w:rPr>
        <w:t xml:space="preserve"> 2</w:t>
      </w:r>
      <w:r w:rsidRPr="00BA3F3D">
        <w:rPr>
          <w:rFonts w:eastAsiaTheme="minorHAnsi" w:cs="Times New Roman"/>
          <w:szCs w:val="22"/>
          <w:vertAlign w:val="subscript"/>
        </w:rPr>
        <w:t>sca</w:t>
      </w:r>
      <w:r>
        <w:rPr>
          <w:rFonts w:eastAsiaTheme="minorHAnsi" w:cs="Times New Roman"/>
          <w:szCs w:val="22"/>
        </w:rPr>
        <w:t xml:space="preserve">. </w:t>
      </w:r>
    </w:p>
    <w:p w14:paraId="64898890" w14:textId="77777777" w:rsidR="00596A40" w:rsidRPr="00BA3F3D" w:rsidRDefault="00596A40" w:rsidP="00596A40">
      <w:pPr>
        <w:ind w:firstLine="720"/>
        <w:rPr>
          <w:rFonts w:eastAsiaTheme="minorHAnsi" w:cs="Times New Roman"/>
          <w:szCs w:val="22"/>
        </w:rPr>
      </w:pPr>
      <w:r w:rsidRPr="00BA3F3D">
        <w:rPr>
          <w:rFonts w:eastAsiaTheme="minorHAnsi" w:cs="Times New Roman"/>
          <w:szCs w:val="22"/>
        </w:rPr>
        <w:t>Narrow-sense heritability (</w:t>
      </w:r>
      <w:r w:rsidRPr="00BA3F3D">
        <w:rPr>
          <w:rFonts w:eastAsiaTheme="minorHAnsi" w:cs="Times New Roman"/>
          <w:i/>
          <w:szCs w:val="22"/>
        </w:rPr>
        <w:t>h</w:t>
      </w:r>
      <w:r w:rsidRPr="00BA3F3D">
        <w:rPr>
          <w:rFonts w:eastAsiaTheme="minorHAnsi" w:cs="Times New Roman"/>
          <w:i/>
          <w:szCs w:val="22"/>
          <w:vertAlign w:val="superscript"/>
        </w:rPr>
        <w:t>2</w:t>
      </w:r>
      <w:r w:rsidRPr="00BA3F3D">
        <w:rPr>
          <w:rFonts w:eastAsiaTheme="minorHAnsi" w:cs="Times New Roman"/>
          <w:szCs w:val="22"/>
        </w:rPr>
        <w:t xml:space="preserve">) was estimated using the following formula:  </w:t>
      </w:r>
    </w:p>
    <w:p w14:paraId="0B48F4BA" w14:textId="72448563" w:rsidR="00596A40" w:rsidRPr="00BA3F3D" w:rsidRDefault="00596A40" w:rsidP="00596A40">
      <w:pPr>
        <w:ind w:firstLine="720"/>
        <w:rPr>
          <w:rFonts w:eastAsiaTheme="minorHAnsi" w:cs="Times New Roman"/>
          <w:i/>
          <w:szCs w:val="22"/>
          <w:vertAlign w:val="subscript"/>
        </w:rPr>
      </w:pPr>
      <w:r w:rsidRPr="00BA3F3D">
        <w:rPr>
          <w:rFonts w:eastAsiaTheme="minorHAnsi" w:cs="Times New Roman"/>
          <w:i/>
          <w:szCs w:val="22"/>
        </w:rPr>
        <w:t>h</w:t>
      </w:r>
      <w:r w:rsidRPr="00BA3F3D">
        <w:rPr>
          <w:rFonts w:eastAsiaTheme="minorHAnsi" w:cs="Times New Roman"/>
          <w:i/>
          <w:szCs w:val="22"/>
          <w:vertAlign w:val="superscript"/>
        </w:rPr>
        <w:t>2</w:t>
      </w:r>
      <w:r w:rsidRPr="00BA3F3D">
        <w:rPr>
          <w:rFonts w:eastAsiaTheme="minorHAnsi" w:cs="Times New Roman"/>
          <w:i/>
          <w:szCs w:val="22"/>
        </w:rPr>
        <w:t xml:space="preserve"> = σ</w:t>
      </w:r>
      <w:r w:rsidRPr="00BA3F3D">
        <w:rPr>
          <w:rFonts w:eastAsiaTheme="minorHAnsi" w:cs="Times New Roman"/>
          <w:i/>
          <w:szCs w:val="22"/>
          <w:vertAlign w:val="superscript"/>
        </w:rPr>
        <w:t>2</w:t>
      </w:r>
      <w:r w:rsidR="00893CD8">
        <w:rPr>
          <w:rFonts w:eastAsiaTheme="minorHAnsi" w:cs="Times New Roman"/>
          <w:i/>
          <w:szCs w:val="22"/>
          <w:vertAlign w:val="subscript"/>
        </w:rPr>
        <w:t>A</w:t>
      </w:r>
      <w:r w:rsidRPr="00BA3F3D">
        <w:rPr>
          <w:rFonts w:eastAsiaTheme="minorHAnsi" w:cs="Times New Roman"/>
          <w:i/>
          <w:szCs w:val="22"/>
        </w:rPr>
        <w:t>/ σ</w:t>
      </w:r>
      <w:r w:rsidRPr="00BA3F3D">
        <w:rPr>
          <w:rFonts w:eastAsiaTheme="minorHAnsi" w:cs="Times New Roman"/>
          <w:i/>
          <w:szCs w:val="22"/>
          <w:vertAlign w:val="superscript"/>
        </w:rPr>
        <w:t>2</w:t>
      </w:r>
      <w:r w:rsidR="00893CD8">
        <w:rPr>
          <w:rFonts w:eastAsiaTheme="minorHAnsi" w:cs="Times New Roman"/>
          <w:i/>
          <w:szCs w:val="22"/>
          <w:vertAlign w:val="subscript"/>
        </w:rPr>
        <w:t>P</w:t>
      </w:r>
    </w:p>
    <w:p w14:paraId="08E13314" w14:textId="0AED0B56" w:rsidR="00596A40" w:rsidRPr="00BA3F3D" w:rsidRDefault="00596A40" w:rsidP="00596A40">
      <w:pPr>
        <w:rPr>
          <w:rFonts w:eastAsiaTheme="minorHAnsi" w:cs="Times New Roman"/>
          <w:szCs w:val="22"/>
        </w:rPr>
      </w:pPr>
      <w:proofErr w:type="gramStart"/>
      <w:r w:rsidRPr="00BA3F3D">
        <w:rPr>
          <w:rFonts w:eastAsiaTheme="minorHAnsi" w:cs="Times New Roman"/>
          <w:szCs w:val="22"/>
        </w:rPr>
        <w:t>where</w:t>
      </w:r>
      <w:proofErr w:type="gramEnd"/>
      <w:r w:rsidRPr="00BA3F3D">
        <w:rPr>
          <w:rFonts w:eastAsiaTheme="minorHAnsi" w:cs="Times New Roman"/>
          <w:szCs w:val="22"/>
        </w:rPr>
        <w:t xml:space="preserve"> </w:t>
      </w:r>
      <w:r w:rsidRPr="00BA3F3D">
        <w:rPr>
          <w:rFonts w:eastAsiaTheme="minorHAnsi" w:cs="Times New Roman"/>
          <w:i/>
          <w:szCs w:val="22"/>
        </w:rPr>
        <w:t>σ</w:t>
      </w:r>
      <w:r w:rsidRPr="00BA3F3D">
        <w:rPr>
          <w:rFonts w:eastAsiaTheme="minorHAnsi" w:cs="Times New Roman"/>
          <w:i/>
          <w:szCs w:val="22"/>
          <w:vertAlign w:val="superscript"/>
        </w:rPr>
        <w:t>2</w:t>
      </w:r>
      <w:r w:rsidR="00893CD8">
        <w:rPr>
          <w:rFonts w:eastAsiaTheme="minorHAnsi" w:cs="Times New Roman"/>
          <w:i/>
          <w:szCs w:val="22"/>
          <w:vertAlign w:val="subscript"/>
        </w:rPr>
        <w:t>P</w:t>
      </w:r>
      <w:r w:rsidRPr="00BA3F3D">
        <w:rPr>
          <w:rFonts w:eastAsiaTheme="minorHAnsi" w:cs="Times New Roman"/>
          <w:szCs w:val="22"/>
          <w:vertAlign w:val="subscript"/>
        </w:rPr>
        <w:t xml:space="preserve"> </w:t>
      </w:r>
      <w:r>
        <w:rPr>
          <w:rFonts w:eastAsiaTheme="minorHAnsi" w:cs="Times New Roman"/>
          <w:szCs w:val="22"/>
        </w:rPr>
        <w:t xml:space="preserve">= the sum of additive, dominance, and residual variance components. </w:t>
      </w:r>
    </w:p>
    <w:p w14:paraId="42713FE3" w14:textId="77777777" w:rsidR="00596A40" w:rsidRPr="00BA3F3D" w:rsidRDefault="00596A40" w:rsidP="00596A40">
      <w:pPr>
        <w:ind w:firstLine="720"/>
        <w:rPr>
          <w:rFonts w:eastAsiaTheme="minorHAnsi" w:cs="Times New Roman"/>
          <w:szCs w:val="22"/>
        </w:rPr>
      </w:pPr>
      <w:r w:rsidRPr="00BA3F3D">
        <w:rPr>
          <w:rFonts w:eastAsiaTheme="minorHAnsi" w:cs="Times New Roman"/>
          <w:szCs w:val="22"/>
        </w:rPr>
        <w:t>Broad-sense heritability (</w:t>
      </w:r>
      <w:r w:rsidRPr="00BA3F3D">
        <w:rPr>
          <w:rFonts w:eastAsiaTheme="minorHAnsi" w:cs="Times New Roman"/>
          <w:i/>
          <w:szCs w:val="22"/>
        </w:rPr>
        <w:t>H</w:t>
      </w:r>
      <w:r w:rsidRPr="00BA3F3D">
        <w:rPr>
          <w:rFonts w:eastAsiaTheme="minorHAnsi" w:cs="Times New Roman"/>
          <w:i/>
          <w:szCs w:val="22"/>
          <w:vertAlign w:val="superscript"/>
        </w:rPr>
        <w:t>2</w:t>
      </w:r>
      <w:r w:rsidRPr="00BA3F3D">
        <w:rPr>
          <w:rFonts w:eastAsiaTheme="minorHAnsi" w:cs="Times New Roman"/>
          <w:szCs w:val="22"/>
        </w:rPr>
        <w:t xml:space="preserve">) was estimated using the following formula: </w:t>
      </w:r>
    </w:p>
    <w:p w14:paraId="0DACB518" w14:textId="340AA69E" w:rsidR="00596A40" w:rsidRPr="00BA3F3D" w:rsidRDefault="00596A40" w:rsidP="00596A40">
      <w:pPr>
        <w:ind w:firstLine="720"/>
        <w:rPr>
          <w:rFonts w:eastAsiaTheme="minorHAnsi" w:cs="Times New Roman"/>
          <w:i/>
          <w:szCs w:val="22"/>
          <w:vertAlign w:val="subscript"/>
        </w:rPr>
      </w:pPr>
      <w:r w:rsidRPr="00BA3F3D">
        <w:rPr>
          <w:rFonts w:eastAsiaTheme="minorHAnsi" w:cs="Times New Roman"/>
          <w:i/>
          <w:szCs w:val="22"/>
        </w:rPr>
        <w:t>H</w:t>
      </w:r>
      <w:r w:rsidRPr="00BA3F3D">
        <w:rPr>
          <w:rFonts w:eastAsiaTheme="minorHAnsi" w:cs="Times New Roman"/>
          <w:i/>
          <w:szCs w:val="22"/>
          <w:vertAlign w:val="superscript"/>
        </w:rPr>
        <w:t>2</w:t>
      </w:r>
      <w:r w:rsidRPr="00BA3F3D">
        <w:rPr>
          <w:rFonts w:eastAsiaTheme="minorHAnsi" w:cs="Times New Roman"/>
          <w:i/>
          <w:szCs w:val="22"/>
        </w:rPr>
        <w:t xml:space="preserve"> = (σ</w:t>
      </w:r>
      <w:r w:rsidRPr="00BA3F3D">
        <w:rPr>
          <w:rFonts w:eastAsiaTheme="minorHAnsi" w:cs="Times New Roman"/>
          <w:i/>
          <w:szCs w:val="22"/>
          <w:vertAlign w:val="superscript"/>
        </w:rPr>
        <w:t>2</w:t>
      </w:r>
      <w:r w:rsidR="00893CD8">
        <w:rPr>
          <w:rFonts w:eastAsiaTheme="minorHAnsi" w:cs="Times New Roman"/>
          <w:i/>
          <w:szCs w:val="22"/>
          <w:vertAlign w:val="subscript"/>
        </w:rPr>
        <w:t>A</w:t>
      </w:r>
      <w:r w:rsidRPr="00BA3F3D">
        <w:rPr>
          <w:rFonts w:eastAsiaTheme="minorHAnsi" w:cs="Times New Roman"/>
          <w:i/>
          <w:szCs w:val="22"/>
          <w:vertAlign w:val="subscript"/>
        </w:rPr>
        <w:t xml:space="preserve">+ </w:t>
      </w:r>
      <w:r w:rsidRPr="00BA3F3D">
        <w:rPr>
          <w:rFonts w:eastAsiaTheme="minorHAnsi" w:cs="Times New Roman"/>
          <w:i/>
          <w:szCs w:val="22"/>
        </w:rPr>
        <w:t>σ</w:t>
      </w:r>
      <w:r w:rsidRPr="00BA3F3D">
        <w:rPr>
          <w:rFonts w:eastAsiaTheme="minorHAnsi" w:cs="Times New Roman"/>
          <w:i/>
          <w:szCs w:val="22"/>
          <w:vertAlign w:val="superscript"/>
        </w:rPr>
        <w:t>2</w:t>
      </w:r>
      <w:r w:rsidR="00893CD8">
        <w:rPr>
          <w:rFonts w:eastAsiaTheme="minorHAnsi" w:cs="Times New Roman"/>
          <w:i/>
          <w:szCs w:val="22"/>
          <w:vertAlign w:val="subscript"/>
        </w:rPr>
        <w:t>D</w:t>
      </w:r>
      <w:r w:rsidRPr="00BA3F3D">
        <w:rPr>
          <w:rFonts w:eastAsiaTheme="minorHAnsi" w:cs="Times New Roman"/>
          <w:i/>
          <w:szCs w:val="22"/>
        </w:rPr>
        <w:t>)/ σ</w:t>
      </w:r>
      <w:r w:rsidRPr="00BA3F3D">
        <w:rPr>
          <w:rFonts w:eastAsiaTheme="minorHAnsi" w:cs="Times New Roman"/>
          <w:i/>
          <w:szCs w:val="22"/>
          <w:vertAlign w:val="superscript"/>
        </w:rPr>
        <w:t>2</w:t>
      </w:r>
      <w:r w:rsidR="00893CD8">
        <w:rPr>
          <w:rFonts w:eastAsiaTheme="minorHAnsi" w:cs="Times New Roman"/>
          <w:i/>
          <w:szCs w:val="22"/>
          <w:vertAlign w:val="subscript"/>
        </w:rPr>
        <w:t>P</w:t>
      </w:r>
    </w:p>
    <w:p w14:paraId="35AC1417" w14:textId="39EF1B0E" w:rsidR="00596A40" w:rsidRPr="00BA3F3D" w:rsidRDefault="00596A40" w:rsidP="00596A40">
      <w:pPr>
        <w:ind w:firstLine="720"/>
        <w:rPr>
          <w:rFonts w:eastAsiaTheme="minorHAnsi" w:cs="Times New Roman"/>
          <w:szCs w:val="22"/>
        </w:rPr>
      </w:pPr>
      <w:r>
        <w:rPr>
          <w:rFonts w:eastAsiaTheme="minorHAnsi" w:cs="Times New Roman"/>
          <w:szCs w:val="22"/>
        </w:rPr>
        <w:t xml:space="preserve">To determine high parent heterosis, parents and progeny were included in the data set. High parent heterosis was calculated for all </w:t>
      </w:r>
      <w:r w:rsidR="005C423F">
        <w:rPr>
          <w:rFonts w:eastAsiaTheme="minorHAnsi" w:cs="Times New Roman"/>
          <w:szCs w:val="22"/>
        </w:rPr>
        <w:t xml:space="preserve">quantitative </w:t>
      </w:r>
      <w:r w:rsidR="00E04B5E">
        <w:rPr>
          <w:rFonts w:eastAsiaTheme="minorHAnsi" w:cs="Times New Roman"/>
          <w:szCs w:val="22"/>
        </w:rPr>
        <w:t>data</w:t>
      </w:r>
      <w:r w:rsidR="005C423F">
        <w:rPr>
          <w:rFonts w:eastAsiaTheme="minorHAnsi" w:cs="Times New Roman"/>
          <w:szCs w:val="22"/>
        </w:rPr>
        <w:t xml:space="preserve"> including</w:t>
      </w:r>
      <w:r>
        <w:rPr>
          <w:rFonts w:eastAsiaTheme="minorHAnsi" w:cs="Times New Roman"/>
          <w:szCs w:val="22"/>
        </w:rPr>
        <w:t xml:space="preserve"> biomass yield, predicted ethanol yield, plant height (fall and spring), tiller number, tiller diameter, and </w:t>
      </w:r>
      <w:r w:rsidR="00B8390A">
        <w:rPr>
          <w:rFonts w:eastAsiaTheme="minorHAnsi" w:cs="Times New Roman"/>
          <w:szCs w:val="22"/>
        </w:rPr>
        <w:t>leaf width</w:t>
      </w:r>
      <w:r>
        <w:rPr>
          <w:rFonts w:eastAsiaTheme="minorHAnsi" w:cs="Times New Roman"/>
          <w:szCs w:val="22"/>
        </w:rPr>
        <w:t xml:space="preserve">. </w:t>
      </w:r>
      <w:r w:rsidRPr="00BA3F3D">
        <w:rPr>
          <w:rFonts w:eastAsiaTheme="minorHAnsi" w:cs="Times New Roman"/>
          <w:szCs w:val="22"/>
        </w:rPr>
        <w:t>High-parent heterosis, defined as progeny performance relative to high parent plant performance, was calculated for each trait using the following formula:</w:t>
      </w:r>
    </w:p>
    <w:p w14:paraId="258B7CF1" w14:textId="41AECA8E" w:rsidR="00596A40" w:rsidRDefault="00596A40" w:rsidP="00596A40">
      <w:pPr>
        <w:ind w:firstLine="720"/>
        <w:rPr>
          <w:rFonts w:eastAsiaTheme="minorHAnsi" w:cs="Times New Roman"/>
          <w:szCs w:val="22"/>
        </w:rPr>
      </w:pPr>
      <w:r>
        <w:rPr>
          <w:rFonts w:eastAsiaTheme="minorHAnsi" w:cs="Times New Roman"/>
          <w:szCs w:val="22"/>
        </w:rPr>
        <w:lastRenderedPageBreak/>
        <w:t xml:space="preserve">High parent heterosis = Hybrid mean – High parent mean </w:t>
      </w:r>
      <w:r w:rsidR="00301182">
        <w:rPr>
          <w:rFonts w:eastAsiaTheme="minorHAnsi" w:cs="Times New Roman"/>
          <w:szCs w:val="22"/>
        </w:rPr>
        <w:fldChar w:fldCharType="begin"/>
      </w:r>
      <w:r>
        <w:rPr>
          <w:rFonts w:eastAsiaTheme="minorHAnsi" w:cs="Times New Roman"/>
          <w:szCs w:val="22"/>
        </w:rPr>
        <w:instrText xml:space="preserve"> ADDIN EN.CITE &lt;EndNote&gt;&lt;Cite&gt;&lt;Author&gt;Martinez-Reyna&lt;/Author&gt;&lt;Year&gt;2008&lt;/Year&gt;&lt;RecNum&gt;259&lt;/RecNum&gt;&lt;DisplayText&gt;(Martinez-Reyna and Vogel, 2008)&lt;/DisplayText&gt;&lt;record&gt;&lt;rec-number&gt;259&lt;/rec-number&gt;&lt;foreign-keys&gt;&lt;key app="EN" db-id="9zfxt259rawwvce0pfa5efeuatdw0pz5va5z" timestamp="1323887732"&gt;259&lt;/key&gt;&lt;/foreign-keys&gt;&lt;ref-type name="Journal Article"&gt;17&lt;/ref-type&gt;&lt;contributors&gt;&lt;authors&gt;&lt;author&gt;Martinez-Reyna, J.M.&lt;/author&gt;&lt;author&gt;Vogel, K.P.&lt;/author&gt;&lt;/authors&gt;&lt;/contributors&gt;&lt;titles&gt;&lt;title&gt;Heterosis in switchgrass:  Spaced plants&lt;/title&gt;&lt;secondary-title&gt;Crop Sci.&lt;/secondary-title&gt;&lt;/titles&gt;&lt;periodical&gt;&lt;full-title&gt;Crop Sci.&lt;/full-title&gt;&lt;/periodical&gt;&lt;pages&gt;1312-1320&lt;/pages&gt;&lt;volume&gt;48&lt;/volume&gt;&lt;section&gt;1312&lt;/section&gt;&lt;dates&gt;&lt;year&gt;2008&lt;/year&gt;&lt;/dates&gt;&lt;urls&gt;&lt;/urls&gt;&lt;/record&gt;&lt;/Cite&gt;&lt;/EndNote&gt;</w:instrText>
      </w:r>
      <w:r w:rsidR="00301182">
        <w:rPr>
          <w:rFonts w:eastAsiaTheme="minorHAnsi" w:cs="Times New Roman"/>
          <w:szCs w:val="22"/>
        </w:rPr>
        <w:fldChar w:fldCharType="separate"/>
      </w:r>
      <w:r>
        <w:rPr>
          <w:rFonts w:eastAsiaTheme="minorHAnsi" w:cs="Times New Roman"/>
          <w:noProof/>
          <w:szCs w:val="22"/>
        </w:rPr>
        <w:t>(</w:t>
      </w:r>
      <w:hyperlink w:anchor="_ENREF_68" w:tooltip="Martinez-Reyna, 2008 #259" w:history="1">
        <w:r w:rsidR="00FB5014">
          <w:rPr>
            <w:rFonts w:eastAsiaTheme="minorHAnsi" w:cs="Times New Roman"/>
            <w:noProof/>
            <w:szCs w:val="22"/>
          </w:rPr>
          <w:t>Martinez-Reyna and Vogel, 2008</w:t>
        </w:r>
      </w:hyperlink>
      <w:r>
        <w:rPr>
          <w:rFonts w:eastAsiaTheme="minorHAnsi" w:cs="Times New Roman"/>
          <w:noProof/>
          <w:szCs w:val="22"/>
        </w:rPr>
        <w:t>)</w:t>
      </w:r>
      <w:r w:rsidR="00301182">
        <w:rPr>
          <w:rFonts w:eastAsiaTheme="minorHAnsi" w:cs="Times New Roman"/>
          <w:szCs w:val="22"/>
        </w:rPr>
        <w:fldChar w:fldCharType="end"/>
      </w:r>
    </w:p>
    <w:p w14:paraId="7344E112" w14:textId="7053952B" w:rsidR="00596A40" w:rsidRDefault="00596A40" w:rsidP="00596A40">
      <w:pPr>
        <w:rPr>
          <w:rFonts w:eastAsiaTheme="minorHAnsi" w:cs="Times New Roman"/>
          <w:szCs w:val="22"/>
        </w:rPr>
      </w:pPr>
      <w:r>
        <w:rPr>
          <w:rFonts w:eastAsiaTheme="minorHAnsi" w:cs="Times New Roman"/>
          <w:szCs w:val="22"/>
        </w:rPr>
        <w:t xml:space="preserve">Using this formula allowed for heterosis to be analyzed using mean separation statistics. </w:t>
      </w:r>
      <w:r w:rsidR="00AB2B26" w:rsidRPr="00A4101C">
        <w:rPr>
          <w:rFonts w:eastAsiaTheme="minorHAnsi" w:cs="Times New Roman"/>
        </w:rPr>
        <w:t xml:space="preserve">Data were analyzed </w:t>
      </w:r>
      <w:r w:rsidR="00AB2B26">
        <w:rPr>
          <w:rFonts w:eastAsiaTheme="minorHAnsi" w:cs="Times New Roman"/>
        </w:rPr>
        <w:t>with</w:t>
      </w:r>
      <w:r w:rsidR="00AB2B26" w:rsidRPr="00A4101C">
        <w:rPr>
          <w:rFonts w:eastAsiaTheme="minorHAnsi" w:cs="Times New Roman"/>
        </w:rPr>
        <w:t xml:space="preserve"> the </w:t>
      </w:r>
      <w:r w:rsidR="00AB2B26">
        <w:rPr>
          <w:rFonts w:eastAsiaTheme="minorHAnsi" w:cs="Times New Roman"/>
        </w:rPr>
        <w:t>GLIMMIX</w:t>
      </w:r>
      <w:r w:rsidR="00AB2B26" w:rsidRPr="00A4101C">
        <w:rPr>
          <w:rFonts w:eastAsiaTheme="minorHAnsi" w:cs="Times New Roman"/>
        </w:rPr>
        <w:t xml:space="preserve"> procedure in SAS </w:t>
      </w:r>
      <w:r w:rsidR="00AB2B26">
        <w:rPr>
          <w:rFonts w:eastAsiaTheme="minorHAnsi" w:cs="Times New Roman"/>
        </w:rPr>
        <w:t>using</w:t>
      </w:r>
      <w:r w:rsidR="00AB2B26" w:rsidRPr="00A4101C">
        <w:rPr>
          <w:rFonts w:eastAsiaTheme="minorHAnsi" w:cs="Times New Roman"/>
        </w:rPr>
        <w:t xml:space="preserve"> the same model defined </w:t>
      </w:r>
      <w:r w:rsidR="00AB2B26">
        <w:rPr>
          <w:rFonts w:eastAsiaTheme="minorHAnsi" w:cs="Times New Roman"/>
        </w:rPr>
        <w:t>above but with GCA and SCA specified as fixed effects and the remaining effects specified as random.</w:t>
      </w:r>
      <w:r>
        <w:rPr>
          <w:rFonts w:eastAsiaTheme="minorHAnsi" w:cs="Times New Roman"/>
          <w:szCs w:val="22"/>
        </w:rPr>
        <w:t xml:space="preserve"> </w:t>
      </w:r>
    </w:p>
    <w:p w14:paraId="347B603B" w14:textId="24EDBD82" w:rsidR="00596A40" w:rsidRPr="00BA3F3D" w:rsidRDefault="00596A40" w:rsidP="00596A40">
      <w:pPr>
        <w:ind w:firstLine="720"/>
        <w:rPr>
          <w:rFonts w:eastAsiaTheme="minorHAnsi" w:cs="Times New Roman"/>
          <w:szCs w:val="22"/>
        </w:rPr>
      </w:pPr>
      <w:r>
        <w:rPr>
          <w:rFonts w:eastAsiaTheme="minorHAnsi"/>
          <w:szCs w:val="22"/>
        </w:rPr>
        <w:t>To evaluate the efficacy of early selection, t</w:t>
      </w:r>
      <w:r w:rsidRPr="00BB185F">
        <w:rPr>
          <w:rFonts w:eastAsiaTheme="minorHAnsi"/>
          <w:szCs w:val="22"/>
        </w:rPr>
        <w:t xml:space="preserve">he top yielding </w:t>
      </w:r>
      <w:r w:rsidR="00A7228E">
        <w:rPr>
          <w:rFonts w:eastAsiaTheme="minorHAnsi"/>
          <w:szCs w:val="22"/>
        </w:rPr>
        <w:t>3</w:t>
      </w:r>
      <w:r w:rsidRPr="00BB185F">
        <w:rPr>
          <w:rFonts w:eastAsiaTheme="minorHAnsi"/>
          <w:szCs w:val="22"/>
        </w:rPr>
        <w:t xml:space="preserve">0% of lines and crosses were selected within each year and matched to corresponding second year biomass and </w:t>
      </w:r>
      <w:r w:rsidR="00BA0C43">
        <w:rPr>
          <w:rFonts w:eastAsiaTheme="minorHAnsi"/>
          <w:szCs w:val="22"/>
        </w:rPr>
        <w:t xml:space="preserve">predicted </w:t>
      </w:r>
      <w:r w:rsidRPr="00BB185F">
        <w:rPr>
          <w:rFonts w:eastAsiaTheme="minorHAnsi"/>
          <w:szCs w:val="22"/>
        </w:rPr>
        <w:t xml:space="preserve">ethanol </w:t>
      </w:r>
      <w:r w:rsidR="00E04B5E">
        <w:rPr>
          <w:rFonts w:eastAsiaTheme="minorHAnsi"/>
          <w:szCs w:val="22"/>
        </w:rPr>
        <w:t xml:space="preserve">yield </w:t>
      </w:r>
      <w:r w:rsidRPr="00BB185F">
        <w:rPr>
          <w:rFonts w:eastAsiaTheme="minorHAnsi"/>
          <w:szCs w:val="22"/>
        </w:rPr>
        <w:t>values to compare the performance at maturity of each set of selections: juvenile (YJ), first year (Y1), and second year (Y2).</w:t>
      </w:r>
      <w:r>
        <w:rPr>
          <w:rFonts w:eastAsiaTheme="minorHAnsi"/>
          <w:szCs w:val="22"/>
        </w:rPr>
        <w:t xml:space="preserve"> Performance of each select</w:t>
      </w:r>
      <w:r w:rsidR="00BA0C43">
        <w:rPr>
          <w:rFonts w:eastAsiaTheme="minorHAnsi"/>
          <w:szCs w:val="22"/>
        </w:rPr>
        <w:t>ed</w:t>
      </w:r>
      <w:r>
        <w:rPr>
          <w:rFonts w:eastAsiaTheme="minorHAnsi"/>
          <w:szCs w:val="22"/>
        </w:rPr>
        <w:t xml:space="preserve"> set was compared using ANOVA with means separated using Tukey’s HSD</w:t>
      </w:r>
      <w:r w:rsidR="00954DB7">
        <w:rPr>
          <w:rFonts w:eastAsiaTheme="minorHAnsi"/>
          <w:szCs w:val="22"/>
        </w:rPr>
        <w:t xml:space="preserve">. </w:t>
      </w:r>
      <w:r w:rsidRPr="00BB185F">
        <w:rPr>
          <w:rFonts w:eastAsiaTheme="minorHAnsi"/>
          <w:szCs w:val="22"/>
        </w:rPr>
        <w:t xml:space="preserve"> </w:t>
      </w:r>
    </w:p>
    <w:p w14:paraId="7C279876" w14:textId="77777777" w:rsidR="00596A40" w:rsidRPr="00BA3F3D" w:rsidRDefault="00596A40" w:rsidP="009B24A0">
      <w:pPr>
        <w:pStyle w:val="Heading2"/>
        <w:rPr>
          <w:rFonts w:eastAsiaTheme="minorHAnsi"/>
        </w:rPr>
      </w:pPr>
      <w:bookmarkStart w:id="61" w:name="_Toc404069839"/>
      <w:bookmarkStart w:id="62" w:name="_Toc314822670"/>
      <w:r>
        <w:rPr>
          <w:rFonts w:eastAsiaTheme="minorHAnsi"/>
        </w:rPr>
        <w:t>Results and Discussion</w:t>
      </w:r>
      <w:bookmarkEnd w:id="61"/>
    </w:p>
    <w:p w14:paraId="1610EFB0" w14:textId="77777777" w:rsidR="00BA0C43" w:rsidRDefault="00BA0C43" w:rsidP="00BA0C43">
      <w:pPr>
        <w:pStyle w:val="Heading3"/>
        <w:rPr>
          <w:rFonts w:eastAsiaTheme="minorHAnsi" w:cs="Times New Roman"/>
        </w:rPr>
      </w:pPr>
      <w:bookmarkStart w:id="63" w:name="_Toc404069840"/>
      <w:r>
        <w:rPr>
          <w:rFonts w:eastAsiaTheme="minorHAnsi" w:cs="Times New Roman"/>
        </w:rPr>
        <w:t>Means</w:t>
      </w:r>
      <w:r w:rsidR="00D5280E">
        <w:rPr>
          <w:rFonts w:eastAsiaTheme="minorHAnsi" w:cs="Times New Roman"/>
        </w:rPr>
        <w:t xml:space="preserve"> of </w:t>
      </w:r>
      <w:r w:rsidR="00924DB0">
        <w:rPr>
          <w:rFonts w:eastAsiaTheme="minorHAnsi" w:cs="Times New Roman"/>
        </w:rPr>
        <w:t>Measured T</w:t>
      </w:r>
      <w:r w:rsidR="00D5280E">
        <w:rPr>
          <w:rFonts w:eastAsiaTheme="minorHAnsi" w:cs="Times New Roman"/>
        </w:rPr>
        <w:t>raits</w:t>
      </w:r>
      <w:r w:rsidR="00924DB0">
        <w:rPr>
          <w:rFonts w:eastAsiaTheme="minorHAnsi" w:cs="Times New Roman"/>
        </w:rPr>
        <w:t xml:space="preserve"> by Location and Year</w:t>
      </w:r>
      <w:bookmarkEnd w:id="63"/>
    </w:p>
    <w:p w14:paraId="22C8007E" w14:textId="77777777" w:rsidR="0071032E" w:rsidRPr="0071032E" w:rsidRDefault="0071032E" w:rsidP="0071032E">
      <w:pPr>
        <w:pStyle w:val="Subtitle"/>
      </w:pPr>
      <w:r>
        <w:t>Biomass Yield</w:t>
      </w:r>
    </w:p>
    <w:p w14:paraId="6DC7952C" w14:textId="2F6E7581" w:rsidR="0091081B" w:rsidRDefault="00BA0C43" w:rsidP="00770529">
      <w:pPr>
        <w:rPr>
          <w:rFonts w:eastAsiaTheme="minorHAnsi"/>
        </w:rPr>
      </w:pPr>
      <w:r>
        <w:rPr>
          <w:rFonts w:eastAsiaTheme="minorHAnsi"/>
        </w:rPr>
        <w:tab/>
        <w:t xml:space="preserve">Mean biomass yield </w:t>
      </w:r>
      <w:r w:rsidR="00770529">
        <w:rPr>
          <w:rFonts w:eastAsiaTheme="minorHAnsi"/>
        </w:rPr>
        <w:t>across</w:t>
      </w:r>
      <w:r w:rsidR="00DB2487">
        <w:rPr>
          <w:rFonts w:eastAsiaTheme="minorHAnsi"/>
        </w:rPr>
        <w:t xml:space="preserve"> F1</w:t>
      </w:r>
      <w:r>
        <w:rPr>
          <w:rFonts w:eastAsiaTheme="minorHAnsi"/>
        </w:rPr>
        <w:t xml:space="preserve"> </w:t>
      </w:r>
      <w:r w:rsidR="00DB2487">
        <w:rPr>
          <w:rFonts w:eastAsiaTheme="minorHAnsi"/>
        </w:rPr>
        <w:t>populations</w:t>
      </w:r>
      <w:r>
        <w:rPr>
          <w:rFonts w:eastAsiaTheme="minorHAnsi"/>
        </w:rPr>
        <w:t xml:space="preserve"> differed significantly by year (</w:t>
      </w:r>
      <w:r w:rsidR="00B7572A">
        <w:rPr>
          <w:rFonts w:eastAsiaTheme="minorHAnsi"/>
        </w:rPr>
        <w:t xml:space="preserve">P </w:t>
      </w:r>
      <w:r w:rsidR="009021A8">
        <w:rPr>
          <w:rFonts w:eastAsiaTheme="minorHAnsi"/>
        </w:rPr>
        <w:t xml:space="preserve">&lt; </w:t>
      </w:r>
      <w:r>
        <w:rPr>
          <w:rFonts w:eastAsiaTheme="minorHAnsi"/>
        </w:rPr>
        <w:t>0.001)</w:t>
      </w:r>
      <w:r w:rsidR="00924DB0">
        <w:rPr>
          <w:rFonts w:eastAsiaTheme="minorHAnsi"/>
        </w:rPr>
        <w:t xml:space="preserve"> but not by location (Figure 2-1 A)</w:t>
      </w:r>
      <w:r w:rsidR="009021A8" w:rsidRPr="009021A8">
        <w:rPr>
          <w:rFonts w:cs="Times New Roman"/>
        </w:rPr>
        <w:t xml:space="preserve"> </w:t>
      </w:r>
      <w:r w:rsidR="009021A8">
        <w:rPr>
          <w:rFonts w:cs="Times New Roman"/>
        </w:rPr>
        <w:t xml:space="preserve">(All tables and figures are located in </w:t>
      </w:r>
      <w:r w:rsidR="005C423F">
        <w:rPr>
          <w:rFonts w:cs="Times New Roman"/>
        </w:rPr>
        <w:t>A</w:t>
      </w:r>
      <w:r w:rsidR="009021A8">
        <w:rPr>
          <w:rFonts w:cs="Times New Roman"/>
        </w:rPr>
        <w:t>ppendix</w:t>
      </w:r>
      <w:r w:rsidR="005C423F">
        <w:rPr>
          <w:rFonts w:cs="Times New Roman"/>
        </w:rPr>
        <w:t xml:space="preserve"> II</w:t>
      </w:r>
      <w:r w:rsidR="009021A8">
        <w:rPr>
          <w:rFonts w:cs="Times New Roman"/>
        </w:rPr>
        <w:t>).</w:t>
      </w:r>
      <w:r>
        <w:rPr>
          <w:rFonts w:eastAsiaTheme="minorHAnsi"/>
        </w:rPr>
        <w:t xml:space="preserve"> Mean biomass in 2012 was 95 g plant</w:t>
      </w:r>
      <w:r>
        <w:rPr>
          <w:rFonts w:eastAsiaTheme="minorHAnsi"/>
          <w:vertAlign w:val="superscript"/>
        </w:rPr>
        <w:t>-1</w:t>
      </w:r>
      <w:r>
        <w:rPr>
          <w:rFonts w:eastAsiaTheme="minorHAnsi"/>
        </w:rPr>
        <w:t xml:space="preserve"> while mean biomass</w:t>
      </w:r>
      <w:r w:rsidR="00924DB0">
        <w:rPr>
          <w:rFonts w:eastAsiaTheme="minorHAnsi"/>
        </w:rPr>
        <w:t xml:space="preserve"> in 2013 was much higher at 1061 </w:t>
      </w:r>
      <w:r>
        <w:rPr>
          <w:rFonts w:eastAsiaTheme="minorHAnsi"/>
        </w:rPr>
        <w:t>g plant</w:t>
      </w:r>
      <w:r>
        <w:rPr>
          <w:rFonts w:eastAsiaTheme="minorHAnsi"/>
          <w:vertAlign w:val="superscript"/>
        </w:rPr>
        <w:t>-1</w:t>
      </w:r>
      <w:r>
        <w:rPr>
          <w:rFonts w:eastAsiaTheme="minorHAnsi"/>
        </w:rPr>
        <w:t xml:space="preserve">. </w:t>
      </w:r>
      <w:r w:rsidR="0091081B">
        <w:rPr>
          <w:rFonts w:eastAsiaTheme="minorHAnsi"/>
        </w:rPr>
        <w:t>Values ranged from 0.1 to 690 g plant</w:t>
      </w:r>
      <w:r w:rsidR="0091081B">
        <w:rPr>
          <w:rFonts w:eastAsiaTheme="minorHAnsi"/>
          <w:vertAlign w:val="superscript"/>
        </w:rPr>
        <w:t>-1</w:t>
      </w:r>
      <w:r w:rsidR="0091081B">
        <w:rPr>
          <w:rFonts w:eastAsiaTheme="minorHAnsi"/>
        </w:rPr>
        <w:t xml:space="preserve"> in 2012 to 2.7 to 5139 g plant</w:t>
      </w:r>
      <w:r w:rsidR="0091081B">
        <w:rPr>
          <w:rFonts w:eastAsiaTheme="minorHAnsi"/>
          <w:vertAlign w:val="superscript"/>
        </w:rPr>
        <w:t>-1</w:t>
      </w:r>
      <w:r w:rsidR="0091081B">
        <w:rPr>
          <w:rFonts w:eastAsiaTheme="minorHAnsi"/>
        </w:rPr>
        <w:t xml:space="preserve"> in 2013</w:t>
      </w:r>
      <w:r w:rsidR="00954DB7">
        <w:rPr>
          <w:rFonts w:eastAsiaTheme="minorHAnsi"/>
        </w:rPr>
        <w:t xml:space="preserve">. </w:t>
      </w:r>
    </w:p>
    <w:p w14:paraId="1CB2AA0E" w14:textId="73B5E6E3" w:rsidR="00BA0C43" w:rsidRDefault="00770529" w:rsidP="0091081B">
      <w:pPr>
        <w:ind w:firstLine="720"/>
        <w:rPr>
          <w:rFonts w:eastAsiaTheme="minorHAnsi"/>
        </w:rPr>
      </w:pPr>
      <w:r>
        <w:rPr>
          <w:rFonts w:eastAsiaTheme="minorHAnsi"/>
        </w:rPr>
        <w:t>Unlike biomass yield, m</w:t>
      </w:r>
      <w:r w:rsidR="00BA0C43">
        <w:rPr>
          <w:rFonts w:eastAsiaTheme="minorHAnsi"/>
        </w:rPr>
        <w:t xml:space="preserve">ean predicted ethanol yield </w:t>
      </w:r>
      <w:r>
        <w:rPr>
          <w:rFonts w:eastAsiaTheme="minorHAnsi"/>
        </w:rPr>
        <w:t>across F1 populations did not differ significantly by either location or year (Figure 2-1 B)</w:t>
      </w:r>
      <w:r w:rsidR="00954DB7">
        <w:rPr>
          <w:rFonts w:eastAsiaTheme="minorHAnsi"/>
        </w:rPr>
        <w:t xml:space="preserve">. </w:t>
      </w:r>
      <w:r w:rsidR="00BC0222">
        <w:rPr>
          <w:rFonts w:eastAsiaTheme="minorHAnsi"/>
        </w:rPr>
        <w:t xml:space="preserve">Values ranged from </w:t>
      </w:r>
      <w:r w:rsidR="0091081B">
        <w:rPr>
          <w:rFonts w:eastAsiaTheme="minorHAnsi"/>
        </w:rPr>
        <w:t>37</w:t>
      </w:r>
      <w:r w:rsidR="00BC0222">
        <w:rPr>
          <w:rFonts w:eastAsiaTheme="minorHAnsi"/>
        </w:rPr>
        <w:t xml:space="preserve"> to </w:t>
      </w:r>
      <w:r w:rsidR="0091081B">
        <w:rPr>
          <w:rFonts w:eastAsiaTheme="minorHAnsi"/>
        </w:rPr>
        <w:t>95</w:t>
      </w:r>
      <w:r w:rsidR="00BC0222">
        <w:rPr>
          <w:rFonts w:eastAsiaTheme="minorHAnsi"/>
        </w:rPr>
        <w:t xml:space="preserve"> mg g</w:t>
      </w:r>
      <w:r w:rsidR="00BC0222">
        <w:rPr>
          <w:rFonts w:eastAsiaTheme="minorHAnsi"/>
          <w:vertAlign w:val="superscript"/>
        </w:rPr>
        <w:t>-1</w:t>
      </w:r>
      <w:r w:rsidR="00BC0222">
        <w:rPr>
          <w:rFonts w:eastAsiaTheme="minorHAnsi"/>
        </w:rPr>
        <w:t xml:space="preserve">. This range is </w:t>
      </w:r>
      <w:r w:rsidR="00BA1BE3">
        <w:rPr>
          <w:rFonts w:eastAsiaTheme="minorHAnsi"/>
        </w:rPr>
        <w:t>a little wider than</w:t>
      </w:r>
      <w:r w:rsidR="00BC0222">
        <w:rPr>
          <w:rFonts w:eastAsiaTheme="minorHAnsi"/>
        </w:rPr>
        <w:t xml:space="preserve"> that observed by </w:t>
      </w:r>
      <w:hyperlink w:anchor="_ENREF_86" w:tooltip="Sarath, 2011 #320" w:history="1">
        <w:r w:rsidR="00FB5014">
          <w:rPr>
            <w:rFonts w:eastAsiaTheme="minorHAnsi"/>
          </w:rPr>
          <w:fldChar w:fldCharType="begin"/>
        </w:r>
        <w:r w:rsidR="00FB5014">
          <w:rPr>
            <w:rFonts w:eastAsiaTheme="minorHAnsi"/>
          </w:rPr>
          <w:instrText xml:space="preserve"> ADDIN EN.CITE &lt;EndNote&gt;&lt;Cite AuthorYear="1"&gt;&lt;Author&gt;Sarath&lt;/Author&gt;&lt;Year&gt;2011&lt;/Year&gt;&lt;RecNum&gt;320&lt;/RecNum&gt;&lt;DisplayText&gt;Sarath et al. (2011)&lt;/DisplayText&gt;&lt;record&gt;&lt;rec-number&gt;320&lt;/rec-number&gt;&lt;foreign-keys&gt;&lt;key app="EN" db-id="9zfxt259rawwvce0pfa5efeuatdw0pz5va5z" timestamp="1411767014"&gt;320&lt;/key&gt;&lt;/foreign-keys&gt;&lt;ref-type name="Journal Article"&gt;17&lt;/ref-type&gt;&lt;contributors&gt;&lt;authors&gt;&lt;author&gt;Sarath, G.&lt;/author&gt;&lt;author&gt;Dien, B. &lt;/author&gt;&lt;author&gt;Saathoff, A.J.&lt;/author&gt;&lt;author&gt;Vogel, K.P.&lt;/author&gt;&lt;author&gt;Mitchell, R.B.&lt;/author&gt;&lt;author&gt;Chen, H.&lt;/author&gt;&lt;/authors&gt;&lt;/contributors&gt;&lt;titles&gt;&lt;title&gt;Ethanol yields and cell wall properties in divergently bred switchgrass genotypes&lt;/title&gt;&lt;secondary-title&gt;Bioresource Technology&lt;/secondary-title&gt;&lt;/titles&gt;&lt;periodical&gt;&lt;full-title&gt;Bioresource Technology&lt;/full-title&gt;&lt;/periodical&gt;&lt;pages&gt;9579-9585&lt;/pages&gt;&lt;volume&gt;102&lt;/volume&gt;&lt;section&gt;9579&lt;/section&gt;&lt;dates&gt;&lt;year&gt;2011&lt;/year&gt;&lt;/dates&gt;&lt;urls&gt;&lt;/urls&gt;&lt;/record&gt;&lt;/Cite&gt;&lt;/EndNote&gt;</w:instrText>
        </w:r>
        <w:r w:rsidR="00FB5014">
          <w:rPr>
            <w:rFonts w:eastAsiaTheme="minorHAnsi"/>
          </w:rPr>
          <w:fldChar w:fldCharType="separate"/>
        </w:r>
        <w:r w:rsidR="00FB5014">
          <w:rPr>
            <w:rFonts w:eastAsiaTheme="minorHAnsi"/>
            <w:noProof/>
          </w:rPr>
          <w:t>Sarath et al. (2011)</w:t>
        </w:r>
        <w:r w:rsidR="00FB5014">
          <w:rPr>
            <w:rFonts w:eastAsiaTheme="minorHAnsi"/>
          </w:rPr>
          <w:fldChar w:fldCharType="end"/>
        </w:r>
      </w:hyperlink>
      <w:r w:rsidR="00BC0222">
        <w:rPr>
          <w:rFonts w:eastAsiaTheme="minorHAnsi"/>
        </w:rPr>
        <w:t xml:space="preserve"> who examined ethanol yield in octaploid switchgrass genotypes divergently bred for ruminant digestibility genotypes (48.6 </w:t>
      </w:r>
      <w:r w:rsidR="00BA1BE3">
        <w:rPr>
          <w:rFonts w:eastAsiaTheme="minorHAnsi"/>
        </w:rPr>
        <w:t xml:space="preserve">to </w:t>
      </w:r>
      <w:r w:rsidR="00BC0222">
        <w:rPr>
          <w:rFonts w:eastAsiaTheme="minorHAnsi"/>
        </w:rPr>
        <w:t>72.4 mg g</w:t>
      </w:r>
      <w:r w:rsidR="00BC0222">
        <w:rPr>
          <w:rFonts w:eastAsiaTheme="minorHAnsi"/>
          <w:vertAlign w:val="superscript"/>
        </w:rPr>
        <w:t>-1</w:t>
      </w:r>
      <w:r w:rsidR="00BC0222">
        <w:rPr>
          <w:rFonts w:eastAsiaTheme="minorHAnsi"/>
        </w:rPr>
        <w:t>)</w:t>
      </w:r>
      <w:r w:rsidR="00954DB7">
        <w:rPr>
          <w:rFonts w:eastAsiaTheme="minorHAnsi"/>
        </w:rPr>
        <w:t xml:space="preserve">. </w:t>
      </w:r>
    </w:p>
    <w:p w14:paraId="0D329250" w14:textId="6D6F474F" w:rsidR="006266E6" w:rsidRDefault="00AE46A7" w:rsidP="006266E6">
      <w:pPr>
        <w:pStyle w:val="Subtitle"/>
        <w:rPr>
          <w:rFonts w:eastAsiaTheme="minorHAnsi"/>
        </w:rPr>
      </w:pPr>
      <w:r>
        <w:rPr>
          <w:rFonts w:eastAsiaTheme="minorHAnsi"/>
        </w:rPr>
        <w:lastRenderedPageBreak/>
        <w:t>Mor</w:t>
      </w:r>
      <w:r w:rsidR="006266E6">
        <w:rPr>
          <w:rFonts w:eastAsiaTheme="minorHAnsi"/>
        </w:rPr>
        <w:t>phological Traits</w:t>
      </w:r>
    </w:p>
    <w:p w14:paraId="6823B584" w14:textId="14F3374E" w:rsidR="00BA0C43" w:rsidRDefault="00BA1BE3" w:rsidP="00850273">
      <w:pPr>
        <w:ind w:firstLine="720"/>
        <w:rPr>
          <w:rFonts w:eastAsiaTheme="minorHAnsi"/>
        </w:rPr>
      </w:pPr>
      <w:r>
        <w:rPr>
          <w:rFonts w:eastAsiaTheme="minorHAnsi"/>
        </w:rPr>
        <w:t>M</w:t>
      </w:r>
      <w:r w:rsidR="00BA0C43">
        <w:rPr>
          <w:rFonts w:eastAsiaTheme="minorHAnsi"/>
        </w:rPr>
        <w:t xml:space="preserve">ean fall height </w:t>
      </w:r>
      <w:r>
        <w:rPr>
          <w:rFonts w:eastAsiaTheme="minorHAnsi"/>
        </w:rPr>
        <w:t>and mean spring height for F1 populatio</w:t>
      </w:r>
      <w:r w:rsidR="00DB2487">
        <w:rPr>
          <w:rFonts w:eastAsiaTheme="minorHAnsi"/>
        </w:rPr>
        <w:t>ns</w:t>
      </w:r>
      <w:r w:rsidR="00BA0C43">
        <w:rPr>
          <w:rFonts w:eastAsiaTheme="minorHAnsi"/>
        </w:rPr>
        <w:t xml:space="preserve"> differed significantly by year (</w:t>
      </w:r>
      <w:r w:rsidR="00B7572A">
        <w:rPr>
          <w:rFonts w:eastAsiaTheme="minorHAnsi"/>
        </w:rPr>
        <w:t xml:space="preserve">P </w:t>
      </w:r>
      <w:r w:rsidR="009021A8">
        <w:rPr>
          <w:rFonts w:eastAsiaTheme="minorHAnsi"/>
        </w:rPr>
        <w:t xml:space="preserve">&lt; </w:t>
      </w:r>
      <w:r w:rsidR="00BA0C43">
        <w:rPr>
          <w:rFonts w:eastAsiaTheme="minorHAnsi"/>
        </w:rPr>
        <w:t xml:space="preserve">0.001) </w:t>
      </w:r>
      <w:r>
        <w:rPr>
          <w:rFonts w:eastAsiaTheme="minorHAnsi"/>
        </w:rPr>
        <w:t>and by location (</w:t>
      </w:r>
      <w:r w:rsidR="00B7572A">
        <w:rPr>
          <w:rFonts w:eastAsiaTheme="minorHAnsi"/>
        </w:rPr>
        <w:t xml:space="preserve">P </w:t>
      </w:r>
      <w:r w:rsidR="009021A8">
        <w:rPr>
          <w:rFonts w:eastAsiaTheme="minorHAnsi"/>
        </w:rPr>
        <w:t xml:space="preserve">&lt; </w:t>
      </w:r>
      <w:r>
        <w:rPr>
          <w:rFonts w:eastAsiaTheme="minorHAnsi"/>
        </w:rPr>
        <w:t>0.05) with a significant year by location interaction (</w:t>
      </w:r>
      <w:r w:rsidR="00B7572A">
        <w:rPr>
          <w:rFonts w:eastAsiaTheme="minorHAnsi"/>
        </w:rPr>
        <w:t xml:space="preserve">P </w:t>
      </w:r>
      <w:r w:rsidR="009021A8">
        <w:rPr>
          <w:rFonts w:eastAsiaTheme="minorHAnsi"/>
        </w:rPr>
        <w:t xml:space="preserve">&lt; </w:t>
      </w:r>
      <w:r>
        <w:rPr>
          <w:rFonts w:eastAsiaTheme="minorHAnsi"/>
        </w:rPr>
        <w:t>0.05) (Figure 2-1 C)</w:t>
      </w:r>
      <w:r w:rsidR="00954DB7">
        <w:rPr>
          <w:rFonts w:eastAsiaTheme="minorHAnsi"/>
        </w:rPr>
        <w:t xml:space="preserve">. </w:t>
      </w:r>
      <w:r w:rsidR="005C423F">
        <w:rPr>
          <w:rFonts w:eastAsiaTheme="minorHAnsi"/>
        </w:rPr>
        <w:t>F1 populations</w:t>
      </w:r>
      <w:r>
        <w:rPr>
          <w:rFonts w:eastAsiaTheme="minorHAnsi"/>
        </w:rPr>
        <w:t xml:space="preserve"> were significantly taller in the fall of 2013 (</w:t>
      </w:r>
      <w:r>
        <w:rPr>
          <w:rFonts w:eastAsiaTheme="minorHAnsi" w:cs="Times New Roman"/>
        </w:rPr>
        <w:t>x̅</w:t>
      </w:r>
      <w:r w:rsidR="005C423F">
        <w:rPr>
          <w:rFonts w:eastAsiaTheme="minorHAnsi" w:cs="Times New Roman"/>
          <w:vertAlign w:val="subscript"/>
        </w:rPr>
        <w:t>2013</w:t>
      </w:r>
      <w:r>
        <w:rPr>
          <w:rFonts w:eastAsiaTheme="minorHAnsi" w:cs="Times New Roman"/>
        </w:rPr>
        <w:t xml:space="preserve"> = 200 cm)</w:t>
      </w:r>
      <w:r>
        <w:rPr>
          <w:rFonts w:eastAsiaTheme="minorHAnsi"/>
        </w:rPr>
        <w:t xml:space="preserve"> compared to the fall of 2012 (</w:t>
      </w:r>
      <w:r>
        <w:rPr>
          <w:rFonts w:eastAsiaTheme="minorHAnsi" w:cs="Times New Roman"/>
        </w:rPr>
        <w:t>x̅</w:t>
      </w:r>
      <w:r w:rsidR="005C423F">
        <w:rPr>
          <w:rFonts w:eastAsiaTheme="minorHAnsi" w:cs="Times New Roman"/>
          <w:vertAlign w:val="subscript"/>
        </w:rPr>
        <w:t>2012</w:t>
      </w:r>
      <w:r>
        <w:rPr>
          <w:rFonts w:eastAsiaTheme="minorHAnsi" w:cs="Times New Roman"/>
        </w:rPr>
        <w:t xml:space="preserve"> = 114 cm)</w:t>
      </w:r>
      <w:r>
        <w:rPr>
          <w:rFonts w:eastAsiaTheme="minorHAnsi"/>
        </w:rPr>
        <w:t xml:space="preserve">. While no differences were observed between locations in 2013, in 2012, plants at the Knoxville location were 10 cm taller on average compared to the Crossville location. In 2012, fall height ranged from 2.54 to 208 cm, while in 2013, fall height ranged from </w:t>
      </w:r>
      <w:r w:rsidR="00AE46A7">
        <w:rPr>
          <w:rFonts w:eastAsiaTheme="minorHAnsi"/>
        </w:rPr>
        <w:t>24 to 302 cm. For spring height</w:t>
      </w:r>
      <w:r>
        <w:rPr>
          <w:rFonts w:eastAsiaTheme="minorHAnsi"/>
        </w:rPr>
        <w:t>, the Knoxville location had taller plants compared to the Crossville location in both 2012 and 2013 (Figure 2-1 D). Plants were also shorter in 2014</w:t>
      </w:r>
      <w:r w:rsidR="00850273">
        <w:rPr>
          <w:rFonts w:eastAsiaTheme="minorHAnsi"/>
        </w:rPr>
        <w:t xml:space="preserve"> (</w:t>
      </w:r>
      <w:r w:rsidR="00850273">
        <w:rPr>
          <w:rFonts w:eastAsiaTheme="minorHAnsi" w:cs="Times New Roman"/>
        </w:rPr>
        <w:t>x̅</w:t>
      </w:r>
      <w:r w:rsidR="005C423F">
        <w:rPr>
          <w:rFonts w:eastAsiaTheme="minorHAnsi" w:cs="Times New Roman"/>
          <w:vertAlign w:val="subscript"/>
        </w:rPr>
        <w:t>2014</w:t>
      </w:r>
      <w:r w:rsidR="00850273">
        <w:rPr>
          <w:rFonts w:eastAsiaTheme="minorHAnsi" w:cs="Times New Roman"/>
        </w:rPr>
        <w:t xml:space="preserve"> = 107 cm)</w:t>
      </w:r>
      <w:r>
        <w:rPr>
          <w:rFonts w:eastAsiaTheme="minorHAnsi"/>
        </w:rPr>
        <w:t xml:space="preserve"> compared to 2013</w:t>
      </w:r>
      <w:r w:rsidR="00850273">
        <w:rPr>
          <w:rFonts w:eastAsiaTheme="minorHAnsi"/>
        </w:rPr>
        <w:t xml:space="preserve"> (</w:t>
      </w:r>
      <w:r w:rsidR="00850273">
        <w:rPr>
          <w:rFonts w:eastAsiaTheme="minorHAnsi" w:cs="Times New Roman"/>
        </w:rPr>
        <w:t>x̅</w:t>
      </w:r>
      <w:r w:rsidR="005C423F">
        <w:rPr>
          <w:rFonts w:eastAsiaTheme="minorHAnsi" w:cs="Times New Roman"/>
          <w:vertAlign w:val="subscript"/>
        </w:rPr>
        <w:t>2013</w:t>
      </w:r>
      <w:r w:rsidR="00850273">
        <w:rPr>
          <w:rFonts w:eastAsiaTheme="minorHAnsi" w:cs="Times New Roman"/>
        </w:rPr>
        <w:t xml:space="preserve"> = 136 cm)</w:t>
      </w:r>
      <w:r>
        <w:rPr>
          <w:rFonts w:eastAsiaTheme="minorHAnsi"/>
        </w:rPr>
        <w:t>.</w:t>
      </w:r>
      <w:r w:rsidR="00850273">
        <w:rPr>
          <w:rFonts w:eastAsiaTheme="minorHAnsi"/>
        </w:rPr>
        <w:t xml:space="preserve"> Spring heights were measured two weeks e</w:t>
      </w:r>
      <w:r w:rsidR="00ED1B93">
        <w:rPr>
          <w:rFonts w:eastAsiaTheme="minorHAnsi"/>
        </w:rPr>
        <w:t>arlier in 2013 compared to 2014;</w:t>
      </w:r>
      <w:r w:rsidR="00850273">
        <w:rPr>
          <w:rFonts w:eastAsiaTheme="minorHAnsi"/>
        </w:rPr>
        <w:t xml:space="preserve"> however, earlier </w:t>
      </w:r>
      <w:r w:rsidR="00ED1B93">
        <w:rPr>
          <w:rFonts w:eastAsiaTheme="minorHAnsi"/>
        </w:rPr>
        <w:t xml:space="preserve">season </w:t>
      </w:r>
      <w:r w:rsidR="00850273">
        <w:rPr>
          <w:rFonts w:eastAsiaTheme="minorHAnsi"/>
        </w:rPr>
        <w:t xml:space="preserve">warm temperatures in 2013 are likely the cause of the difference in height between years. The Crossville location is typically </w:t>
      </w:r>
      <w:r w:rsidR="005C423F">
        <w:rPr>
          <w:rFonts w:eastAsiaTheme="minorHAnsi"/>
        </w:rPr>
        <w:t xml:space="preserve">16 </w:t>
      </w:r>
      <w:r w:rsidR="005C423F">
        <w:rPr>
          <w:rFonts w:eastAsiaTheme="minorHAnsi" w:cs="Times New Roman"/>
        </w:rPr>
        <w:t>º</w:t>
      </w:r>
      <w:r w:rsidR="005C423F">
        <w:rPr>
          <w:rFonts w:eastAsiaTheme="minorHAnsi"/>
        </w:rPr>
        <w:t xml:space="preserve">C </w:t>
      </w:r>
      <w:r w:rsidR="00850273">
        <w:rPr>
          <w:rFonts w:eastAsiaTheme="minorHAnsi"/>
        </w:rPr>
        <w:t>cooler than the Knoxville location which may have led to</w:t>
      </w:r>
      <w:r w:rsidR="005C423F">
        <w:rPr>
          <w:rFonts w:eastAsiaTheme="minorHAnsi"/>
        </w:rPr>
        <w:t xml:space="preserve"> an earlier spring green up at the </w:t>
      </w:r>
      <w:r w:rsidR="00501697">
        <w:rPr>
          <w:rFonts w:eastAsiaTheme="minorHAnsi"/>
        </w:rPr>
        <w:t>Knoxville</w:t>
      </w:r>
      <w:r w:rsidR="005C423F">
        <w:rPr>
          <w:rFonts w:eastAsiaTheme="minorHAnsi"/>
        </w:rPr>
        <w:t xml:space="preserve"> location</w:t>
      </w:r>
      <w:r w:rsidR="00850273">
        <w:rPr>
          <w:rFonts w:eastAsiaTheme="minorHAnsi"/>
        </w:rPr>
        <w:t>. This difference in location wa</w:t>
      </w:r>
      <w:r w:rsidR="00AE46A7">
        <w:rPr>
          <w:rFonts w:eastAsiaTheme="minorHAnsi"/>
        </w:rPr>
        <w:t xml:space="preserve">s less </w:t>
      </w:r>
      <w:r w:rsidR="00501697">
        <w:rPr>
          <w:rFonts w:eastAsiaTheme="minorHAnsi"/>
        </w:rPr>
        <w:t>prevalent</w:t>
      </w:r>
      <w:r w:rsidR="00AE46A7">
        <w:rPr>
          <w:rFonts w:eastAsiaTheme="minorHAnsi"/>
        </w:rPr>
        <w:t xml:space="preserve"> in fall height</w:t>
      </w:r>
      <w:r w:rsidR="00850273">
        <w:rPr>
          <w:rFonts w:eastAsiaTheme="minorHAnsi"/>
        </w:rPr>
        <w:t xml:space="preserve"> since plants at each location had a full growing season to achi</w:t>
      </w:r>
      <w:r w:rsidR="00AE46A7">
        <w:rPr>
          <w:rFonts w:eastAsiaTheme="minorHAnsi"/>
        </w:rPr>
        <w:t>eve maximum height</w:t>
      </w:r>
      <w:r w:rsidR="00850273">
        <w:rPr>
          <w:rFonts w:eastAsiaTheme="minorHAnsi"/>
        </w:rPr>
        <w:t xml:space="preserve"> prior to senesc</w:t>
      </w:r>
      <w:r w:rsidR="00AE46A7">
        <w:rPr>
          <w:rFonts w:eastAsiaTheme="minorHAnsi"/>
        </w:rPr>
        <w:t>ence and harvest. Spring height</w:t>
      </w:r>
      <w:r w:rsidR="00850273">
        <w:rPr>
          <w:rFonts w:eastAsiaTheme="minorHAnsi"/>
        </w:rPr>
        <w:t xml:space="preserve"> ranged from 7.6 to 246 cm in 2013 and 28 to 180 cm in 2013</w:t>
      </w:r>
      <w:r w:rsidR="00954DB7">
        <w:rPr>
          <w:rFonts w:eastAsiaTheme="minorHAnsi"/>
        </w:rPr>
        <w:t xml:space="preserve">. </w:t>
      </w:r>
    </w:p>
    <w:p w14:paraId="3CF77A78" w14:textId="28384670" w:rsidR="00BA0C43" w:rsidRDefault="00BA0C43" w:rsidP="00BA0C43">
      <w:pPr>
        <w:ind w:firstLine="720"/>
        <w:rPr>
          <w:rFonts w:eastAsiaTheme="minorHAnsi"/>
        </w:rPr>
      </w:pPr>
      <w:r>
        <w:rPr>
          <w:rFonts w:eastAsiaTheme="minorHAnsi"/>
        </w:rPr>
        <w:t>Mean tiller number also showed signifi</w:t>
      </w:r>
      <w:r w:rsidR="00DF48A9">
        <w:rPr>
          <w:rFonts w:eastAsiaTheme="minorHAnsi"/>
        </w:rPr>
        <w:t>cant differences in year (</w:t>
      </w:r>
      <w:r w:rsidR="00B7572A">
        <w:rPr>
          <w:rFonts w:eastAsiaTheme="minorHAnsi"/>
        </w:rPr>
        <w:t xml:space="preserve">P </w:t>
      </w:r>
      <w:r w:rsidR="009021A8">
        <w:rPr>
          <w:rFonts w:eastAsiaTheme="minorHAnsi"/>
        </w:rPr>
        <w:t xml:space="preserve">&lt; </w:t>
      </w:r>
      <w:r w:rsidR="00DF48A9">
        <w:rPr>
          <w:rFonts w:eastAsiaTheme="minorHAnsi"/>
        </w:rPr>
        <w:t>0.0</w:t>
      </w:r>
      <w:r>
        <w:rPr>
          <w:rFonts w:eastAsiaTheme="minorHAnsi"/>
        </w:rPr>
        <w:t xml:space="preserve">1) </w:t>
      </w:r>
      <w:r w:rsidR="00DF48A9">
        <w:rPr>
          <w:rFonts w:eastAsiaTheme="minorHAnsi"/>
        </w:rPr>
        <w:t>but not in</w:t>
      </w:r>
      <w:r>
        <w:rPr>
          <w:rFonts w:eastAsiaTheme="minorHAnsi"/>
        </w:rPr>
        <w:t xml:space="preserve"> </w:t>
      </w:r>
      <w:r w:rsidR="00DF48A9">
        <w:rPr>
          <w:rFonts w:eastAsiaTheme="minorHAnsi"/>
        </w:rPr>
        <w:t>location (Figure 2-1 E).</w:t>
      </w:r>
      <w:r>
        <w:rPr>
          <w:rFonts w:eastAsiaTheme="minorHAnsi"/>
        </w:rPr>
        <w:t xml:space="preserve"> </w:t>
      </w:r>
      <w:r w:rsidR="00DF48A9">
        <w:rPr>
          <w:rFonts w:eastAsiaTheme="minorHAnsi"/>
        </w:rPr>
        <w:t>However, a significant y</w:t>
      </w:r>
      <w:r w:rsidR="005C423F">
        <w:rPr>
          <w:rFonts w:eastAsiaTheme="minorHAnsi"/>
        </w:rPr>
        <w:t xml:space="preserve">ear x </w:t>
      </w:r>
      <w:r w:rsidR="00DF48A9">
        <w:rPr>
          <w:rFonts w:eastAsiaTheme="minorHAnsi"/>
        </w:rPr>
        <w:t>location interaction was observed (</w:t>
      </w:r>
      <w:r w:rsidR="00B7572A">
        <w:rPr>
          <w:rFonts w:eastAsiaTheme="minorHAnsi"/>
        </w:rPr>
        <w:t xml:space="preserve">P </w:t>
      </w:r>
      <w:r w:rsidR="009021A8">
        <w:rPr>
          <w:rFonts w:eastAsiaTheme="minorHAnsi"/>
        </w:rPr>
        <w:t xml:space="preserve">&lt; </w:t>
      </w:r>
      <w:r w:rsidR="00DF48A9">
        <w:rPr>
          <w:rFonts w:eastAsiaTheme="minorHAnsi"/>
        </w:rPr>
        <w:t xml:space="preserve">0.05). </w:t>
      </w:r>
      <w:r>
        <w:rPr>
          <w:rFonts w:eastAsiaTheme="minorHAnsi"/>
        </w:rPr>
        <w:t>M</w:t>
      </w:r>
      <w:r w:rsidR="00DF48A9">
        <w:rPr>
          <w:rFonts w:eastAsiaTheme="minorHAnsi"/>
        </w:rPr>
        <w:t xml:space="preserve">ean tiller number in 2013 was 35 </w:t>
      </w:r>
      <w:r>
        <w:rPr>
          <w:rFonts w:eastAsiaTheme="minorHAnsi"/>
        </w:rPr>
        <w:t>tillers plant</w:t>
      </w:r>
      <w:r>
        <w:rPr>
          <w:rFonts w:eastAsiaTheme="minorHAnsi"/>
          <w:vertAlign w:val="superscript"/>
        </w:rPr>
        <w:t>-1</w:t>
      </w:r>
      <w:r>
        <w:rPr>
          <w:rFonts w:eastAsiaTheme="minorHAnsi"/>
        </w:rPr>
        <w:t xml:space="preserve"> and </w:t>
      </w:r>
      <w:r w:rsidR="00DF48A9">
        <w:rPr>
          <w:rFonts w:eastAsiaTheme="minorHAnsi"/>
        </w:rPr>
        <w:t>by 2014</w:t>
      </w:r>
      <w:r>
        <w:rPr>
          <w:rFonts w:eastAsiaTheme="minorHAnsi"/>
        </w:rPr>
        <w:t xml:space="preserve"> was nearly </w:t>
      </w:r>
      <w:r w:rsidR="00DF48A9">
        <w:rPr>
          <w:rFonts w:eastAsiaTheme="minorHAnsi"/>
        </w:rPr>
        <w:t>triple</w:t>
      </w:r>
      <w:r>
        <w:rPr>
          <w:rFonts w:eastAsiaTheme="minorHAnsi"/>
        </w:rPr>
        <w:t xml:space="preserve"> that at </w:t>
      </w:r>
      <w:r w:rsidR="00DF48A9">
        <w:rPr>
          <w:rFonts w:eastAsiaTheme="minorHAnsi"/>
        </w:rPr>
        <w:t>104</w:t>
      </w:r>
      <w:r>
        <w:rPr>
          <w:rFonts w:eastAsiaTheme="minorHAnsi"/>
        </w:rPr>
        <w:t xml:space="preserve"> tillers plant</w:t>
      </w:r>
      <w:r>
        <w:rPr>
          <w:rFonts w:eastAsiaTheme="minorHAnsi"/>
          <w:vertAlign w:val="superscript"/>
        </w:rPr>
        <w:t>-1</w:t>
      </w:r>
      <w:r w:rsidR="00954DB7">
        <w:rPr>
          <w:rFonts w:eastAsiaTheme="minorHAnsi"/>
        </w:rPr>
        <w:t xml:space="preserve">. </w:t>
      </w:r>
      <w:r w:rsidR="00DF48A9">
        <w:rPr>
          <w:rFonts w:eastAsiaTheme="minorHAnsi"/>
        </w:rPr>
        <w:t xml:space="preserve">The significant interaction in year </w:t>
      </w:r>
      <w:r w:rsidR="005C423F">
        <w:rPr>
          <w:rFonts w:eastAsiaTheme="minorHAnsi"/>
        </w:rPr>
        <w:t>x</w:t>
      </w:r>
      <w:r w:rsidR="00DF48A9">
        <w:rPr>
          <w:rFonts w:eastAsiaTheme="minorHAnsi"/>
        </w:rPr>
        <w:t xml:space="preserve"> location</w:t>
      </w:r>
      <w:r w:rsidR="0023361F">
        <w:rPr>
          <w:rFonts w:eastAsiaTheme="minorHAnsi"/>
        </w:rPr>
        <w:t xml:space="preserve"> was due to</w:t>
      </w:r>
      <w:r w:rsidR="00DF48A9">
        <w:rPr>
          <w:rFonts w:eastAsiaTheme="minorHAnsi"/>
        </w:rPr>
        <w:t xml:space="preserve"> a significantly higher tiller number at the Crossville location in 2013 with the opposite occurring </w:t>
      </w:r>
      <w:r w:rsidR="0023361F">
        <w:rPr>
          <w:rFonts w:eastAsiaTheme="minorHAnsi"/>
        </w:rPr>
        <w:t xml:space="preserve">in 2014. In 2013, tiller </w:t>
      </w:r>
      <w:r w:rsidR="0023361F">
        <w:rPr>
          <w:rFonts w:eastAsiaTheme="minorHAnsi"/>
        </w:rPr>
        <w:lastRenderedPageBreak/>
        <w:t>number ranged from 1 to 263 tiller plant</w:t>
      </w:r>
      <w:r w:rsidR="0023361F">
        <w:rPr>
          <w:rFonts w:eastAsiaTheme="minorHAnsi"/>
          <w:vertAlign w:val="superscript"/>
        </w:rPr>
        <w:t>-1</w:t>
      </w:r>
      <w:r w:rsidR="0023361F">
        <w:rPr>
          <w:rFonts w:eastAsiaTheme="minorHAnsi"/>
        </w:rPr>
        <w:t>, while in 2014, tiller number ranged from 1 to 394 tiller plant</w:t>
      </w:r>
      <w:r w:rsidR="0023361F">
        <w:rPr>
          <w:rFonts w:eastAsiaTheme="minorHAnsi"/>
          <w:vertAlign w:val="superscript"/>
        </w:rPr>
        <w:t>-1</w:t>
      </w:r>
      <w:r w:rsidR="00954DB7">
        <w:rPr>
          <w:rFonts w:eastAsiaTheme="minorHAnsi"/>
        </w:rPr>
        <w:t xml:space="preserve">. </w:t>
      </w:r>
    </w:p>
    <w:p w14:paraId="7D222E8C" w14:textId="40579259" w:rsidR="00BA0C43" w:rsidRDefault="004950B0" w:rsidP="00BA0C43">
      <w:pPr>
        <w:ind w:firstLine="720"/>
        <w:rPr>
          <w:rFonts w:eastAsiaTheme="minorHAnsi"/>
        </w:rPr>
      </w:pPr>
      <w:r>
        <w:rPr>
          <w:rFonts w:eastAsiaTheme="minorHAnsi"/>
        </w:rPr>
        <w:t>Only locations differed significantly for m</w:t>
      </w:r>
      <w:r w:rsidR="00BA0C43">
        <w:rPr>
          <w:rFonts w:eastAsiaTheme="minorHAnsi"/>
        </w:rPr>
        <w:t>ean tiller diameter</w:t>
      </w:r>
      <w:r>
        <w:rPr>
          <w:rFonts w:eastAsiaTheme="minorHAnsi"/>
        </w:rPr>
        <w:t xml:space="preserve"> (</w:t>
      </w:r>
      <w:r w:rsidR="00B7572A">
        <w:rPr>
          <w:rFonts w:eastAsiaTheme="minorHAnsi"/>
        </w:rPr>
        <w:t xml:space="preserve">P </w:t>
      </w:r>
      <w:r w:rsidR="009021A8">
        <w:rPr>
          <w:rFonts w:eastAsiaTheme="minorHAnsi"/>
        </w:rPr>
        <w:t xml:space="preserve">&lt; </w:t>
      </w:r>
      <w:r>
        <w:rPr>
          <w:rFonts w:eastAsiaTheme="minorHAnsi"/>
        </w:rPr>
        <w:t>0.001) (Figure 2-1 F)</w:t>
      </w:r>
      <w:r w:rsidR="00954DB7">
        <w:rPr>
          <w:rFonts w:eastAsiaTheme="minorHAnsi"/>
        </w:rPr>
        <w:t xml:space="preserve">. </w:t>
      </w:r>
      <w:r w:rsidR="00BA0C43">
        <w:rPr>
          <w:rFonts w:eastAsiaTheme="minorHAnsi"/>
        </w:rPr>
        <w:t>The Crossville location had thicker tillers (</w:t>
      </w:r>
      <w:r w:rsidR="00D46704">
        <w:rPr>
          <w:rFonts w:eastAsiaTheme="minorHAnsi" w:cs="Times New Roman"/>
        </w:rPr>
        <w:t>x̅</w:t>
      </w:r>
      <w:r w:rsidR="00BA0C43">
        <w:rPr>
          <w:rFonts w:eastAsiaTheme="minorHAnsi"/>
        </w:rPr>
        <w:t xml:space="preserve"> = 6.7) compared to the Knoxville location (</w:t>
      </w:r>
      <w:r w:rsidR="00D46704">
        <w:rPr>
          <w:rFonts w:eastAsiaTheme="minorHAnsi" w:cs="Times New Roman"/>
        </w:rPr>
        <w:t>x̅</w:t>
      </w:r>
      <w:r>
        <w:rPr>
          <w:rFonts w:eastAsiaTheme="minorHAnsi"/>
        </w:rPr>
        <w:t xml:space="preserve"> = 6.2). The range of tiller diameter was 1.4 to 14.7 mm at the Crossville location and 0.8 to 12.6 mm at the Knoxville location</w:t>
      </w:r>
      <w:r w:rsidR="00954DB7">
        <w:rPr>
          <w:rFonts w:eastAsiaTheme="minorHAnsi"/>
        </w:rPr>
        <w:t xml:space="preserve">. </w:t>
      </w:r>
    </w:p>
    <w:p w14:paraId="2360B2B6" w14:textId="6E6DCC9A" w:rsidR="00BA0C43" w:rsidRDefault="00BA0C43" w:rsidP="00BA0C43">
      <w:pPr>
        <w:ind w:firstLine="720"/>
        <w:rPr>
          <w:rFonts w:eastAsiaTheme="minorHAnsi"/>
        </w:rPr>
      </w:pPr>
      <w:r>
        <w:rPr>
          <w:rFonts w:eastAsiaTheme="minorHAnsi"/>
        </w:rPr>
        <w:t xml:space="preserve">Mean </w:t>
      </w:r>
      <w:r w:rsidR="00B8390A">
        <w:rPr>
          <w:rFonts w:eastAsiaTheme="minorHAnsi"/>
        </w:rPr>
        <w:t>leaf width</w:t>
      </w:r>
      <w:r>
        <w:rPr>
          <w:rFonts w:eastAsiaTheme="minorHAnsi"/>
        </w:rPr>
        <w:t xml:space="preserve"> differed by location (</w:t>
      </w:r>
      <w:r w:rsidR="00B7572A">
        <w:rPr>
          <w:rFonts w:eastAsiaTheme="minorHAnsi"/>
        </w:rPr>
        <w:t xml:space="preserve">P </w:t>
      </w:r>
      <w:r w:rsidR="009021A8">
        <w:rPr>
          <w:rFonts w:eastAsiaTheme="minorHAnsi"/>
        </w:rPr>
        <w:t xml:space="preserve">&lt; </w:t>
      </w:r>
      <w:r>
        <w:rPr>
          <w:rFonts w:eastAsiaTheme="minorHAnsi"/>
        </w:rPr>
        <w:t>0.001) and by year (</w:t>
      </w:r>
      <w:r w:rsidR="00B7572A">
        <w:rPr>
          <w:rFonts w:eastAsiaTheme="minorHAnsi"/>
        </w:rPr>
        <w:t xml:space="preserve">P </w:t>
      </w:r>
      <w:r w:rsidR="009021A8">
        <w:rPr>
          <w:rFonts w:eastAsiaTheme="minorHAnsi"/>
        </w:rPr>
        <w:t xml:space="preserve">&lt; </w:t>
      </w:r>
      <w:r>
        <w:rPr>
          <w:rFonts w:eastAsiaTheme="minorHAnsi"/>
        </w:rPr>
        <w:t>0.001)</w:t>
      </w:r>
      <w:r w:rsidR="004950B0">
        <w:rPr>
          <w:rFonts w:eastAsiaTheme="minorHAnsi"/>
        </w:rPr>
        <w:t xml:space="preserve"> and a significant year </w:t>
      </w:r>
      <w:r w:rsidR="005C423F">
        <w:rPr>
          <w:rFonts w:eastAsiaTheme="minorHAnsi"/>
        </w:rPr>
        <w:t>x</w:t>
      </w:r>
      <w:r w:rsidR="004950B0">
        <w:rPr>
          <w:rFonts w:eastAsiaTheme="minorHAnsi"/>
        </w:rPr>
        <w:t xml:space="preserve"> location interaction was observed (</w:t>
      </w:r>
      <w:r w:rsidR="00B7572A">
        <w:rPr>
          <w:rFonts w:eastAsiaTheme="minorHAnsi"/>
        </w:rPr>
        <w:t xml:space="preserve">P </w:t>
      </w:r>
      <w:r w:rsidR="009021A8">
        <w:rPr>
          <w:rFonts w:eastAsiaTheme="minorHAnsi"/>
        </w:rPr>
        <w:t xml:space="preserve">&lt; </w:t>
      </w:r>
      <w:r w:rsidR="004950B0">
        <w:rPr>
          <w:rFonts w:eastAsiaTheme="minorHAnsi"/>
        </w:rPr>
        <w:t>0.05) (Figure 2-1 G)</w:t>
      </w:r>
      <w:r w:rsidR="00954DB7">
        <w:rPr>
          <w:rFonts w:eastAsiaTheme="minorHAnsi"/>
        </w:rPr>
        <w:t xml:space="preserve">. </w:t>
      </w:r>
      <w:r w:rsidR="00B8390A">
        <w:rPr>
          <w:rFonts w:eastAsiaTheme="minorHAnsi"/>
        </w:rPr>
        <w:t>Leaf width</w:t>
      </w:r>
      <w:r>
        <w:rPr>
          <w:rFonts w:eastAsiaTheme="minorHAnsi"/>
        </w:rPr>
        <w:t>s were slightly wider at the Crossville location (</w:t>
      </w:r>
      <w:r w:rsidR="00D46704">
        <w:rPr>
          <w:rFonts w:eastAsiaTheme="minorHAnsi" w:cs="Times New Roman"/>
        </w:rPr>
        <w:t>x̅</w:t>
      </w:r>
      <w:r>
        <w:rPr>
          <w:rFonts w:eastAsiaTheme="minorHAnsi"/>
        </w:rPr>
        <w:t xml:space="preserve"> = </w:t>
      </w:r>
      <w:r w:rsidR="004950B0">
        <w:rPr>
          <w:rFonts w:eastAsiaTheme="minorHAnsi"/>
        </w:rPr>
        <w:t>12.4</w:t>
      </w:r>
      <w:r w:rsidR="00D46704">
        <w:rPr>
          <w:rFonts w:eastAsiaTheme="minorHAnsi"/>
        </w:rPr>
        <w:t xml:space="preserve"> mm</w:t>
      </w:r>
      <w:r>
        <w:rPr>
          <w:rFonts w:eastAsiaTheme="minorHAnsi"/>
        </w:rPr>
        <w:t>) compared to the Knoxville location (</w:t>
      </w:r>
      <w:r w:rsidR="00D46704">
        <w:rPr>
          <w:rFonts w:eastAsiaTheme="minorHAnsi" w:cs="Times New Roman"/>
        </w:rPr>
        <w:t>x̅</w:t>
      </w:r>
      <w:r>
        <w:rPr>
          <w:rFonts w:eastAsiaTheme="minorHAnsi"/>
        </w:rPr>
        <w:t xml:space="preserve"> = </w:t>
      </w:r>
      <w:r w:rsidR="004950B0">
        <w:rPr>
          <w:rFonts w:eastAsiaTheme="minorHAnsi"/>
        </w:rPr>
        <w:t>11.9</w:t>
      </w:r>
      <w:r w:rsidR="00D46704">
        <w:rPr>
          <w:rFonts w:eastAsiaTheme="minorHAnsi"/>
        </w:rPr>
        <w:t xml:space="preserve"> mm</w:t>
      </w:r>
      <w:r>
        <w:rPr>
          <w:rFonts w:eastAsiaTheme="minorHAnsi"/>
        </w:rPr>
        <w:t xml:space="preserve">) </w:t>
      </w:r>
      <w:r w:rsidR="00ED1B93">
        <w:rPr>
          <w:rFonts w:eastAsiaTheme="minorHAnsi"/>
        </w:rPr>
        <w:t>in 2013. However, t</w:t>
      </w:r>
      <w:r w:rsidR="004950B0">
        <w:rPr>
          <w:rFonts w:eastAsiaTheme="minorHAnsi"/>
        </w:rPr>
        <w:t xml:space="preserve">he two locations did not differ significantly in 2014, with a mean </w:t>
      </w:r>
      <w:r w:rsidR="00B8390A">
        <w:rPr>
          <w:rFonts w:eastAsiaTheme="minorHAnsi"/>
        </w:rPr>
        <w:t>leaf width</w:t>
      </w:r>
      <w:r w:rsidR="004950B0">
        <w:rPr>
          <w:rFonts w:eastAsiaTheme="minorHAnsi"/>
        </w:rPr>
        <w:t xml:space="preserve"> of 14.5. In 2013, </w:t>
      </w:r>
      <w:r w:rsidR="00B8390A">
        <w:rPr>
          <w:rFonts w:eastAsiaTheme="minorHAnsi"/>
        </w:rPr>
        <w:t>leaf width</w:t>
      </w:r>
      <w:r w:rsidR="004950B0">
        <w:rPr>
          <w:rFonts w:eastAsiaTheme="minorHAnsi"/>
        </w:rPr>
        <w:t xml:space="preserve">s ranged from 3 to </w:t>
      </w:r>
      <w:r w:rsidR="000D15EC">
        <w:rPr>
          <w:rFonts w:eastAsiaTheme="minorHAnsi"/>
        </w:rPr>
        <w:t xml:space="preserve">21.5 mm. The range in 2014 was similar but with a slightly higher minimum and maximum </w:t>
      </w:r>
      <w:r w:rsidR="00AE46A7">
        <w:rPr>
          <w:rFonts w:eastAsiaTheme="minorHAnsi"/>
        </w:rPr>
        <w:t>of</w:t>
      </w:r>
      <w:r w:rsidR="000D15EC">
        <w:rPr>
          <w:rFonts w:eastAsiaTheme="minorHAnsi"/>
        </w:rPr>
        <w:t xml:space="preserve"> 5.8 to 23.3 mm</w:t>
      </w:r>
      <w:r w:rsidR="00AE46A7">
        <w:rPr>
          <w:rFonts w:eastAsiaTheme="minorHAnsi"/>
        </w:rPr>
        <w:t>, respectively</w:t>
      </w:r>
      <w:r w:rsidR="00954DB7">
        <w:rPr>
          <w:rFonts w:eastAsiaTheme="minorHAnsi"/>
        </w:rPr>
        <w:t xml:space="preserve">. </w:t>
      </w:r>
    </w:p>
    <w:p w14:paraId="4FB4C1B7" w14:textId="497E38FC" w:rsidR="00BA0C43" w:rsidRDefault="002745EF" w:rsidP="00BA0C43">
      <w:pPr>
        <w:ind w:firstLine="720"/>
        <w:rPr>
          <w:rFonts w:eastAsiaTheme="minorHAnsi"/>
        </w:rPr>
      </w:pPr>
      <w:r>
        <w:rPr>
          <w:rFonts w:eastAsiaTheme="minorHAnsi"/>
        </w:rPr>
        <w:t>Qualitative</w:t>
      </w:r>
      <w:r w:rsidR="00BA0C43">
        <w:rPr>
          <w:rFonts w:eastAsiaTheme="minorHAnsi"/>
        </w:rPr>
        <w:t xml:space="preserve"> </w:t>
      </w:r>
      <w:r w:rsidR="00D354BA">
        <w:rPr>
          <w:rFonts w:eastAsiaTheme="minorHAnsi"/>
        </w:rPr>
        <w:t>data collected</w:t>
      </w:r>
      <w:r w:rsidR="00BA0C43">
        <w:rPr>
          <w:rFonts w:eastAsiaTheme="minorHAnsi"/>
        </w:rPr>
        <w:t xml:space="preserve"> included </w:t>
      </w:r>
      <w:r w:rsidR="00D354BA">
        <w:rPr>
          <w:rFonts w:eastAsiaTheme="minorHAnsi"/>
        </w:rPr>
        <w:t xml:space="preserve">ratings for the traits </w:t>
      </w:r>
      <w:r w:rsidR="00DA675F">
        <w:rPr>
          <w:rFonts w:eastAsiaTheme="minorHAnsi"/>
        </w:rPr>
        <w:t>canopy density</w:t>
      </w:r>
      <w:r w:rsidR="00BA0C43">
        <w:rPr>
          <w:rFonts w:eastAsiaTheme="minorHAnsi"/>
        </w:rPr>
        <w:t xml:space="preserve">, </w:t>
      </w:r>
      <w:r w:rsidR="00DB61CB">
        <w:rPr>
          <w:rFonts w:eastAsiaTheme="minorHAnsi"/>
        </w:rPr>
        <w:t>plant color</w:t>
      </w:r>
      <w:r w:rsidR="00BA0C43">
        <w:rPr>
          <w:rFonts w:eastAsiaTheme="minorHAnsi"/>
        </w:rPr>
        <w:t>, leaf angle</w:t>
      </w:r>
      <w:r w:rsidR="007E5B8D">
        <w:rPr>
          <w:rFonts w:eastAsiaTheme="minorHAnsi"/>
        </w:rPr>
        <w:t>, and rust severity</w:t>
      </w:r>
      <w:r w:rsidR="00BA0C43">
        <w:rPr>
          <w:rFonts w:eastAsiaTheme="minorHAnsi"/>
        </w:rPr>
        <w:t>.</w:t>
      </w:r>
      <w:r w:rsidR="007E5B8D">
        <w:rPr>
          <w:rFonts w:eastAsiaTheme="minorHAnsi"/>
        </w:rPr>
        <w:t xml:space="preserve"> For all of these traits, the range of values observed encompassed the entire spectrum of the rating scale, from 1-5 for canopy density</w:t>
      </w:r>
      <w:r w:rsidR="003D6ABE">
        <w:rPr>
          <w:rFonts w:eastAsiaTheme="minorHAnsi"/>
        </w:rPr>
        <w:t>, indicating dense to open canopies</w:t>
      </w:r>
      <w:r w:rsidR="007E5B8D">
        <w:rPr>
          <w:rFonts w:eastAsiaTheme="minorHAnsi"/>
        </w:rPr>
        <w:t xml:space="preserve">, 1-3 for </w:t>
      </w:r>
      <w:r w:rsidR="00DB61CB">
        <w:rPr>
          <w:rFonts w:eastAsiaTheme="minorHAnsi"/>
        </w:rPr>
        <w:t>plant color</w:t>
      </w:r>
      <w:r w:rsidR="007E5B8D">
        <w:rPr>
          <w:rFonts w:eastAsiaTheme="minorHAnsi"/>
        </w:rPr>
        <w:t>,</w:t>
      </w:r>
      <w:r w:rsidR="003D6ABE">
        <w:rPr>
          <w:rFonts w:eastAsiaTheme="minorHAnsi"/>
        </w:rPr>
        <w:t xml:space="preserve"> indicating </w:t>
      </w:r>
      <w:r w:rsidR="00A44411">
        <w:rPr>
          <w:rFonts w:eastAsiaTheme="minorHAnsi"/>
        </w:rPr>
        <w:t xml:space="preserve">medium green </w:t>
      </w:r>
      <w:r w:rsidR="003D6ABE">
        <w:rPr>
          <w:rFonts w:eastAsiaTheme="minorHAnsi"/>
        </w:rPr>
        <w:t xml:space="preserve">to blue </w:t>
      </w:r>
      <w:r w:rsidR="00DB61CB">
        <w:rPr>
          <w:rFonts w:eastAsiaTheme="minorHAnsi"/>
        </w:rPr>
        <w:t>plant color</w:t>
      </w:r>
      <w:r w:rsidR="003D6ABE">
        <w:rPr>
          <w:rFonts w:eastAsiaTheme="minorHAnsi"/>
        </w:rPr>
        <w:t>,</w:t>
      </w:r>
      <w:r w:rsidR="007E5B8D">
        <w:rPr>
          <w:rFonts w:eastAsiaTheme="minorHAnsi"/>
        </w:rPr>
        <w:t xml:space="preserve"> 1-5 for leaf angle, </w:t>
      </w:r>
      <w:r w:rsidR="003D6ABE">
        <w:rPr>
          <w:rFonts w:eastAsiaTheme="minorHAnsi"/>
        </w:rPr>
        <w:t xml:space="preserve">indicating prostrate to upright leaves, </w:t>
      </w:r>
      <w:r w:rsidR="007E5B8D">
        <w:rPr>
          <w:rFonts w:eastAsiaTheme="minorHAnsi"/>
        </w:rPr>
        <w:t>and 1-9 for rust severity</w:t>
      </w:r>
      <w:r w:rsidR="003D6ABE">
        <w:rPr>
          <w:rFonts w:eastAsiaTheme="minorHAnsi"/>
        </w:rPr>
        <w:t xml:space="preserve">, indicating </w:t>
      </w:r>
      <w:r w:rsidR="00504509">
        <w:rPr>
          <w:rFonts w:eastAsiaTheme="minorHAnsi"/>
        </w:rPr>
        <w:t xml:space="preserve">no disease </w:t>
      </w:r>
      <w:r w:rsidR="00AE46A7">
        <w:rPr>
          <w:rFonts w:eastAsiaTheme="minorHAnsi"/>
        </w:rPr>
        <w:t xml:space="preserve">symptoms </w:t>
      </w:r>
      <w:r w:rsidR="00504509">
        <w:rPr>
          <w:rFonts w:eastAsiaTheme="minorHAnsi"/>
        </w:rPr>
        <w:t xml:space="preserve">to </w:t>
      </w:r>
      <w:r w:rsidR="00AE46A7">
        <w:rPr>
          <w:rFonts w:eastAsiaTheme="minorHAnsi"/>
        </w:rPr>
        <w:t>heavy sporulation and chlorosis</w:t>
      </w:r>
      <w:r w:rsidR="007E5B8D">
        <w:rPr>
          <w:rFonts w:eastAsiaTheme="minorHAnsi"/>
        </w:rPr>
        <w:t>. For the trait canopy density, a significant year effect was observed (</w:t>
      </w:r>
      <w:r w:rsidR="00B7572A">
        <w:rPr>
          <w:rFonts w:eastAsiaTheme="minorHAnsi"/>
        </w:rPr>
        <w:t xml:space="preserve">P </w:t>
      </w:r>
      <w:r w:rsidR="009021A8">
        <w:rPr>
          <w:rFonts w:eastAsiaTheme="minorHAnsi"/>
        </w:rPr>
        <w:t xml:space="preserve">&lt; </w:t>
      </w:r>
      <w:r w:rsidR="007E5B8D">
        <w:rPr>
          <w:rFonts w:eastAsiaTheme="minorHAnsi"/>
        </w:rPr>
        <w:t>0.01) while no differences in location were observed. Plants had significantly denser canopies in 2013 with the canopies becoming more open</w:t>
      </w:r>
      <w:r w:rsidR="00ED1B93">
        <w:rPr>
          <w:rFonts w:eastAsiaTheme="minorHAnsi"/>
        </w:rPr>
        <w:t xml:space="preserve"> as plants grew larger in 2014</w:t>
      </w:r>
      <w:r w:rsidR="007E5B8D">
        <w:rPr>
          <w:rFonts w:eastAsiaTheme="minorHAnsi"/>
        </w:rPr>
        <w:t xml:space="preserve">, </w:t>
      </w:r>
      <w:r w:rsidR="005C423F">
        <w:rPr>
          <w:rFonts w:eastAsiaTheme="minorHAnsi"/>
        </w:rPr>
        <w:t>mainly due to a substantial amount</w:t>
      </w:r>
      <w:r w:rsidR="007E5B8D">
        <w:rPr>
          <w:rFonts w:eastAsiaTheme="minorHAnsi"/>
        </w:rPr>
        <w:t xml:space="preserve"> of lodging. </w:t>
      </w:r>
      <w:r w:rsidR="00DB61CB">
        <w:rPr>
          <w:rFonts w:eastAsiaTheme="minorHAnsi"/>
        </w:rPr>
        <w:t>Plant color</w:t>
      </w:r>
      <w:r w:rsidR="007E5B8D">
        <w:rPr>
          <w:rFonts w:eastAsiaTheme="minorHAnsi"/>
        </w:rPr>
        <w:t xml:space="preserve"> showed significant year </w:t>
      </w:r>
      <w:r w:rsidR="005C423F">
        <w:rPr>
          <w:rFonts w:eastAsiaTheme="minorHAnsi"/>
        </w:rPr>
        <w:t>x</w:t>
      </w:r>
      <w:r w:rsidR="007E5B8D">
        <w:rPr>
          <w:rFonts w:eastAsiaTheme="minorHAnsi"/>
        </w:rPr>
        <w:t xml:space="preserve"> location interaction (</w:t>
      </w:r>
      <w:r w:rsidR="00B7572A">
        <w:rPr>
          <w:rFonts w:eastAsiaTheme="minorHAnsi"/>
        </w:rPr>
        <w:t xml:space="preserve">P </w:t>
      </w:r>
      <w:r w:rsidR="009021A8">
        <w:rPr>
          <w:rFonts w:eastAsiaTheme="minorHAnsi"/>
        </w:rPr>
        <w:t xml:space="preserve">&lt; </w:t>
      </w:r>
      <w:r w:rsidR="007E5B8D">
        <w:rPr>
          <w:rFonts w:eastAsiaTheme="minorHAnsi"/>
        </w:rPr>
        <w:t xml:space="preserve">0.05) with plants showing no significant difference in </w:t>
      </w:r>
      <w:r w:rsidR="00DB61CB">
        <w:rPr>
          <w:rFonts w:eastAsiaTheme="minorHAnsi"/>
        </w:rPr>
        <w:t>plant color</w:t>
      </w:r>
      <w:r w:rsidR="007E5B8D">
        <w:rPr>
          <w:rFonts w:eastAsiaTheme="minorHAnsi"/>
        </w:rPr>
        <w:t xml:space="preserve"> across </w:t>
      </w:r>
      <w:r w:rsidR="00AE46A7">
        <w:rPr>
          <w:rFonts w:eastAsiaTheme="minorHAnsi"/>
        </w:rPr>
        <w:lastRenderedPageBreak/>
        <w:t>loca</w:t>
      </w:r>
      <w:r w:rsidR="007E5B8D">
        <w:rPr>
          <w:rFonts w:eastAsiaTheme="minorHAnsi"/>
        </w:rPr>
        <w:t>t</w:t>
      </w:r>
      <w:r w:rsidR="00AE46A7">
        <w:rPr>
          <w:rFonts w:eastAsiaTheme="minorHAnsi"/>
        </w:rPr>
        <w:t>i</w:t>
      </w:r>
      <w:r w:rsidR="007E5B8D">
        <w:rPr>
          <w:rFonts w:eastAsiaTheme="minorHAnsi"/>
        </w:rPr>
        <w:t>ons in 2013 while plants were significantly bluer at the Knoxville location compared to the Crossville location in 2014. Leaf angle did not show signi</w:t>
      </w:r>
      <w:r w:rsidR="0061071A">
        <w:rPr>
          <w:rFonts w:eastAsiaTheme="minorHAnsi"/>
        </w:rPr>
        <w:t xml:space="preserve">ficant year or location effects. </w:t>
      </w:r>
    </w:p>
    <w:p w14:paraId="64785BE6" w14:textId="0A5CE92D" w:rsidR="007E5B8D" w:rsidRPr="006E017D" w:rsidRDefault="007E5B8D" w:rsidP="00BA0C43">
      <w:pPr>
        <w:ind w:firstLine="720"/>
        <w:rPr>
          <w:rFonts w:eastAsiaTheme="minorHAnsi"/>
        </w:rPr>
      </w:pPr>
      <w:r>
        <w:rPr>
          <w:rFonts w:eastAsiaTheme="minorHAnsi"/>
        </w:rPr>
        <w:t xml:space="preserve">Because rust severity ratings were taken during different points in the growing season in 2012 compared to 2013, these data were analyzed separately. </w:t>
      </w:r>
      <w:r w:rsidR="0061071A">
        <w:rPr>
          <w:rFonts w:eastAsiaTheme="minorHAnsi"/>
        </w:rPr>
        <w:t>Location was not significantly different in 2012 rating</w:t>
      </w:r>
      <w:r w:rsidR="00ED1B93">
        <w:rPr>
          <w:rFonts w:eastAsiaTheme="minorHAnsi"/>
        </w:rPr>
        <w:t>s</w:t>
      </w:r>
      <w:r w:rsidR="0061071A">
        <w:rPr>
          <w:rFonts w:eastAsiaTheme="minorHAnsi"/>
        </w:rPr>
        <w:t>, while locations did differ significantly in 2013 (</w:t>
      </w:r>
      <w:r w:rsidR="00B7572A">
        <w:rPr>
          <w:rFonts w:eastAsiaTheme="minorHAnsi"/>
        </w:rPr>
        <w:t xml:space="preserve">P </w:t>
      </w:r>
      <w:r w:rsidR="009021A8">
        <w:rPr>
          <w:rFonts w:eastAsiaTheme="minorHAnsi"/>
        </w:rPr>
        <w:t xml:space="preserve">&lt; </w:t>
      </w:r>
      <w:r w:rsidR="0061071A">
        <w:rPr>
          <w:rFonts w:eastAsiaTheme="minorHAnsi"/>
        </w:rPr>
        <w:t xml:space="preserve">0.05) (Figure 2-1 K-L). </w:t>
      </w:r>
      <w:r>
        <w:rPr>
          <w:rFonts w:eastAsiaTheme="minorHAnsi"/>
        </w:rPr>
        <w:t xml:space="preserve">Mean rust severity was higher from the October 2012 ratings </w:t>
      </w:r>
      <w:r w:rsidR="0061071A">
        <w:rPr>
          <w:rFonts w:eastAsiaTheme="minorHAnsi"/>
        </w:rPr>
        <w:t>(</w:t>
      </w:r>
      <w:r w:rsidR="0061071A">
        <w:rPr>
          <w:rFonts w:eastAsiaTheme="minorHAnsi" w:cs="Times New Roman"/>
        </w:rPr>
        <w:t>x̅</w:t>
      </w:r>
      <w:r w:rsidR="0061071A">
        <w:rPr>
          <w:rFonts w:eastAsiaTheme="minorHAnsi"/>
        </w:rPr>
        <w:t xml:space="preserve"> = 5.4) </w:t>
      </w:r>
      <w:r>
        <w:rPr>
          <w:rFonts w:eastAsiaTheme="minorHAnsi"/>
        </w:rPr>
        <w:t>compared to the August 2013 ratings</w:t>
      </w:r>
      <w:r w:rsidR="0061071A">
        <w:rPr>
          <w:rFonts w:eastAsiaTheme="minorHAnsi"/>
        </w:rPr>
        <w:t xml:space="preserve"> (</w:t>
      </w:r>
      <w:r w:rsidR="0061071A">
        <w:rPr>
          <w:rFonts w:eastAsiaTheme="minorHAnsi" w:cs="Times New Roman"/>
        </w:rPr>
        <w:t>x̅</w:t>
      </w:r>
      <w:r w:rsidR="0061071A">
        <w:rPr>
          <w:rFonts w:eastAsiaTheme="minorHAnsi"/>
        </w:rPr>
        <w:t xml:space="preserve"> = 4.2)</w:t>
      </w:r>
      <w:r>
        <w:rPr>
          <w:rFonts w:eastAsiaTheme="minorHAnsi"/>
        </w:rPr>
        <w:t>. This was expected since the disease had more time to progress during the growing season.</w:t>
      </w:r>
      <w:r w:rsidR="0061071A">
        <w:rPr>
          <w:rFonts w:eastAsiaTheme="minorHAnsi"/>
        </w:rPr>
        <w:t xml:space="preserve"> In 2013, the Knoxville location had significantly lower rust severity (</w:t>
      </w:r>
      <w:r w:rsidR="0061071A">
        <w:rPr>
          <w:rFonts w:eastAsiaTheme="minorHAnsi" w:cs="Times New Roman"/>
        </w:rPr>
        <w:t>x̅</w:t>
      </w:r>
      <w:r w:rsidR="0061071A">
        <w:rPr>
          <w:rFonts w:eastAsiaTheme="minorHAnsi"/>
        </w:rPr>
        <w:t xml:space="preserve"> = 3.8) compared to the Crossville location (</w:t>
      </w:r>
      <w:r w:rsidR="0061071A">
        <w:rPr>
          <w:rFonts w:eastAsiaTheme="minorHAnsi" w:cs="Times New Roman"/>
        </w:rPr>
        <w:t>x̅</w:t>
      </w:r>
      <w:r w:rsidR="0061071A">
        <w:rPr>
          <w:rFonts w:eastAsiaTheme="minorHAnsi"/>
        </w:rPr>
        <w:t xml:space="preserve"> = 4.5). In 2012, rust severity ranged from 1 to 9 on a 1 to 9 scale</w:t>
      </w:r>
      <w:r w:rsidR="00954DB7">
        <w:rPr>
          <w:rFonts w:eastAsiaTheme="minorHAnsi"/>
        </w:rPr>
        <w:t xml:space="preserve">. </w:t>
      </w:r>
      <w:r w:rsidR="0061071A">
        <w:rPr>
          <w:rFonts w:eastAsiaTheme="minorHAnsi"/>
        </w:rPr>
        <w:t>In 2013, rust severity ranged from 1 to 8 on a 1 to 9 scale</w:t>
      </w:r>
      <w:r w:rsidR="00954DB7">
        <w:rPr>
          <w:rFonts w:eastAsiaTheme="minorHAnsi"/>
        </w:rPr>
        <w:t xml:space="preserve">. </w:t>
      </w:r>
      <w:r w:rsidR="0061071A">
        <w:rPr>
          <w:rFonts w:eastAsiaTheme="minorHAnsi"/>
        </w:rPr>
        <w:t xml:space="preserve">While plants in 2012 that were rated as a 9 were not completely killed by the pathogen, the extent of damage due to the pathogen appeared to cause early </w:t>
      </w:r>
      <w:r w:rsidR="00501697">
        <w:rPr>
          <w:rFonts w:eastAsiaTheme="minorHAnsi"/>
        </w:rPr>
        <w:t>senescence</w:t>
      </w:r>
      <w:r w:rsidR="0061071A">
        <w:rPr>
          <w:rFonts w:eastAsiaTheme="minorHAnsi"/>
        </w:rPr>
        <w:t xml:space="preserve"> in some plants</w:t>
      </w:r>
      <w:r w:rsidR="00954DB7">
        <w:rPr>
          <w:rFonts w:eastAsiaTheme="minorHAnsi"/>
        </w:rPr>
        <w:t xml:space="preserve">. </w:t>
      </w:r>
      <w:r w:rsidR="0061071A">
        <w:rPr>
          <w:rFonts w:eastAsiaTheme="minorHAnsi"/>
        </w:rPr>
        <w:t>These plants were given a rating of 9. Because of the difficulty in distinguishing rust severity from early senescence, plants were rated earlier in the season in succeeding years</w:t>
      </w:r>
      <w:r w:rsidR="00954DB7">
        <w:rPr>
          <w:rFonts w:eastAsiaTheme="minorHAnsi"/>
        </w:rPr>
        <w:t xml:space="preserve">. </w:t>
      </w:r>
      <w:r w:rsidR="0061071A">
        <w:rPr>
          <w:rFonts w:eastAsiaTheme="minorHAnsi"/>
        </w:rPr>
        <w:t xml:space="preserve"> </w:t>
      </w:r>
      <w:r>
        <w:rPr>
          <w:rFonts w:eastAsiaTheme="minorHAnsi"/>
        </w:rPr>
        <w:t xml:space="preserve"> </w:t>
      </w:r>
    </w:p>
    <w:p w14:paraId="786A7F43" w14:textId="77777777" w:rsidR="00596A40" w:rsidRDefault="00596A40" w:rsidP="00596A40">
      <w:pPr>
        <w:pStyle w:val="Heading3"/>
        <w:rPr>
          <w:rFonts w:eastAsiaTheme="minorHAnsi" w:cs="Times New Roman"/>
        </w:rPr>
      </w:pPr>
      <w:bookmarkStart w:id="64" w:name="_Toc404069841"/>
      <w:r w:rsidRPr="00BA3F3D">
        <w:rPr>
          <w:rFonts w:eastAsiaTheme="minorHAnsi" w:cs="Times New Roman"/>
        </w:rPr>
        <w:t>Correlations</w:t>
      </w:r>
      <w:r w:rsidR="00D5280E">
        <w:rPr>
          <w:rFonts w:eastAsiaTheme="minorHAnsi" w:cs="Times New Roman"/>
        </w:rPr>
        <w:t xml:space="preserve"> of Biomass and Ethanol Yield with Morphological Traits</w:t>
      </w:r>
      <w:bookmarkEnd w:id="64"/>
    </w:p>
    <w:p w14:paraId="28A11F15" w14:textId="343874D2" w:rsidR="00596A40" w:rsidRDefault="00596A40" w:rsidP="00596A40">
      <w:pPr>
        <w:rPr>
          <w:rFonts w:eastAsiaTheme="minorHAnsi"/>
        </w:rPr>
      </w:pPr>
      <w:r>
        <w:rPr>
          <w:rFonts w:eastAsiaTheme="minorHAnsi"/>
        </w:rPr>
        <w:tab/>
        <w:t xml:space="preserve">For correlations measured within each year, fall height (2012: </w:t>
      </w:r>
      <w:r w:rsidR="00A61759">
        <w:rPr>
          <w:rFonts w:eastAsiaTheme="minorHAnsi"/>
        </w:rPr>
        <w:t xml:space="preserve">r = </w:t>
      </w:r>
      <w:r>
        <w:rPr>
          <w:rFonts w:eastAsiaTheme="minorHAnsi"/>
        </w:rPr>
        <w:t xml:space="preserve">0.73, 2013: </w:t>
      </w:r>
      <w:r w:rsidR="00A61759">
        <w:rPr>
          <w:rFonts w:eastAsiaTheme="minorHAnsi"/>
        </w:rPr>
        <w:t xml:space="preserve">r = </w:t>
      </w:r>
      <w:r>
        <w:rPr>
          <w:rFonts w:eastAsiaTheme="minorHAnsi"/>
        </w:rPr>
        <w:t>0.70) and tiller number (</w:t>
      </w:r>
      <w:r w:rsidR="00A61759">
        <w:rPr>
          <w:rFonts w:eastAsiaTheme="minorHAnsi"/>
        </w:rPr>
        <w:t xml:space="preserve">r = </w:t>
      </w:r>
      <w:r>
        <w:rPr>
          <w:rFonts w:eastAsiaTheme="minorHAnsi"/>
        </w:rPr>
        <w:t xml:space="preserve">0.78) were </w:t>
      </w:r>
      <w:r w:rsidR="00ED1B93">
        <w:rPr>
          <w:rFonts w:eastAsiaTheme="minorHAnsi"/>
        </w:rPr>
        <w:t xml:space="preserve">significantly </w:t>
      </w:r>
      <w:r>
        <w:rPr>
          <w:rFonts w:eastAsiaTheme="minorHAnsi"/>
        </w:rPr>
        <w:t>strongly correlated to biomass yield while spring height (</w:t>
      </w:r>
      <w:r w:rsidR="00A61759">
        <w:rPr>
          <w:rFonts w:eastAsiaTheme="minorHAnsi"/>
        </w:rPr>
        <w:t xml:space="preserve">r = </w:t>
      </w:r>
      <w:r>
        <w:rPr>
          <w:rFonts w:eastAsiaTheme="minorHAnsi"/>
        </w:rPr>
        <w:t xml:space="preserve">0.58), </w:t>
      </w:r>
      <w:r w:rsidR="00DA675F">
        <w:rPr>
          <w:rFonts w:eastAsiaTheme="minorHAnsi"/>
        </w:rPr>
        <w:t>canopy density</w:t>
      </w:r>
      <w:r>
        <w:rPr>
          <w:rFonts w:eastAsiaTheme="minorHAnsi"/>
        </w:rPr>
        <w:t xml:space="preserve"> (</w:t>
      </w:r>
      <w:r w:rsidR="00A61759">
        <w:rPr>
          <w:rFonts w:eastAsiaTheme="minorHAnsi"/>
        </w:rPr>
        <w:t xml:space="preserve">r = </w:t>
      </w:r>
      <w:r>
        <w:rPr>
          <w:rFonts w:eastAsiaTheme="minorHAnsi"/>
        </w:rPr>
        <w:t xml:space="preserve">0.43), and </w:t>
      </w:r>
      <w:r w:rsidR="00B8390A">
        <w:rPr>
          <w:rFonts w:eastAsiaTheme="minorHAnsi"/>
        </w:rPr>
        <w:t>leaf width</w:t>
      </w:r>
      <w:r>
        <w:rPr>
          <w:rFonts w:eastAsiaTheme="minorHAnsi"/>
        </w:rPr>
        <w:t xml:space="preserve"> (</w:t>
      </w:r>
      <w:r w:rsidR="00A61759">
        <w:rPr>
          <w:rFonts w:eastAsiaTheme="minorHAnsi"/>
        </w:rPr>
        <w:t xml:space="preserve">r = </w:t>
      </w:r>
      <w:r>
        <w:rPr>
          <w:rFonts w:eastAsiaTheme="minorHAnsi"/>
        </w:rPr>
        <w:t xml:space="preserve">0.41) were </w:t>
      </w:r>
      <w:r w:rsidR="00ED1B93">
        <w:rPr>
          <w:rFonts w:eastAsiaTheme="minorHAnsi"/>
        </w:rPr>
        <w:t xml:space="preserve">significantly </w:t>
      </w:r>
      <w:r>
        <w:rPr>
          <w:rFonts w:eastAsiaTheme="minorHAnsi"/>
        </w:rPr>
        <w:t>moderately correlat</w:t>
      </w:r>
      <w:r w:rsidR="00C86908">
        <w:rPr>
          <w:rFonts w:eastAsiaTheme="minorHAnsi"/>
        </w:rPr>
        <w:t>ed to biomass yield (Table 2-1</w:t>
      </w:r>
      <w:r>
        <w:rPr>
          <w:rFonts w:eastAsiaTheme="minorHAnsi"/>
        </w:rPr>
        <w:t xml:space="preserve">). These results are consistent with correlation values reported in other studies of lowland switchgrass </w:t>
      </w:r>
      <w:r w:rsidR="00301182">
        <w:rPr>
          <w:rFonts w:eastAsiaTheme="minorHAnsi"/>
        </w:rPr>
        <w:fldChar w:fldCharType="begin">
          <w:fldData xml:space="preserve">PEVuZE5vdGU+PENpdGU+PEF1dGhvcj5EYXM8L0F1dGhvcj48WWVhcj4yMDA0PC9ZZWFyPjxSZWNO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</w:fldData>
        </w:fldChar>
      </w:r>
      <w:r w:rsidR="00B7572A">
        <w:rPr>
          <w:rFonts w:eastAsiaTheme="minorHAnsi"/>
        </w:rPr>
        <w:instrText xml:space="preserve"> ADDIN EN.CITE </w:instrText>
      </w:r>
      <w:r w:rsidR="00B7572A">
        <w:rPr>
          <w:rFonts w:eastAsiaTheme="minorHAnsi"/>
        </w:rPr>
        <w:fldChar w:fldCharType="begin">
          <w:fldData xml:space="preserve">PEVuZE5vdGU+PENpdGU+PEF1dGhvcj5EYXM8L0F1dGhvcj48WWVhcj4yMDA0PC9ZZWFyPjxSZWNO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</w:fldData>
        </w:fldChar>
      </w:r>
      <w:r w:rsidR="00B7572A">
        <w:rPr>
          <w:rFonts w:eastAsiaTheme="minorHAnsi"/>
        </w:rPr>
        <w:instrText xml:space="preserve"> ADDIN EN.CITE.DATA </w:instrText>
      </w:r>
      <w:r w:rsidR="00B7572A">
        <w:rPr>
          <w:rFonts w:eastAsiaTheme="minorHAnsi"/>
        </w:rPr>
      </w:r>
      <w:r w:rsidR="00B7572A">
        <w:rPr>
          <w:rFonts w:eastAsiaTheme="minorHAnsi"/>
        </w:rPr>
        <w:fldChar w:fldCharType="end"/>
      </w:r>
      <w:r w:rsidR="00301182">
        <w:rPr>
          <w:rFonts w:eastAsiaTheme="minorHAnsi"/>
        </w:rPr>
      </w:r>
      <w:r w:rsidR="00301182">
        <w:rPr>
          <w:rFonts w:eastAsiaTheme="minorHAnsi"/>
        </w:rPr>
        <w:fldChar w:fldCharType="separate"/>
      </w:r>
      <w:r w:rsidR="00B7572A">
        <w:rPr>
          <w:rFonts w:eastAsiaTheme="minorHAnsi"/>
          <w:noProof/>
        </w:rPr>
        <w:t>(</w:t>
      </w:r>
      <w:hyperlink w:anchor="_ENREF_12" w:tooltip="Bhandari, 2010 #199" w:history="1">
        <w:r w:rsidR="00FB5014">
          <w:rPr>
            <w:rFonts w:eastAsiaTheme="minorHAnsi"/>
            <w:noProof/>
          </w:rPr>
          <w:t>Bhandari et al., 2010</w:t>
        </w:r>
      </w:hyperlink>
      <w:r w:rsidR="00B7572A">
        <w:rPr>
          <w:rFonts w:eastAsiaTheme="minorHAnsi"/>
          <w:noProof/>
        </w:rPr>
        <w:t xml:space="preserve">; </w:t>
      </w:r>
      <w:hyperlink w:anchor="_ENREF_14" w:tooltip="Boe, 2007 #198" w:history="1">
        <w:r w:rsidR="00FB5014">
          <w:rPr>
            <w:rFonts w:eastAsiaTheme="minorHAnsi"/>
            <w:noProof/>
          </w:rPr>
          <w:t>Boe, 2007</w:t>
        </w:r>
      </w:hyperlink>
      <w:r w:rsidR="00B7572A">
        <w:rPr>
          <w:rFonts w:eastAsiaTheme="minorHAnsi"/>
          <w:noProof/>
        </w:rPr>
        <w:t xml:space="preserve">; </w:t>
      </w:r>
      <w:hyperlink w:anchor="_ENREF_29" w:tooltip="Das, 2004 #254" w:history="1">
        <w:r w:rsidR="00FB5014">
          <w:rPr>
            <w:rFonts w:eastAsiaTheme="minorHAnsi"/>
            <w:noProof/>
          </w:rPr>
          <w:t>Das et al., 2004</w:t>
        </w:r>
      </w:hyperlink>
      <w:r w:rsidR="00B7572A">
        <w:rPr>
          <w:rFonts w:eastAsiaTheme="minorHAnsi"/>
          <w:noProof/>
        </w:rPr>
        <w:t xml:space="preserve">; </w:t>
      </w:r>
      <w:hyperlink w:anchor="_ENREF_92" w:tooltip="Talbert, 1983 #197" w:history="1">
        <w:r w:rsidR="00FB5014">
          <w:rPr>
            <w:rFonts w:eastAsiaTheme="minorHAnsi"/>
            <w:noProof/>
          </w:rPr>
          <w:t>Talbert et al., 1983</w:t>
        </w:r>
      </w:hyperlink>
      <w:r w:rsidR="00B7572A">
        <w:rPr>
          <w:rFonts w:eastAsiaTheme="minorHAnsi"/>
          <w:noProof/>
        </w:rPr>
        <w:t>)</w:t>
      </w:r>
      <w:r w:rsidR="00301182">
        <w:rPr>
          <w:rFonts w:eastAsiaTheme="minorHAnsi"/>
        </w:rPr>
        <w:fldChar w:fldCharType="end"/>
      </w:r>
      <w:r>
        <w:rPr>
          <w:rFonts w:eastAsiaTheme="minorHAnsi"/>
        </w:rPr>
        <w:t xml:space="preserve">. In this study, tiller diameter also showed a </w:t>
      </w:r>
      <w:r w:rsidR="00ED1B93">
        <w:rPr>
          <w:rFonts w:eastAsiaTheme="minorHAnsi"/>
        </w:rPr>
        <w:t xml:space="preserve">significant </w:t>
      </w:r>
      <w:r>
        <w:rPr>
          <w:rFonts w:eastAsiaTheme="minorHAnsi"/>
        </w:rPr>
        <w:t>moderate correlation to biomass yield (</w:t>
      </w:r>
      <w:r w:rsidR="00A61759">
        <w:rPr>
          <w:rFonts w:eastAsiaTheme="minorHAnsi"/>
        </w:rPr>
        <w:t xml:space="preserve">r = </w:t>
      </w:r>
      <w:r>
        <w:rPr>
          <w:rFonts w:eastAsiaTheme="minorHAnsi"/>
        </w:rPr>
        <w:t xml:space="preserve">0.58) which was higher than results reported by </w:t>
      </w:r>
      <w:hyperlink w:anchor="_ENREF_29" w:tooltip="Das, 2004 #254" w:history="1">
        <w:r w:rsidR="00FB5014">
          <w:rPr>
            <w:rFonts w:eastAsiaTheme="minorHAnsi"/>
          </w:rPr>
          <w:fldChar w:fldCharType="begin"/>
        </w:r>
        <w:r w:rsidR="00FB5014">
          <w:rPr>
            <w:rFonts w:eastAsiaTheme="minorHAnsi"/>
          </w:rPr>
          <w:instrText xml:space="preserve"> ADDIN EN.CITE &lt;EndNote&gt;&lt;Cite AuthorYear="1"&gt;&lt;Author&gt;Das&lt;/Author&gt;&lt;Year&gt;2004&lt;/Year&gt;&lt;RecNum&gt;254&lt;/RecNum&gt;&lt;DisplayText&gt;Das et al. (2004)&lt;/DisplayText&gt;&lt;record&gt;&lt;rec-number&gt;254&lt;/rec-number&gt;&lt;foreign-keys&gt;&lt;key app="EN" db-id="9zfxt259rawwvce0pfa5efeuatdw0pz5va5z" timestamp="1323887731"&gt;254&lt;/key&gt;&lt;/foreign-keys&gt;&lt;ref-type name="Journal Article"&gt;17&lt;/ref-type&gt;&lt;contributors&gt;&lt;authors&gt;&lt;author&gt;Das, M. K.&lt;/author&gt;&lt;author&gt;Fuentes, R. G.&lt;/author&gt;&lt;author&gt;Taliaferro, C. M.&lt;/author&gt;&lt;/authors&gt;&lt;/contributors&gt;&lt;titles&gt;&lt;title&gt;Genetic variability and trait relationships in switchgrass&lt;/title&gt;&lt;secondary-title&gt;Crop Sci.&lt;/secondary-title&gt;&lt;/titles&gt;&lt;periodical&gt;&lt;full-title&gt;Crop Sci.&lt;/full-title&gt;&lt;/periodical&gt;&lt;pages&gt;443-448&lt;/pages&gt;&lt;volume&gt;44&lt;/volume&gt;&lt;section&gt;443&lt;/section&gt;&lt;dates&gt;&lt;year&gt;2004&lt;/year&gt;&lt;/dates&gt;&lt;urls&gt;&lt;/urls&gt;&lt;/record&gt;&lt;/Cite&gt;&lt;/EndNote&gt;</w:instrText>
        </w:r>
        <w:r w:rsidR="00FB5014">
          <w:rPr>
            <w:rFonts w:eastAsiaTheme="minorHAnsi"/>
          </w:rPr>
          <w:fldChar w:fldCharType="separate"/>
        </w:r>
        <w:r w:rsidR="00FB5014">
          <w:rPr>
            <w:rFonts w:eastAsiaTheme="minorHAnsi"/>
            <w:noProof/>
          </w:rPr>
          <w:t>Das et al. (2004)</w:t>
        </w:r>
        <w:r w:rsidR="00FB5014">
          <w:rPr>
            <w:rFonts w:eastAsiaTheme="minorHAnsi"/>
          </w:rPr>
          <w:fldChar w:fldCharType="end"/>
        </w:r>
      </w:hyperlink>
      <w:r>
        <w:rPr>
          <w:rFonts w:eastAsiaTheme="minorHAnsi"/>
        </w:rPr>
        <w:t xml:space="preserve"> (</w:t>
      </w:r>
      <w:r w:rsidR="00A61759">
        <w:rPr>
          <w:rFonts w:eastAsiaTheme="minorHAnsi"/>
        </w:rPr>
        <w:t xml:space="preserve">r = </w:t>
      </w:r>
      <w:r>
        <w:rPr>
          <w:rFonts w:eastAsiaTheme="minorHAnsi"/>
        </w:rPr>
        <w:t xml:space="preserve">0.27) and by </w:t>
      </w:r>
      <w:hyperlink w:anchor="_ENREF_12" w:tooltip="Bhandari, 2010 #199" w:history="1">
        <w:r w:rsidR="00FB5014">
          <w:rPr>
            <w:rFonts w:eastAsiaTheme="minorHAnsi"/>
          </w:rPr>
          <w:fldChar w:fldCharType="begin"/>
        </w:r>
        <w:r w:rsidR="00FB5014">
          <w:rPr>
            <w:rFonts w:eastAsiaTheme="minorHAnsi"/>
          </w:rPr>
          <w:instrText xml:space="preserve"> ADDIN EN.CITE &lt;EndNote&gt;&lt;Cite AuthorYear="1"&gt;&lt;Author&gt;Bhandari&lt;/Author&gt;&lt;Year&gt;2010&lt;/Year&gt;&lt;RecNum&gt;199&lt;/RecNum&gt;&lt;DisplayText&gt;Bhandari et al. (2010)&lt;/DisplayText&gt;&lt;record&gt;&lt;rec-number&gt;199&lt;/rec-number&gt;&lt;foreign-keys&gt;&lt;key app="EN" db-id="9zfxt259rawwvce0pfa5efeuatdw0pz5va5z" timestamp="1316030756"&gt;199&lt;/key&gt;&lt;/foreign-keys&gt;&lt;ref-type name="Journal Article"&gt;17&lt;/ref-type&gt;&lt;contributors&gt;&lt;authors&gt;&lt;author&gt;Bhandari, H.S.&lt;/author&gt;&lt;author&gt;Saha, M.C.&lt;/author&gt;&lt;author&gt;Mascia, P.N.&lt;/author&gt;&lt;author&gt;Fasoula, V.A.&lt;/author&gt;&lt;author&gt;Bouton, J.H.&lt;/author&gt;&lt;/authors&gt;&lt;/contributors&gt;&lt;titles&gt;&lt;title&gt;&lt;style face="normal" font="default" size="100%"&gt;Variation among half-sib families and heritability for biomass yield and other traits in lowland switchgrass (&lt;/style&gt;&lt;style face="italic" font="default" size="100%"&gt;Panicum virgatum&lt;/style&gt;&lt;style face="normal" font="default" size="100%"&gt; L.)&lt;/style&gt;&lt;/title&gt;&lt;secondary-title&gt;Crop Sci.&lt;/secondary-title&gt;&lt;/titles&gt;&lt;periodical&gt;&lt;full-title&gt;Crop Sci.&lt;/full-title&gt;&lt;/periodical&gt;&lt;pages&gt;2355-2363&lt;/pages&gt;&lt;volume&gt;50&lt;/volume&gt;&lt;section&gt;2355&lt;/section&gt;&lt;dates&gt;&lt;year&gt;2010&lt;/year&gt;&lt;/dates&gt;&lt;urls&gt;&lt;/urls&gt;&lt;/record&gt;&lt;/Cite&gt;&lt;/EndNote&gt;</w:instrText>
        </w:r>
        <w:r w:rsidR="00FB5014">
          <w:rPr>
            <w:rFonts w:eastAsiaTheme="minorHAnsi"/>
          </w:rPr>
          <w:fldChar w:fldCharType="separate"/>
        </w:r>
        <w:r w:rsidR="00FB5014">
          <w:rPr>
            <w:rFonts w:eastAsiaTheme="minorHAnsi"/>
            <w:noProof/>
          </w:rPr>
          <w:t>Bhandari et al. (2010)</w:t>
        </w:r>
        <w:r w:rsidR="00FB5014">
          <w:rPr>
            <w:rFonts w:eastAsiaTheme="minorHAnsi"/>
          </w:rPr>
          <w:fldChar w:fldCharType="end"/>
        </w:r>
      </w:hyperlink>
      <w:r>
        <w:rPr>
          <w:rFonts w:eastAsiaTheme="minorHAnsi"/>
        </w:rPr>
        <w:t xml:space="preserve"> (</w:t>
      </w:r>
      <w:r w:rsidR="00A61759">
        <w:rPr>
          <w:rFonts w:eastAsiaTheme="minorHAnsi"/>
        </w:rPr>
        <w:t xml:space="preserve">r = </w:t>
      </w:r>
      <w:r>
        <w:rPr>
          <w:rFonts w:eastAsiaTheme="minorHAnsi"/>
        </w:rPr>
        <w:t xml:space="preserve">0.38), but close to values reported by </w:t>
      </w:r>
      <w:hyperlink w:anchor="_ENREF_11" w:tooltip="Bhandari, 2011 #318" w:history="1">
        <w:r w:rsidR="00FB5014">
          <w:rPr>
            <w:rFonts w:eastAsiaTheme="minorHAnsi"/>
          </w:rPr>
          <w:fldChar w:fldCharType="begin"/>
        </w:r>
        <w:r w:rsidR="00FB5014">
          <w:rPr>
            <w:rFonts w:eastAsiaTheme="minorHAnsi"/>
          </w:rPr>
          <w:instrText xml:space="preserve"> ADDIN EN.CITE &lt;EndNote&gt;&lt;Cite AuthorYear="1"&gt;&lt;Author&gt;Bhandari&lt;/Author&gt;&lt;Year&gt;2011&lt;/Year&gt;&lt;RecNum&gt;318&lt;/RecNum&gt;&lt;DisplayText&gt;Bhandari et al. (2011)&lt;/DisplayText&gt;&lt;record&gt;&lt;rec-number&gt;318&lt;/rec-number&gt;&lt;foreign-keys&gt;&lt;key app="EN" db-id="9zfxt259rawwvce0pfa5efeuatdw0pz5va5z" timestamp="1411765881"&gt;318&lt;/key&gt;&lt;/foreign-keys&gt;&lt;ref-type name="Journal Article"&gt;17&lt;/ref-type&gt;&lt;contributors&gt;&lt;authors&gt;&lt;author&gt;Bhandari, H.S.&lt;/author&gt;&lt;author&gt;Saha, M.C.&lt;/author&gt;&lt;author&gt;Fasoula, V.A.&lt;/author&gt;&lt;author&gt;Bouton, J.H.&lt;/author&gt;&lt;/authors&gt;&lt;/contributors&gt;&lt;titles&gt;&lt;title&gt;&lt;style face="normal" font="default" size="100%"&gt;Estimation of genetic parameters for biomass yield in lowland switchgrass (&lt;/style&gt;&lt;style face="italic" font="default" size="100%"&gt;Panicum virgatum&lt;/style&gt;&lt;style face="normal" font="default" size="100%"&gt; L.)&lt;/style&gt;&lt;/title&gt;&lt;secondary-title&gt;Crop Sci.&lt;/secondary-title&gt;&lt;/titles&gt;&lt;periodical&gt;&lt;full-title&gt;Crop Sci.&lt;/full-title&gt;&lt;/periodical&gt;&lt;pages&gt;1525-1533&lt;/pages&gt;&lt;volume&gt;51&lt;/volume&gt;&lt;dates&gt;&lt;year&gt;2011&lt;/year&gt;&lt;/dates&gt;&lt;urls&gt;&lt;/urls&gt;&lt;/record&gt;&lt;/Cite&gt;&lt;/EndNote&gt;</w:instrText>
        </w:r>
        <w:r w:rsidR="00FB5014">
          <w:rPr>
            <w:rFonts w:eastAsiaTheme="minorHAnsi"/>
          </w:rPr>
          <w:fldChar w:fldCharType="separate"/>
        </w:r>
        <w:r w:rsidR="00FB5014">
          <w:rPr>
            <w:rFonts w:eastAsiaTheme="minorHAnsi"/>
            <w:noProof/>
          </w:rPr>
          <w:t>Bhandari et al. (2011)</w:t>
        </w:r>
        <w:r w:rsidR="00FB5014">
          <w:rPr>
            <w:rFonts w:eastAsiaTheme="minorHAnsi"/>
          </w:rPr>
          <w:fldChar w:fldCharType="end"/>
        </w:r>
      </w:hyperlink>
      <w:r w:rsidR="00433FC9">
        <w:rPr>
          <w:rFonts w:eastAsiaTheme="minorHAnsi"/>
        </w:rPr>
        <w:t xml:space="preserve"> </w:t>
      </w:r>
      <w:r>
        <w:rPr>
          <w:rFonts w:eastAsiaTheme="minorHAnsi"/>
        </w:rPr>
        <w:t>(</w:t>
      </w:r>
      <w:r w:rsidR="00A61759">
        <w:rPr>
          <w:rFonts w:eastAsiaTheme="minorHAnsi"/>
        </w:rPr>
        <w:t xml:space="preserve">r = </w:t>
      </w:r>
      <w:r>
        <w:rPr>
          <w:rFonts w:eastAsiaTheme="minorHAnsi"/>
        </w:rPr>
        <w:t xml:space="preserve">0.52). Based on these values, an ideotype for high biomass switchgrass would be a plant that is tall with a high number of thick tillers, wide leaves, and an open </w:t>
      </w:r>
      <w:r w:rsidR="00DA675F">
        <w:rPr>
          <w:rFonts w:eastAsiaTheme="minorHAnsi"/>
        </w:rPr>
        <w:t>canopy density</w:t>
      </w:r>
      <w:r>
        <w:rPr>
          <w:rFonts w:eastAsiaTheme="minorHAnsi"/>
        </w:rPr>
        <w:t xml:space="preserve">. Although fall height is more </w:t>
      </w:r>
      <w:r w:rsidR="00404199">
        <w:rPr>
          <w:rFonts w:eastAsiaTheme="minorHAnsi"/>
        </w:rPr>
        <w:t>highly correlated with</w:t>
      </w:r>
      <w:r>
        <w:rPr>
          <w:rFonts w:eastAsiaTheme="minorHAnsi"/>
        </w:rPr>
        <w:t xml:space="preserve"> biomass yield</w:t>
      </w:r>
      <w:r w:rsidR="00404199">
        <w:rPr>
          <w:rFonts w:eastAsiaTheme="minorHAnsi"/>
        </w:rPr>
        <w:t xml:space="preserve"> (</w:t>
      </w:r>
      <w:r w:rsidR="00A61759">
        <w:rPr>
          <w:rFonts w:eastAsiaTheme="minorHAnsi"/>
        </w:rPr>
        <w:t xml:space="preserve">r = </w:t>
      </w:r>
      <w:r w:rsidR="00404199">
        <w:rPr>
          <w:rFonts w:eastAsiaTheme="minorHAnsi"/>
        </w:rPr>
        <w:t>0.70 to 0.73)</w:t>
      </w:r>
      <w:r w:rsidR="00C86908">
        <w:rPr>
          <w:rFonts w:eastAsiaTheme="minorHAnsi"/>
        </w:rPr>
        <w:t>, explaining approximately 50% of the variation in biomass yield</w:t>
      </w:r>
      <w:r w:rsidR="00BA0C43">
        <w:rPr>
          <w:rFonts w:eastAsiaTheme="minorHAnsi"/>
        </w:rPr>
        <w:t xml:space="preserve">, </w:t>
      </w:r>
      <w:r>
        <w:rPr>
          <w:rFonts w:eastAsiaTheme="minorHAnsi"/>
        </w:rPr>
        <w:t>evaluation of spring he</w:t>
      </w:r>
      <w:r w:rsidR="00BA0C43">
        <w:rPr>
          <w:rFonts w:eastAsiaTheme="minorHAnsi"/>
        </w:rPr>
        <w:t>ight is only sl</w:t>
      </w:r>
      <w:r w:rsidR="00404199">
        <w:rPr>
          <w:rFonts w:eastAsiaTheme="minorHAnsi"/>
        </w:rPr>
        <w:t>ightly lower (</w:t>
      </w:r>
      <w:r w:rsidR="00A61759">
        <w:rPr>
          <w:rFonts w:eastAsiaTheme="minorHAnsi"/>
        </w:rPr>
        <w:t xml:space="preserve">r = </w:t>
      </w:r>
      <w:r w:rsidR="00404199">
        <w:rPr>
          <w:rFonts w:eastAsiaTheme="minorHAnsi"/>
        </w:rPr>
        <w:t>0.58)</w:t>
      </w:r>
      <w:r w:rsidR="00C86908">
        <w:rPr>
          <w:rFonts w:eastAsiaTheme="minorHAnsi"/>
        </w:rPr>
        <w:t>, explaining 34% of the variation in biomass yield,</w:t>
      </w:r>
      <w:r w:rsidR="00404199">
        <w:rPr>
          <w:rFonts w:eastAsiaTheme="minorHAnsi"/>
        </w:rPr>
        <w:t xml:space="preserve"> </w:t>
      </w:r>
      <w:r w:rsidR="00BA0C43">
        <w:rPr>
          <w:rFonts w:eastAsiaTheme="minorHAnsi"/>
        </w:rPr>
        <w:t xml:space="preserve">and </w:t>
      </w:r>
      <w:r>
        <w:rPr>
          <w:rFonts w:eastAsiaTheme="minorHAnsi"/>
        </w:rPr>
        <w:t>would allow for early selection prior to flowering. Tiller counts, while highly correlated to yield, are not efficient for large scale evaluations. A</w:t>
      </w:r>
      <w:r w:rsidR="00404199">
        <w:rPr>
          <w:rFonts w:eastAsiaTheme="minorHAnsi"/>
        </w:rPr>
        <w:t xml:space="preserve"> visual evaluation of tillering, as described by </w:t>
      </w:r>
      <w:hyperlink w:anchor="_ENREF_12" w:tooltip="Bhandari, 2010 #199" w:history="1">
        <w:r w:rsidR="00FB5014">
          <w:rPr>
            <w:rFonts w:eastAsiaTheme="minorHAnsi"/>
          </w:rPr>
          <w:fldChar w:fldCharType="begin"/>
        </w:r>
        <w:r w:rsidR="00FB5014">
          <w:rPr>
            <w:rFonts w:eastAsiaTheme="minorHAnsi"/>
          </w:rPr>
          <w:instrText xml:space="preserve"> ADDIN EN.CITE &lt;EndNote&gt;&lt;Cite AuthorYear="1"&gt;&lt;Author&gt;Bhandari&lt;/Author&gt;&lt;Year&gt;2010&lt;/Year&gt;&lt;RecNum&gt;199&lt;/RecNum&gt;&lt;DisplayText&gt;Bhandari et al. (2010)&lt;/DisplayText&gt;&lt;record&gt;&lt;rec-number&gt;199&lt;/rec-number&gt;&lt;foreign-keys&gt;&lt;key app="EN" db-id="9zfxt259rawwvce0pfa5efeuatdw0pz5va5z" timestamp="1316030756"&gt;199&lt;/key&gt;&lt;/foreign-keys&gt;&lt;ref-type name="Journal Article"&gt;17&lt;/ref-type&gt;&lt;contributors&gt;&lt;authors&gt;&lt;author&gt;Bhandari, H.S.&lt;/author&gt;&lt;author&gt;Saha, M.C.&lt;/author&gt;&lt;author&gt;Mascia, P.N.&lt;/author&gt;&lt;author&gt;Fasoula, V.A.&lt;/author&gt;&lt;author&gt;Bouton, J.H.&lt;/author&gt;&lt;/authors&gt;&lt;/contributors&gt;&lt;titles&gt;&lt;title&gt;&lt;style face="normal" font="default" size="100%"&gt;Variation among half-sib families and heritability for biomass yield and other traits in lowland switchgrass (&lt;/style&gt;&lt;style face="italic" font="default" size="100%"&gt;Panicum virgatum&lt;/style&gt;&lt;style face="normal" font="default" size="100%"&gt; L.)&lt;/style&gt;&lt;/title&gt;&lt;secondary-title&gt;Crop Sci.&lt;/secondary-title&gt;&lt;/titles&gt;&lt;periodical&gt;&lt;full-title&gt;Crop Sci.&lt;/full-title&gt;&lt;/periodical&gt;&lt;pages&gt;2355-2363&lt;/pages&gt;&lt;volume&gt;50&lt;/volume&gt;&lt;section&gt;2355&lt;/section&gt;&lt;dates&gt;&lt;year&gt;2010&lt;/year&gt;&lt;/dates&gt;&lt;urls&gt;&lt;/urls&gt;&lt;/record&gt;&lt;/Cite&gt;&lt;/EndNote&gt;</w:instrText>
        </w:r>
        <w:r w:rsidR="00FB5014">
          <w:rPr>
            <w:rFonts w:eastAsiaTheme="minorHAnsi"/>
          </w:rPr>
          <w:fldChar w:fldCharType="separate"/>
        </w:r>
        <w:r w:rsidR="00FB5014">
          <w:rPr>
            <w:rFonts w:eastAsiaTheme="minorHAnsi"/>
            <w:noProof/>
          </w:rPr>
          <w:t>Bhandari et al. (2010)</w:t>
        </w:r>
        <w:r w:rsidR="00FB5014">
          <w:rPr>
            <w:rFonts w:eastAsiaTheme="minorHAnsi"/>
          </w:rPr>
          <w:fldChar w:fldCharType="end"/>
        </w:r>
      </w:hyperlink>
      <w:r w:rsidR="00404199">
        <w:rPr>
          <w:rFonts w:eastAsiaTheme="minorHAnsi"/>
        </w:rPr>
        <w:t xml:space="preserve"> </w:t>
      </w:r>
      <w:r>
        <w:rPr>
          <w:rFonts w:eastAsiaTheme="minorHAnsi"/>
        </w:rPr>
        <w:t>would likely be more efficient, although, perhaps, not as predictive</w:t>
      </w:r>
      <w:r w:rsidR="00954DB7">
        <w:rPr>
          <w:rFonts w:eastAsiaTheme="minorHAnsi"/>
        </w:rPr>
        <w:t xml:space="preserve">. </w:t>
      </w:r>
      <w:r>
        <w:rPr>
          <w:rFonts w:eastAsiaTheme="minorHAnsi"/>
        </w:rPr>
        <w:t xml:space="preserve"> </w:t>
      </w:r>
    </w:p>
    <w:p w14:paraId="48323847" w14:textId="6C3DE554" w:rsidR="00596A40" w:rsidRDefault="00596A40" w:rsidP="00596A40">
      <w:pPr>
        <w:rPr>
          <w:rFonts w:eastAsiaTheme="minorHAnsi"/>
        </w:rPr>
      </w:pPr>
      <w:r>
        <w:rPr>
          <w:rFonts w:eastAsiaTheme="minorHAnsi"/>
        </w:rPr>
        <w:tab/>
        <w:t xml:space="preserve">Predicted ethanol yield was </w:t>
      </w:r>
      <w:r w:rsidR="00ED1B93">
        <w:rPr>
          <w:rFonts w:eastAsiaTheme="minorHAnsi"/>
        </w:rPr>
        <w:t xml:space="preserve">significantly </w:t>
      </w:r>
      <w:r>
        <w:rPr>
          <w:rFonts w:eastAsiaTheme="minorHAnsi"/>
        </w:rPr>
        <w:t>moderately negatively correlated with fall height (2012: r</w:t>
      </w:r>
      <w:r w:rsidR="005C423F">
        <w:rPr>
          <w:rFonts w:eastAsiaTheme="minorHAnsi"/>
        </w:rPr>
        <w:t xml:space="preserve"> </w:t>
      </w:r>
      <w:r>
        <w:rPr>
          <w:rFonts w:eastAsiaTheme="minorHAnsi"/>
        </w:rPr>
        <w:t>=</w:t>
      </w:r>
      <w:r w:rsidR="005C423F">
        <w:rPr>
          <w:rFonts w:eastAsiaTheme="minorHAnsi"/>
        </w:rPr>
        <w:t xml:space="preserve"> </w:t>
      </w:r>
      <w:r>
        <w:rPr>
          <w:rFonts w:eastAsiaTheme="minorHAnsi"/>
        </w:rPr>
        <w:t>-0.55, 2013: r</w:t>
      </w:r>
      <w:r w:rsidR="005C423F">
        <w:rPr>
          <w:rFonts w:eastAsiaTheme="minorHAnsi"/>
        </w:rPr>
        <w:t xml:space="preserve"> </w:t>
      </w:r>
      <w:r>
        <w:rPr>
          <w:rFonts w:eastAsiaTheme="minorHAnsi"/>
        </w:rPr>
        <w:t>=</w:t>
      </w:r>
      <w:r w:rsidR="005C423F">
        <w:rPr>
          <w:rFonts w:eastAsiaTheme="minorHAnsi"/>
        </w:rPr>
        <w:t xml:space="preserve"> </w:t>
      </w:r>
      <w:r>
        <w:rPr>
          <w:rFonts w:eastAsiaTheme="minorHAnsi"/>
        </w:rPr>
        <w:t>-0.32) and with biomass yield (2012: r</w:t>
      </w:r>
      <w:r w:rsidR="005C423F">
        <w:rPr>
          <w:rFonts w:eastAsiaTheme="minorHAnsi"/>
        </w:rPr>
        <w:t xml:space="preserve"> </w:t>
      </w:r>
      <w:r>
        <w:rPr>
          <w:rFonts w:eastAsiaTheme="minorHAnsi"/>
        </w:rPr>
        <w:t>=</w:t>
      </w:r>
      <w:r w:rsidR="005C423F">
        <w:rPr>
          <w:rFonts w:eastAsiaTheme="minorHAnsi"/>
        </w:rPr>
        <w:t xml:space="preserve"> </w:t>
      </w:r>
      <w:r>
        <w:rPr>
          <w:rFonts w:eastAsiaTheme="minorHAnsi"/>
        </w:rPr>
        <w:t>-0.36, 2013: r</w:t>
      </w:r>
      <w:r w:rsidR="005C423F">
        <w:rPr>
          <w:rFonts w:eastAsiaTheme="minorHAnsi"/>
        </w:rPr>
        <w:t xml:space="preserve"> </w:t>
      </w:r>
      <w:r>
        <w:rPr>
          <w:rFonts w:eastAsiaTheme="minorHAnsi"/>
        </w:rPr>
        <w:t>=</w:t>
      </w:r>
      <w:r w:rsidR="005C423F">
        <w:rPr>
          <w:rFonts w:eastAsiaTheme="minorHAnsi"/>
        </w:rPr>
        <w:t xml:space="preserve"> </w:t>
      </w:r>
      <w:r>
        <w:rPr>
          <w:rFonts w:eastAsiaTheme="minorHAnsi"/>
        </w:rPr>
        <w:t xml:space="preserve">-0.27) (Table </w:t>
      </w:r>
      <w:r w:rsidR="00C86908">
        <w:rPr>
          <w:rFonts w:eastAsiaTheme="minorHAnsi"/>
        </w:rPr>
        <w:t>2-</w:t>
      </w:r>
      <w:r>
        <w:rPr>
          <w:rFonts w:eastAsiaTheme="minorHAnsi"/>
        </w:rPr>
        <w:t xml:space="preserve">1). </w:t>
      </w:r>
      <w:r w:rsidR="00ED1B93">
        <w:rPr>
          <w:rFonts w:eastAsiaTheme="minorHAnsi"/>
        </w:rPr>
        <w:t>Significant w</w:t>
      </w:r>
      <w:r>
        <w:rPr>
          <w:rFonts w:eastAsiaTheme="minorHAnsi"/>
        </w:rPr>
        <w:t>eak negative correlations were observed between predicted ethanol yield and spring height (r</w:t>
      </w:r>
      <w:r w:rsidR="005C423F">
        <w:rPr>
          <w:rFonts w:eastAsiaTheme="minorHAnsi"/>
        </w:rPr>
        <w:t xml:space="preserve"> </w:t>
      </w:r>
      <w:r>
        <w:rPr>
          <w:rFonts w:eastAsiaTheme="minorHAnsi"/>
        </w:rPr>
        <w:t>=</w:t>
      </w:r>
      <w:r w:rsidR="005C423F">
        <w:rPr>
          <w:rFonts w:eastAsiaTheme="minorHAnsi"/>
        </w:rPr>
        <w:t xml:space="preserve"> </w:t>
      </w:r>
      <w:r>
        <w:rPr>
          <w:rFonts w:eastAsiaTheme="minorHAnsi"/>
        </w:rPr>
        <w:t>-0.20), tiller number (r</w:t>
      </w:r>
      <w:r w:rsidR="005C423F">
        <w:rPr>
          <w:rFonts w:eastAsiaTheme="minorHAnsi"/>
        </w:rPr>
        <w:t xml:space="preserve"> </w:t>
      </w:r>
      <w:r>
        <w:rPr>
          <w:rFonts w:eastAsiaTheme="minorHAnsi"/>
        </w:rPr>
        <w:t>=</w:t>
      </w:r>
      <w:r w:rsidR="005C423F">
        <w:rPr>
          <w:rFonts w:eastAsiaTheme="minorHAnsi"/>
        </w:rPr>
        <w:t xml:space="preserve"> </w:t>
      </w:r>
      <w:r>
        <w:rPr>
          <w:rFonts w:eastAsiaTheme="minorHAnsi"/>
        </w:rPr>
        <w:t>-0.19), tiller diameter (r</w:t>
      </w:r>
      <w:r w:rsidR="005C423F">
        <w:rPr>
          <w:rFonts w:eastAsiaTheme="minorHAnsi"/>
        </w:rPr>
        <w:t xml:space="preserve"> </w:t>
      </w:r>
      <w:r>
        <w:rPr>
          <w:rFonts w:eastAsiaTheme="minorHAnsi"/>
        </w:rPr>
        <w:t>=</w:t>
      </w:r>
      <w:r w:rsidR="005C423F">
        <w:rPr>
          <w:rFonts w:eastAsiaTheme="minorHAnsi"/>
        </w:rPr>
        <w:t xml:space="preserve"> </w:t>
      </w:r>
      <w:r>
        <w:rPr>
          <w:rFonts w:eastAsiaTheme="minorHAnsi"/>
        </w:rPr>
        <w:t xml:space="preserve">-0.28), and </w:t>
      </w:r>
      <w:r w:rsidR="00B8390A">
        <w:rPr>
          <w:rFonts w:eastAsiaTheme="minorHAnsi"/>
        </w:rPr>
        <w:t>leaf width</w:t>
      </w:r>
      <w:r>
        <w:rPr>
          <w:rFonts w:eastAsiaTheme="minorHAnsi"/>
        </w:rPr>
        <w:t xml:space="preserve"> (r</w:t>
      </w:r>
      <w:r w:rsidR="005C423F">
        <w:rPr>
          <w:rFonts w:eastAsiaTheme="minorHAnsi"/>
        </w:rPr>
        <w:t xml:space="preserve"> </w:t>
      </w:r>
      <w:r>
        <w:rPr>
          <w:rFonts w:eastAsiaTheme="minorHAnsi"/>
        </w:rPr>
        <w:t>=</w:t>
      </w:r>
      <w:r w:rsidR="005C423F">
        <w:rPr>
          <w:rFonts w:eastAsiaTheme="minorHAnsi"/>
        </w:rPr>
        <w:t xml:space="preserve"> </w:t>
      </w:r>
      <w:r>
        <w:rPr>
          <w:rFonts w:eastAsiaTheme="minorHAnsi"/>
        </w:rPr>
        <w:t xml:space="preserve">-0.20). While no studies to date have examined the correlation between biomass yield and </w:t>
      </w:r>
      <w:r w:rsidR="00404199">
        <w:rPr>
          <w:rFonts w:eastAsiaTheme="minorHAnsi"/>
        </w:rPr>
        <w:t xml:space="preserve">predicted </w:t>
      </w:r>
      <w:r>
        <w:rPr>
          <w:rFonts w:eastAsiaTheme="minorHAnsi"/>
        </w:rPr>
        <w:t xml:space="preserve">ethanol yield in switchgrass, a few have examined the correlation between biomass yield and quality traits, in vitro dry matter digestibility (IVDMD), lignin, acid detergent fiber (ADF), and neutral detergent fiber (NDF). While lignin has been identified as a </w:t>
      </w:r>
      <w:r w:rsidR="0087414D">
        <w:rPr>
          <w:rFonts w:eastAsiaTheme="minorHAnsi"/>
        </w:rPr>
        <w:t>hindrance</w:t>
      </w:r>
      <w:r>
        <w:rPr>
          <w:rFonts w:eastAsiaTheme="minorHAnsi"/>
        </w:rPr>
        <w:t xml:space="preserve"> to the fermentation process for converting biomass into ethanol </w:t>
      </w:r>
      <w:r w:rsidR="00301182">
        <w:rPr>
          <w:rFonts w:eastAsiaTheme="minorHAnsi"/>
        </w:rPr>
        <w:fldChar w:fldCharType="begin">
          <w:fldData xml:space="preserve">PEVuZE5vdGU+PENpdGU+PEF1dGhvcj5BbmRlcnNvbjwvQXV0aG9yPjxZZWFyPjIwMDg8L1llYXI+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</w:fldData>
        </w:fldChar>
      </w:r>
      <w:r w:rsidR="00B7572A">
        <w:rPr>
          <w:rFonts w:eastAsiaTheme="minorHAnsi"/>
        </w:rPr>
        <w:instrText xml:space="preserve"> ADDIN EN.CITE </w:instrText>
      </w:r>
      <w:r w:rsidR="00B7572A">
        <w:rPr>
          <w:rFonts w:eastAsiaTheme="minorHAnsi"/>
        </w:rPr>
        <w:fldChar w:fldCharType="begin">
          <w:fldData xml:space="preserve">PEVuZE5vdGU+PENpdGU+PEF1dGhvcj5BbmRlcnNvbjwvQXV0aG9yPjxZZWFyPjIwMDg8L1llYXI+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</w:fldData>
        </w:fldChar>
      </w:r>
      <w:r w:rsidR="00B7572A">
        <w:rPr>
          <w:rFonts w:eastAsiaTheme="minorHAnsi"/>
        </w:rPr>
        <w:instrText xml:space="preserve"> ADDIN EN.CITE.DATA </w:instrText>
      </w:r>
      <w:r w:rsidR="00B7572A">
        <w:rPr>
          <w:rFonts w:eastAsiaTheme="minorHAnsi"/>
        </w:rPr>
      </w:r>
      <w:r w:rsidR="00B7572A">
        <w:rPr>
          <w:rFonts w:eastAsiaTheme="minorHAnsi"/>
        </w:rPr>
        <w:fldChar w:fldCharType="end"/>
      </w:r>
      <w:r w:rsidR="00301182">
        <w:rPr>
          <w:rFonts w:eastAsiaTheme="minorHAnsi"/>
        </w:rPr>
      </w:r>
      <w:r w:rsidR="00301182">
        <w:rPr>
          <w:rFonts w:eastAsiaTheme="minorHAnsi"/>
        </w:rPr>
        <w:fldChar w:fldCharType="separate"/>
      </w:r>
      <w:r w:rsidR="00B7572A">
        <w:rPr>
          <w:rFonts w:eastAsiaTheme="minorHAnsi"/>
          <w:noProof/>
        </w:rPr>
        <w:t>(</w:t>
      </w:r>
      <w:hyperlink w:anchor="_ENREF_3" w:tooltip="Anderson, 2008 #327" w:history="1">
        <w:r w:rsidR="00FB5014">
          <w:rPr>
            <w:rFonts w:eastAsiaTheme="minorHAnsi"/>
            <w:noProof/>
          </w:rPr>
          <w:t>Anderson and Akin, 2008</w:t>
        </w:r>
      </w:hyperlink>
      <w:r w:rsidR="00B7572A">
        <w:rPr>
          <w:rFonts w:eastAsiaTheme="minorHAnsi"/>
          <w:noProof/>
        </w:rPr>
        <w:t xml:space="preserve">; </w:t>
      </w:r>
      <w:hyperlink w:anchor="_ENREF_30" w:tooltip="Dien, 2009 #323" w:history="1">
        <w:r w:rsidR="00FB5014">
          <w:rPr>
            <w:rFonts w:eastAsiaTheme="minorHAnsi"/>
            <w:noProof/>
          </w:rPr>
          <w:t>Dien et al., 2009</w:t>
        </w:r>
      </w:hyperlink>
      <w:r w:rsidR="00B7572A">
        <w:rPr>
          <w:rFonts w:eastAsiaTheme="minorHAnsi"/>
          <w:noProof/>
        </w:rPr>
        <w:t xml:space="preserve">; </w:t>
      </w:r>
      <w:hyperlink w:anchor="_ENREF_31" w:tooltip="Dien, 2006 #324" w:history="1">
        <w:r w:rsidR="00FB5014">
          <w:rPr>
            <w:rFonts w:eastAsiaTheme="minorHAnsi"/>
            <w:noProof/>
          </w:rPr>
          <w:t>Dien et al., 2006</w:t>
        </w:r>
      </w:hyperlink>
      <w:r w:rsidR="00B7572A">
        <w:rPr>
          <w:rFonts w:eastAsiaTheme="minorHAnsi"/>
          <w:noProof/>
        </w:rPr>
        <w:t xml:space="preserve">; </w:t>
      </w:r>
      <w:hyperlink w:anchor="_ENREF_35" w:tooltip="Fu, 2011 #279" w:history="1">
        <w:r w:rsidR="00FB5014">
          <w:rPr>
            <w:rFonts w:eastAsiaTheme="minorHAnsi"/>
            <w:noProof/>
          </w:rPr>
          <w:t>Fu et al., 2011</w:t>
        </w:r>
      </w:hyperlink>
      <w:r w:rsidR="00B7572A">
        <w:rPr>
          <w:rFonts w:eastAsiaTheme="minorHAnsi"/>
          <w:noProof/>
        </w:rPr>
        <w:t xml:space="preserve">; </w:t>
      </w:r>
      <w:hyperlink w:anchor="_ENREF_87" w:tooltip="Shen, 2009 #326" w:history="1">
        <w:r w:rsidR="00FB5014">
          <w:rPr>
            <w:rFonts w:eastAsiaTheme="minorHAnsi"/>
            <w:noProof/>
          </w:rPr>
          <w:t>Shen et al., 2009</w:t>
        </w:r>
      </w:hyperlink>
      <w:r w:rsidR="00B7572A">
        <w:rPr>
          <w:rFonts w:eastAsiaTheme="minorHAnsi"/>
          <w:noProof/>
        </w:rPr>
        <w:t>)</w:t>
      </w:r>
      <w:r w:rsidR="00301182">
        <w:rPr>
          <w:rFonts w:eastAsiaTheme="minorHAnsi"/>
        </w:rPr>
        <w:fldChar w:fldCharType="end"/>
      </w:r>
      <w:r w:rsidR="005C423F">
        <w:rPr>
          <w:rFonts w:eastAsiaTheme="minorHAnsi"/>
        </w:rPr>
        <w:t>, e</w:t>
      </w:r>
      <w:r w:rsidR="000822E8">
        <w:rPr>
          <w:rFonts w:eastAsiaTheme="minorHAnsi"/>
        </w:rPr>
        <w:t xml:space="preserve">stimates of </w:t>
      </w:r>
      <w:r>
        <w:rPr>
          <w:rFonts w:eastAsiaTheme="minorHAnsi"/>
        </w:rPr>
        <w:t xml:space="preserve">IVDMD </w:t>
      </w:r>
      <w:r w:rsidR="000822E8">
        <w:rPr>
          <w:rFonts w:eastAsiaTheme="minorHAnsi"/>
        </w:rPr>
        <w:t>have</w:t>
      </w:r>
      <w:r>
        <w:rPr>
          <w:rFonts w:eastAsiaTheme="minorHAnsi"/>
        </w:rPr>
        <w:t xml:space="preserve"> been shown to be a good indicator of ethanol yield </w:t>
      </w:r>
      <w:r w:rsidR="00301182">
        <w:rPr>
          <w:rFonts w:eastAsiaTheme="minorHAnsi"/>
        </w:rPr>
        <w:fldChar w:fldCharType="begin"/>
      </w:r>
      <w:r w:rsidR="00433FC9">
        <w:rPr>
          <w:rFonts w:eastAsiaTheme="minorHAnsi"/>
        </w:rPr>
        <w:instrText xml:space="preserve"> ADDIN EN.CITE &lt;EndNote&gt;&lt;Cite&gt;&lt;Author&gt;Sarath&lt;/Author&gt;&lt;Year&gt;2011&lt;/Year&gt;&lt;RecNum&gt;320&lt;/RecNum&gt;&lt;DisplayText&gt;(Sarath et al., 2011)&lt;/DisplayText&gt;&lt;record&gt;&lt;rec-number&gt;320&lt;/rec-number&gt;&lt;foreign-keys&gt;&lt;key app="EN" db-id="9zfxt259rawwvce0pfa5efeuatdw0pz5va5z" timestamp="1411767014"&gt;320&lt;/key&gt;&lt;/foreign-keys&gt;&lt;ref-type name="Journal Article"&gt;17&lt;/ref-type&gt;&lt;contributors&gt;&lt;authors&gt;&lt;author&gt;Sarath, G.&lt;/author&gt;&lt;author&gt;Dien, B. &lt;/author&gt;&lt;author&gt;Saathoff, A.J.&lt;/author&gt;&lt;author&gt;Vogel, K.P.&lt;/author&gt;&lt;author&gt;Mitchell, R.B.&lt;/author&gt;&lt;author&gt;Chen, H.&lt;/author&gt;&lt;/authors&gt;&lt;/contributors&gt;&lt;titles&gt;&lt;title&gt;Ethanol yields and cell wall properties in divergently bred switchgrass genotypes&lt;/title&gt;&lt;secondary-title&gt;Bioresource Technology&lt;/secondary-title&gt;&lt;/titles&gt;&lt;periodical&gt;&lt;full-title&gt;Bioresource Technology&lt;/full-title&gt;&lt;/periodical&gt;&lt;pages&gt;9579-9585&lt;/pages&gt;&lt;volume&gt;102&lt;/volume&gt;&lt;section&gt;9579&lt;/section&gt;&lt;dates&gt;&lt;year&gt;2011&lt;/year&gt;&lt;/dates&gt;&lt;urls&gt;&lt;/urls&gt;&lt;/record&gt;&lt;/Cite&gt;&lt;/EndNote&gt;</w:instrText>
      </w:r>
      <w:r w:rsidR="00301182">
        <w:rPr>
          <w:rFonts w:eastAsiaTheme="minorHAnsi"/>
        </w:rPr>
        <w:fldChar w:fldCharType="separate"/>
      </w:r>
      <w:r w:rsidR="00433FC9">
        <w:rPr>
          <w:rFonts w:eastAsiaTheme="minorHAnsi"/>
          <w:noProof/>
        </w:rPr>
        <w:t>(</w:t>
      </w:r>
      <w:hyperlink w:anchor="_ENREF_86" w:tooltip="Sarath, 2011 #320" w:history="1">
        <w:r w:rsidR="00FB5014">
          <w:rPr>
            <w:rFonts w:eastAsiaTheme="minorHAnsi"/>
            <w:noProof/>
          </w:rPr>
          <w:t>Sarath et al., 2011</w:t>
        </w:r>
      </w:hyperlink>
      <w:r w:rsidR="00433FC9">
        <w:rPr>
          <w:rFonts w:eastAsiaTheme="minorHAnsi"/>
          <w:noProof/>
        </w:rPr>
        <w:t>)</w:t>
      </w:r>
      <w:r w:rsidR="00301182">
        <w:rPr>
          <w:rFonts w:eastAsiaTheme="minorHAnsi"/>
        </w:rPr>
        <w:fldChar w:fldCharType="end"/>
      </w:r>
      <w:r w:rsidR="00433FC9">
        <w:rPr>
          <w:rFonts w:eastAsiaTheme="minorHAnsi"/>
        </w:rPr>
        <w:t>.</w:t>
      </w:r>
      <w:r>
        <w:rPr>
          <w:rFonts w:eastAsiaTheme="minorHAnsi"/>
        </w:rPr>
        <w:t xml:space="preserve"> A study by </w:t>
      </w:r>
      <w:hyperlink w:anchor="_ENREF_17" w:tooltip="Butkute, 2013 #319" w:history="1">
        <w:r w:rsidR="00FB5014">
          <w:rPr>
            <w:rFonts w:eastAsiaTheme="minorHAnsi"/>
          </w:rPr>
          <w:fldChar w:fldCharType="begin"/>
        </w:r>
        <w:r w:rsidR="00FB5014">
          <w:rPr>
            <w:rFonts w:eastAsiaTheme="minorHAnsi"/>
          </w:rPr>
          <w:instrText xml:space="preserve"> ADDIN EN.CITE &lt;EndNote&gt;&lt;Cite AuthorYear="1"&gt;&lt;Author&gt;Butkute&lt;/Author&gt;&lt;Year&gt;2013&lt;/Year&gt;&lt;RecNum&gt;319&lt;/RecNum&gt;&lt;DisplayText&gt;Butkute et al. (2013)&lt;/DisplayText&gt;&lt;record&gt;&lt;rec-number&gt;319&lt;/rec-number&gt;&lt;foreign-keys&gt;&lt;key app="EN" db-id="9zfxt259rawwvce0pfa5efeuatdw0pz5va5z" timestamp="1411766334"&gt;319&lt;/key&gt;&lt;/foreign-keys&gt;&lt;ref-type name="Journal Article"&gt;17&lt;/ref-type&gt;&lt;contributors&gt;&lt;authors&gt;&lt;author&gt;Butkute, B.&lt;/author&gt;&lt;author&gt;Lemeziene, N.&lt;/author&gt;&lt;author&gt;Ceseviciene, J.&lt;/author&gt;&lt;author&gt;Liatukas, Z.&lt;/author&gt;&lt;author&gt;Dabkeviciene, G.&lt;/author&gt;&lt;/authors&gt;&lt;/contributors&gt;&lt;titles&gt;&lt;title&gt;&lt;style face="normal" font="default" size="100%"&gt;Carbohydrate and lignin partitioning in switchgrass (&lt;/style&gt;&lt;style face="italic" font="default" size="100%"&gt;Panicum virgatum&lt;/style&gt;&lt;style face="normal" font="default" size="100%"&gt; L.) biomass as a bioenergy feedstock&lt;/style&gt;&lt;/title&gt;&lt;secondary-title&gt;Zemdirbyste-Agriculture&lt;/secondary-title&gt;&lt;/titles&gt;&lt;periodical&gt;&lt;full-title&gt;Zemdirbyste-Agriculture&lt;/full-title&gt;&lt;/periodical&gt;&lt;pages&gt;251-260&lt;/pages&gt;&lt;volume&gt;100&lt;/volume&gt;&lt;number&gt;3&lt;/number&gt;&lt;section&gt;251&lt;/section&gt;&lt;dates&gt;&lt;year&gt;2013&lt;/year&gt;&lt;/dates&gt;&lt;urls&gt;&lt;/urls&gt;&lt;/record&gt;&lt;/Cite&gt;&lt;/EndNote&gt;</w:instrText>
        </w:r>
        <w:r w:rsidR="00FB5014">
          <w:rPr>
            <w:rFonts w:eastAsiaTheme="minorHAnsi"/>
          </w:rPr>
          <w:fldChar w:fldCharType="separate"/>
        </w:r>
        <w:r w:rsidR="00FB5014">
          <w:rPr>
            <w:rFonts w:eastAsiaTheme="minorHAnsi"/>
            <w:noProof/>
          </w:rPr>
          <w:t>Butkute et al. (2013)</w:t>
        </w:r>
        <w:r w:rsidR="00FB5014">
          <w:rPr>
            <w:rFonts w:eastAsiaTheme="minorHAnsi"/>
          </w:rPr>
          <w:fldChar w:fldCharType="end"/>
        </w:r>
      </w:hyperlink>
      <w:r>
        <w:rPr>
          <w:rFonts w:eastAsiaTheme="minorHAnsi"/>
        </w:rPr>
        <w:t xml:space="preserve"> found positive correlations of r</w:t>
      </w:r>
      <w:r w:rsidR="005C423F">
        <w:rPr>
          <w:rFonts w:eastAsiaTheme="minorHAnsi"/>
        </w:rPr>
        <w:t xml:space="preserve"> </w:t>
      </w:r>
      <w:r>
        <w:rPr>
          <w:rFonts w:eastAsiaTheme="minorHAnsi"/>
        </w:rPr>
        <w:t>=</w:t>
      </w:r>
      <w:r w:rsidR="005C423F">
        <w:rPr>
          <w:rFonts w:eastAsiaTheme="minorHAnsi"/>
        </w:rPr>
        <w:t xml:space="preserve"> </w:t>
      </w:r>
      <w:r>
        <w:rPr>
          <w:rFonts w:eastAsiaTheme="minorHAnsi"/>
        </w:rPr>
        <w:t>0.5</w:t>
      </w:r>
      <w:r w:rsidR="00404199">
        <w:rPr>
          <w:rFonts w:eastAsiaTheme="minorHAnsi"/>
        </w:rPr>
        <w:t>2</w:t>
      </w:r>
      <w:r>
        <w:rPr>
          <w:rFonts w:eastAsiaTheme="minorHAnsi"/>
        </w:rPr>
        <w:t xml:space="preserve"> between dry matter</w:t>
      </w:r>
      <w:r w:rsidR="00404199">
        <w:rPr>
          <w:rFonts w:eastAsiaTheme="minorHAnsi"/>
        </w:rPr>
        <w:t xml:space="preserve"> yield and lignin and </w:t>
      </w:r>
      <w:r w:rsidR="00A61759">
        <w:rPr>
          <w:rFonts w:eastAsiaTheme="minorHAnsi"/>
        </w:rPr>
        <w:t xml:space="preserve">r = </w:t>
      </w:r>
      <w:r w:rsidR="00404199">
        <w:rPr>
          <w:rFonts w:eastAsiaTheme="minorHAnsi"/>
        </w:rPr>
        <w:t>0.78</w:t>
      </w:r>
      <w:r>
        <w:rPr>
          <w:rFonts w:eastAsiaTheme="minorHAnsi"/>
        </w:rPr>
        <w:t xml:space="preserve"> between dry matter yield and NDF. Vogel et al. (2013) found selection for high IVDMD resulted in a 10% decrease in biomass yield. As IVDMD increased, less digestible components such as ADF and NDF decreased. As plants grow larger, a stronger cellular support system is required to </w:t>
      </w:r>
      <w:r>
        <w:rPr>
          <w:rFonts w:eastAsiaTheme="minorHAnsi"/>
        </w:rPr>
        <w:lastRenderedPageBreak/>
        <w:t>maintain structure. Since structural components, s</w:t>
      </w:r>
      <w:r w:rsidR="00F87ACF">
        <w:rPr>
          <w:rFonts w:eastAsiaTheme="minorHAnsi"/>
        </w:rPr>
        <w:t xml:space="preserve">uch as lignin, can limit the </w:t>
      </w:r>
      <w:r>
        <w:rPr>
          <w:rFonts w:eastAsiaTheme="minorHAnsi"/>
        </w:rPr>
        <w:t xml:space="preserve">conversion of biomass to ethanol, a positive correlation of lignin with biomass yield observed in other studies and the equivalent negative correlation of </w:t>
      </w:r>
      <w:r w:rsidR="0095454C">
        <w:rPr>
          <w:rFonts w:eastAsiaTheme="minorHAnsi"/>
        </w:rPr>
        <w:t>predicted ethanol yield</w:t>
      </w:r>
      <w:r>
        <w:rPr>
          <w:rFonts w:eastAsiaTheme="minorHAnsi"/>
        </w:rPr>
        <w:t xml:space="preserve"> with biomass yield observed in this study is not unexpected. Additionally, the largest correlation between </w:t>
      </w:r>
      <w:r w:rsidR="0095454C">
        <w:rPr>
          <w:rFonts w:eastAsiaTheme="minorHAnsi"/>
        </w:rPr>
        <w:t>predicted ethanol yield</w:t>
      </w:r>
      <w:r>
        <w:rPr>
          <w:rFonts w:eastAsiaTheme="minorHAnsi"/>
        </w:rPr>
        <w:t xml:space="preserve"> and a morphological trait was with tiller diameter (r</w:t>
      </w:r>
      <w:r w:rsidR="00F87ACF">
        <w:rPr>
          <w:rFonts w:eastAsiaTheme="minorHAnsi"/>
        </w:rPr>
        <w:t xml:space="preserve"> </w:t>
      </w:r>
      <w:r>
        <w:rPr>
          <w:rFonts w:eastAsiaTheme="minorHAnsi"/>
        </w:rPr>
        <w:t>=</w:t>
      </w:r>
      <w:r w:rsidR="00F87ACF">
        <w:rPr>
          <w:rFonts w:eastAsiaTheme="minorHAnsi"/>
        </w:rPr>
        <w:t xml:space="preserve"> </w:t>
      </w:r>
      <w:r>
        <w:rPr>
          <w:rFonts w:eastAsiaTheme="minorHAnsi"/>
        </w:rPr>
        <w:t xml:space="preserve">-0.28). Again, this is not unexpected since stems in switchgrass are more lignified than other plant components (Mann, 2009). These results indicate breeding for morphology associated with higher biomass yield may negatively impact predicted ethanol yield. However, since </w:t>
      </w:r>
      <w:r w:rsidR="0095454C">
        <w:rPr>
          <w:rFonts w:eastAsiaTheme="minorHAnsi"/>
        </w:rPr>
        <w:t>predicted ethanol yield</w:t>
      </w:r>
      <w:r>
        <w:rPr>
          <w:rFonts w:eastAsiaTheme="minorHAnsi"/>
        </w:rPr>
        <w:t xml:space="preserve"> is reported in mg g</w:t>
      </w:r>
      <w:r>
        <w:rPr>
          <w:rFonts w:eastAsiaTheme="minorHAnsi"/>
          <w:vertAlign w:val="superscript"/>
        </w:rPr>
        <w:t>-1</w:t>
      </w:r>
      <w:r>
        <w:rPr>
          <w:rFonts w:eastAsiaTheme="minorHAnsi"/>
        </w:rPr>
        <w:t xml:space="preserve"> </w:t>
      </w:r>
      <w:r w:rsidR="00404199">
        <w:rPr>
          <w:rFonts w:eastAsiaTheme="minorHAnsi"/>
        </w:rPr>
        <w:t>DM</w:t>
      </w:r>
      <w:r>
        <w:rPr>
          <w:rFonts w:eastAsiaTheme="minorHAnsi"/>
        </w:rPr>
        <w:t xml:space="preserve">, a slight reduction in </w:t>
      </w:r>
      <w:r w:rsidR="0095454C">
        <w:rPr>
          <w:rFonts w:eastAsiaTheme="minorHAnsi"/>
        </w:rPr>
        <w:t>predicted ethanol yield</w:t>
      </w:r>
      <w:r>
        <w:rPr>
          <w:rFonts w:eastAsiaTheme="minorHAnsi"/>
        </w:rPr>
        <w:t xml:space="preserve"> in higher biomass yielding plants would in all probability not result in an overall reduction of </w:t>
      </w:r>
      <w:r w:rsidR="0095454C">
        <w:rPr>
          <w:rFonts w:eastAsiaTheme="minorHAnsi"/>
        </w:rPr>
        <w:t>predicted ethanol yield</w:t>
      </w:r>
      <w:r>
        <w:rPr>
          <w:rFonts w:eastAsiaTheme="minorHAnsi"/>
        </w:rPr>
        <w:t xml:space="preserve"> on a per plant basis</w:t>
      </w:r>
      <w:r w:rsidR="00954DB7">
        <w:rPr>
          <w:rFonts w:eastAsiaTheme="minorHAnsi"/>
        </w:rPr>
        <w:t xml:space="preserve">. </w:t>
      </w:r>
      <w:r w:rsidR="0053110D">
        <w:rPr>
          <w:rFonts w:eastAsiaTheme="minorHAnsi"/>
        </w:rPr>
        <w:t>For example, of the F1 populations analyzed for both biomass yield (g plant</w:t>
      </w:r>
      <w:r w:rsidR="0053110D" w:rsidRPr="0053110D">
        <w:rPr>
          <w:rFonts w:eastAsiaTheme="minorHAnsi"/>
          <w:vertAlign w:val="superscript"/>
        </w:rPr>
        <w:t>-1</w:t>
      </w:r>
      <w:r w:rsidR="0053110D">
        <w:rPr>
          <w:rFonts w:eastAsiaTheme="minorHAnsi"/>
        </w:rPr>
        <w:t>) and ethanol yield (mg g</w:t>
      </w:r>
      <w:r w:rsidR="0053110D" w:rsidRPr="0053110D">
        <w:rPr>
          <w:rFonts w:eastAsiaTheme="minorHAnsi"/>
          <w:vertAlign w:val="superscript"/>
        </w:rPr>
        <w:t>-1</w:t>
      </w:r>
      <w:r w:rsidR="0053110D">
        <w:rPr>
          <w:rFonts w:eastAsiaTheme="minorHAnsi"/>
        </w:rPr>
        <w:t>), the highest biomass yielding cross was T1xM (biomass yield: 1707 g plant</w:t>
      </w:r>
      <w:r w:rsidR="0053110D" w:rsidRPr="0053110D">
        <w:rPr>
          <w:rFonts w:eastAsiaTheme="minorHAnsi"/>
          <w:vertAlign w:val="superscript"/>
        </w:rPr>
        <w:t>-1</w:t>
      </w:r>
      <w:r w:rsidR="0053110D">
        <w:rPr>
          <w:rFonts w:eastAsiaTheme="minorHAnsi"/>
        </w:rPr>
        <w:t>, ethanol yield: 67 mg g</w:t>
      </w:r>
      <w:r w:rsidR="0053110D" w:rsidRPr="0053110D">
        <w:rPr>
          <w:rFonts w:eastAsiaTheme="minorHAnsi"/>
          <w:vertAlign w:val="superscript"/>
        </w:rPr>
        <w:t>-1</w:t>
      </w:r>
      <w:r w:rsidR="0053110D">
        <w:rPr>
          <w:rFonts w:eastAsiaTheme="minorHAnsi"/>
        </w:rPr>
        <w:t>) while the highest ethanol yielding cross was A10xK3 (biomass yield: 1028 g plant-1, ethanol yield: 70 mg g</w:t>
      </w:r>
      <w:r w:rsidR="0053110D" w:rsidRPr="0053110D">
        <w:rPr>
          <w:rFonts w:eastAsiaTheme="minorHAnsi"/>
          <w:vertAlign w:val="superscript"/>
        </w:rPr>
        <w:t>-1</w:t>
      </w:r>
      <w:r w:rsidR="0053110D">
        <w:rPr>
          <w:rFonts w:eastAsiaTheme="minorHAnsi"/>
        </w:rPr>
        <w:t>). In terms of overall ethanol yield per plant, the T1xM cross, which had a lower ethanol production potential, would still result in higher ethanol yield per plant (114 g plant</w:t>
      </w:r>
      <w:r w:rsidR="0053110D" w:rsidRPr="0053110D">
        <w:rPr>
          <w:rFonts w:eastAsiaTheme="minorHAnsi"/>
          <w:vertAlign w:val="superscript"/>
        </w:rPr>
        <w:t>-1</w:t>
      </w:r>
      <w:r w:rsidR="0053110D">
        <w:rPr>
          <w:rFonts w:eastAsiaTheme="minorHAnsi"/>
        </w:rPr>
        <w:t>) compared to the A10xK3 cross (72 g plant</w:t>
      </w:r>
      <w:r w:rsidR="0053110D">
        <w:rPr>
          <w:rFonts w:eastAsiaTheme="minorHAnsi"/>
          <w:vertAlign w:val="superscript"/>
        </w:rPr>
        <w:t>-1</w:t>
      </w:r>
      <w:r w:rsidR="0053110D">
        <w:rPr>
          <w:rFonts w:eastAsiaTheme="minorHAnsi"/>
        </w:rPr>
        <w:t>), which had a higher ethanol production potential but lower biomass yield</w:t>
      </w:r>
      <w:r w:rsidR="00954DB7">
        <w:rPr>
          <w:rFonts w:eastAsiaTheme="minorHAnsi"/>
        </w:rPr>
        <w:t xml:space="preserve">. </w:t>
      </w:r>
    </w:p>
    <w:p w14:paraId="49A5D8DB" w14:textId="5BC73D71" w:rsidR="00596A40" w:rsidRDefault="00596A40" w:rsidP="00596A40">
      <w:pPr>
        <w:rPr>
          <w:rFonts w:eastAsiaTheme="minorHAnsi"/>
        </w:rPr>
      </w:pPr>
      <w:r>
        <w:rPr>
          <w:rFonts w:eastAsiaTheme="minorHAnsi"/>
        </w:rPr>
        <w:tab/>
        <w:t>Juvenile evaluations showed significant but very low correlations of tiller diameter (r</w:t>
      </w:r>
      <w:r w:rsidR="00F87ACF">
        <w:rPr>
          <w:rFonts w:eastAsiaTheme="minorHAnsi"/>
        </w:rPr>
        <w:t xml:space="preserve"> </w:t>
      </w:r>
      <w:r>
        <w:rPr>
          <w:rFonts w:eastAsiaTheme="minorHAnsi"/>
        </w:rPr>
        <w:t>=</w:t>
      </w:r>
      <w:r w:rsidR="00F87ACF">
        <w:rPr>
          <w:rFonts w:eastAsiaTheme="minorHAnsi"/>
        </w:rPr>
        <w:t xml:space="preserve"> </w:t>
      </w:r>
      <w:r>
        <w:rPr>
          <w:rFonts w:eastAsiaTheme="minorHAnsi"/>
        </w:rPr>
        <w:t xml:space="preserve">0.08) and </w:t>
      </w:r>
      <w:r w:rsidR="00B8390A">
        <w:rPr>
          <w:rFonts w:eastAsiaTheme="minorHAnsi"/>
        </w:rPr>
        <w:t>leaf width</w:t>
      </w:r>
      <w:r>
        <w:rPr>
          <w:rFonts w:eastAsiaTheme="minorHAnsi"/>
        </w:rPr>
        <w:t xml:space="preserve"> (r</w:t>
      </w:r>
      <w:r w:rsidR="00F87ACF">
        <w:rPr>
          <w:rFonts w:eastAsiaTheme="minorHAnsi"/>
        </w:rPr>
        <w:t xml:space="preserve"> </w:t>
      </w:r>
      <w:r>
        <w:rPr>
          <w:rFonts w:eastAsiaTheme="minorHAnsi"/>
        </w:rPr>
        <w:t>=</w:t>
      </w:r>
      <w:r w:rsidR="00F87ACF">
        <w:rPr>
          <w:rFonts w:eastAsiaTheme="minorHAnsi"/>
        </w:rPr>
        <w:t xml:space="preserve"> </w:t>
      </w:r>
      <w:r>
        <w:rPr>
          <w:rFonts w:eastAsiaTheme="minorHAnsi"/>
        </w:rPr>
        <w:t>0.10) with 2013 biomass yield</w:t>
      </w:r>
      <w:r w:rsidR="00404199">
        <w:rPr>
          <w:rFonts w:eastAsiaTheme="minorHAnsi"/>
        </w:rPr>
        <w:t xml:space="preserve"> (Table 2</w:t>
      </w:r>
      <w:r w:rsidR="00C86908">
        <w:rPr>
          <w:rFonts w:eastAsiaTheme="minorHAnsi"/>
        </w:rPr>
        <w:t>-2</w:t>
      </w:r>
      <w:r w:rsidR="00404199">
        <w:rPr>
          <w:rFonts w:eastAsiaTheme="minorHAnsi"/>
        </w:rPr>
        <w:t>)</w:t>
      </w:r>
      <w:r>
        <w:rPr>
          <w:rFonts w:eastAsiaTheme="minorHAnsi"/>
        </w:rPr>
        <w:t>. Surprisingly, juvenile evaluations of height (r</w:t>
      </w:r>
      <w:r w:rsidR="00F87ACF">
        <w:rPr>
          <w:rFonts w:eastAsiaTheme="minorHAnsi"/>
        </w:rPr>
        <w:t xml:space="preserve"> </w:t>
      </w:r>
      <w:r>
        <w:rPr>
          <w:rFonts w:eastAsiaTheme="minorHAnsi"/>
        </w:rPr>
        <w:t>=</w:t>
      </w:r>
      <w:r w:rsidR="00F87ACF">
        <w:rPr>
          <w:rFonts w:eastAsiaTheme="minorHAnsi"/>
        </w:rPr>
        <w:t xml:space="preserve"> </w:t>
      </w:r>
      <w:r>
        <w:rPr>
          <w:rFonts w:eastAsiaTheme="minorHAnsi"/>
        </w:rPr>
        <w:t>0.16), tiller number (r</w:t>
      </w:r>
      <w:r w:rsidR="00F87ACF">
        <w:rPr>
          <w:rFonts w:eastAsiaTheme="minorHAnsi"/>
        </w:rPr>
        <w:t xml:space="preserve"> </w:t>
      </w:r>
      <w:r>
        <w:rPr>
          <w:rFonts w:eastAsiaTheme="minorHAnsi"/>
        </w:rPr>
        <w:t>=</w:t>
      </w:r>
      <w:r w:rsidR="00F87ACF">
        <w:rPr>
          <w:rFonts w:eastAsiaTheme="minorHAnsi"/>
        </w:rPr>
        <w:t xml:space="preserve"> </w:t>
      </w:r>
      <w:r>
        <w:rPr>
          <w:rFonts w:eastAsiaTheme="minorHAnsi"/>
        </w:rPr>
        <w:t>0.17), and biomass yield (</w:t>
      </w:r>
      <w:r w:rsidR="00F87ACF">
        <w:rPr>
          <w:rFonts w:eastAsiaTheme="minorHAnsi"/>
        </w:rPr>
        <w:t xml:space="preserve">r = </w:t>
      </w:r>
      <w:r>
        <w:rPr>
          <w:rFonts w:eastAsiaTheme="minorHAnsi"/>
        </w:rPr>
        <w:t xml:space="preserve">0.18) had small but significant positive correlations to 2013 </w:t>
      </w:r>
      <w:r w:rsidR="0095454C">
        <w:rPr>
          <w:rFonts w:eastAsiaTheme="minorHAnsi"/>
        </w:rPr>
        <w:t>predicted ethanol yield</w:t>
      </w:r>
      <w:r>
        <w:rPr>
          <w:rFonts w:eastAsiaTheme="minorHAnsi"/>
        </w:rPr>
        <w:t xml:space="preserve">. In the within </w:t>
      </w:r>
      <w:r w:rsidR="00404199">
        <w:rPr>
          <w:rFonts w:eastAsiaTheme="minorHAnsi"/>
        </w:rPr>
        <w:t>year correlations</w:t>
      </w:r>
      <w:r>
        <w:rPr>
          <w:rFonts w:eastAsiaTheme="minorHAnsi"/>
        </w:rPr>
        <w:t xml:space="preserve">, these traits all had negative correlations to </w:t>
      </w:r>
      <w:r w:rsidR="0095454C">
        <w:rPr>
          <w:rFonts w:eastAsiaTheme="minorHAnsi"/>
        </w:rPr>
        <w:t>predicted ethanol yield</w:t>
      </w:r>
      <w:r w:rsidR="00404199">
        <w:rPr>
          <w:rFonts w:eastAsiaTheme="minorHAnsi"/>
        </w:rPr>
        <w:t xml:space="preserve"> (Table </w:t>
      </w:r>
      <w:r w:rsidR="00C86908">
        <w:rPr>
          <w:rFonts w:eastAsiaTheme="minorHAnsi"/>
        </w:rPr>
        <w:t>2-</w:t>
      </w:r>
      <w:r w:rsidR="00404199">
        <w:rPr>
          <w:rFonts w:eastAsiaTheme="minorHAnsi"/>
        </w:rPr>
        <w:t>1)</w:t>
      </w:r>
      <w:r>
        <w:rPr>
          <w:rFonts w:eastAsiaTheme="minorHAnsi"/>
        </w:rPr>
        <w:t xml:space="preserve">. Correlation coefficients of traits evaluated in the fall of the establishment year to second year </w:t>
      </w:r>
      <w:r>
        <w:rPr>
          <w:rFonts w:eastAsiaTheme="minorHAnsi"/>
        </w:rPr>
        <w:lastRenderedPageBreak/>
        <w:t xml:space="preserve">biomass and </w:t>
      </w:r>
      <w:r w:rsidR="0095454C">
        <w:rPr>
          <w:rFonts w:eastAsiaTheme="minorHAnsi"/>
        </w:rPr>
        <w:t>predicted ethanol yield</w:t>
      </w:r>
      <w:r>
        <w:rPr>
          <w:rFonts w:eastAsiaTheme="minorHAnsi"/>
        </w:rPr>
        <w:t xml:space="preserve"> were similar to correlation coefficients of traits evaluated in the second year with second year biomass and </w:t>
      </w:r>
      <w:r w:rsidR="0095454C">
        <w:rPr>
          <w:rFonts w:eastAsiaTheme="minorHAnsi"/>
        </w:rPr>
        <w:t>predicted ethanol yield</w:t>
      </w:r>
      <w:r w:rsidR="00404199">
        <w:rPr>
          <w:rFonts w:eastAsiaTheme="minorHAnsi"/>
        </w:rPr>
        <w:t xml:space="preserve"> (Table </w:t>
      </w:r>
      <w:r w:rsidR="00C86908">
        <w:rPr>
          <w:rFonts w:eastAsiaTheme="minorHAnsi"/>
        </w:rPr>
        <w:t>2-</w:t>
      </w:r>
      <w:r w:rsidR="00404199">
        <w:rPr>
          <w:rFonts w:eastAsiaTheme="minorHAnsi"/>
        </w:rPr>
        <w:t>1)</w:t>
      </w:r>
      <w:r>
        <w:rPr>
          <w:rFonts w:eastAsiaTheme="minorHAnsi"/>
        </w:rPr>
        <w:t>. Correlations of establishment year yields to second year biomass yields were moderately high (r</w:t>
      </w:r>
      <w:r w:rsidR="00F87ACF">
        <w:rPr>
          <w:rFonts w:eastAsiaTheme="minorHAnsi"/>
        </w:rPr>
        <w:t xml:space="preserve"> </w:t>
      </w:r>
      <w:r>
        <w:rPr>
          <w:rFonts w:eastAsiaTheme="minorHAnsi"/>
        </w:rPr>
        <w:t>=</w:t>
      </w:r>
      <w:r w:rsidR="00F87ACF">
        <w:rPr>
          <w:rFonts w:eastAsiaTheme="minorHAnsi"/>
        </w:rPr>
        <w:t xml:space="preserve"> </w:t>
      </w:r>
      <w:r>
        <w:rPr>
          <w:rFonts w:eastAsiaTheme="minorHAnsi"/>
        </w:rPr>
        <w:t xml:space="preserve">0.67), while correlations of establishment year </w:t>
      </w:r>
      <w:r w:rsidR="0095454C">
        <w:rPr>
          <w:rFonts w:eastAsiaTheme="minorHAnsi"/>
        </w:rPr>
        <w:t>predicted ethanol yield</w:t>
      </w:r>
      <w:r>
        <w:rPr>
          <w:rFonts w:eastAsiaTheme="minorHAnsi"/>
        </w:rPr>
        <w:t xml:space="preserve"> to second year </w:t>
      </w:r>
      <w:r w:rsidR="0095454C">
        <w:rPr>
          <w:rFonts w:eastAsiaTheme="minorHAnsi"/>
        </w:rPr>
        <w:t>predicted ethanol yield</w:t>
      </w:r>
      <w:r>
        <w:rPr>
          <w:rFonts w:eastAsiaTheme="minorHAnsi"/>
        </w:rPr>
        <w:t xml:space="preserve"> was moderate but low</w:t>
      </w:r>
      <w:r w:rsidR="00404199">
        <w:rPr>
          <w:rFonts w:eastAsiaTheme="minorHAnsi"/>
        </w:rPr>
        <w:t>er</w:t>
      </w:r>
      <w:r>
        <w:rPr>
          <w:rFonts w:eastAsiaTheme="minorHAnsi"/>
        </w:rPr>
        <w:t xml:space="preserve"> (r</w:t>
      </w:r>
      <w:r w:rsidR="00F87ACF">
        <w:rPr>
          <w:rFonts w:eastAsiaTheme="minorHAnsi"/>
        </w:rPr>
        <w:t xml:space="preserve"> </w:t>
      </w:r>
      <w:r>
        <w:rPr>
          <w:rFonts w:eastAsiaTheme="minorHAnsi"/>
        </w:rPr>
        <w:t>=</w:t>
      </w:r>
      <w:r w:rsidR="00F87ACF">
        <w:rPr>
          <w:rFonts w:eastAsiaTheme="minorHAnsi"/>
        </w:rPr>
        <w:t xml:space="preserve"> </w:t>
      </w:r>
      <w:r>
        <w:rPr>
          <w:rFonts w:eastAsiaTheme="minorHAnsi"/>
        </w:rPr>
        <w:t>0.31). Fall height and biomass yield in the establishment year were more highly correlated to second year biomass yield</w:t>
      </w:r>
      <w:r w:rsidR="003A2EEC">
        <w:rPr>
          <w:rFonts w:eastAsiaTheme="minorHAnsi"/>
        </w:rPr>
        <w:t xml:space="preserve"> (Table 2</w:t>
      </w:r>
      <w:r w:rsidR="00C86908">
        <w:rPr>
          <w:rFonts w:eastAsiaTheme="minorHAnsi"/>
        </w:rPr>
        <w:t>-2</w:t>
      </w:r>
      <w:r w:rsidR="003A2EEC">
        <w:rPr>
          <w:rFonts w:eastAsiaTheme="minorHAnsi"/>
        </w:rPr>
        <w:t>)</w:t>
      </w:r>
      <w:r>
        <w:rPr>
          <w:rFonts w:eastAsiaTheme="minorHAnsi"/>
        </w:rPr>
        <w:t xml:space="preserve"> than any of the traits measured in the spring of the second year, with exception to tiller number</w:t>
      </w:r>
      <w:r w:rsidR="003A2EEC">
        <w:rPr>
          <w:rFonts w:eastAsiaTheme="minorHAnsi"/>
        </w:rPr>
        <w:t xml:space="preserve"> (Table </w:t>
      </w:r>
      <w:r w:rsidR="00C86908">
        <w:rPr>
          <w:rFonts w:eastAsiaTheme="minorHAnsi"/>
        </w:rPr>
        <w:t>2-</w:t>
      </w:r>
      <w:r w:rsidR="003A2EEC">
        <w:rPr>
          <w:rFonts w:eastAsiaTheme="minorHAnsi"/>
        </w:rPr>
        <w:t>1)</w:t>
      </w:r>
      <w:r>
        <w:rPr>
          <w:rFonts w:eastAsiaTheme="minorHAnsi"/>
        </w:rPr>
        <w:t xml:space="preserve">. These results indicate that, although establishment year biomass yield is not equivalent to </w:t>
      </w:r>
      <w:r w:rsidR="00ED1B93">
        <w:rPr>
          <w:rFonts w:eastAsiaTheme="minorHAnsi"/>
        </w:rPr>
        <w:t>maximum biomass</w:t>
      </w:r>
      <w:r>
        <w:rPr>
          <w:rFonts w:eastAsiaTheme="minorHAnsi"/>
        </w:rPr>
        <w:t xml:space="preserve"> yield </w:t>
      </w:r>
      <w:r w:rsidR="00ED1B93">
        <w:rPr>
          <w:rFonts w:eastAsiaTheme="minorHAnsi"/>
        </w:rPr>
        <w:t xml:space="preserve">potential </w:t>
      </w:r>
      <w:r>
        <w:rPr>
          <w:rFonts w:eastAsiaTheme="minorHAnsi"/>
        </w:rPr>
        <w:t xml:space="preserve">in switchgrass, selection based on establishment year biomass yield and height in a space planted nursery may be effective at increasing biomass yield in </w:t>
      </w:r>
      <w:r w:rsidR="00F87ACF">
        <w:rPr>
          <w:rFonts w:eastAsiaTheme="minorHAnsi"/>
        </w:rPr>
        <w:t>plants selected prior to reaching maximum biomass yields</w:t>
      </w:r>
      <w:r w:rsidR="00954DB7">
        <w:rPr>
          <w:rFonts w:eastAsiaTheme="minorHAnsi"/>
        </w:rPr>
        <w:t xml:space="preserve">. </w:t>
      </w:r>
      <w:r>
        <w:rPr>
          <w:rFonts w:eastAsiaTheme="minorHAnsi"/>
        </w:rPr>
        <w:t xml:space="preserve">    </w:t>
      </w:r>
    </w:p>
    <w:p w14:paraId="7A7D13F6" w14:textId="77777777" w:rsidR="00596A40" w:rsidRDefault="00596A40" w:rsidP="00596A40">
      <w:pPr>
        <w:pStyle w:val="Heading3"/>
        <w:rPr>
          <w:rFonts w:eastAsiaTheme="minorHAnsi" w:cs="Times New Roman"/>
        </w:rPr>
      </w:pPr>
      <w:bookmarkStart w:id="65" w:name="_Toc404069842"/>
      <w:r w:rsidRPr="00681808">
        <w:rPr>
          <w:rFonts w:eastAsiaTheme="minorHAnsi" w:cs="Times New Roman"/>
        </w:rPr>
        <w:t>Variance Components</w:t>
      </w:r>
      <w:r w:rsidR="00D5280E">
        <w:rPr>
          <w:rFonts w:eastAsiaTheme="minorHAnsi" w:cs="Times New Roman"/>
        </w:rPr>
        <w:t xml:space="preserve"> of Measured Traits</w:t>
      </w:r>
      <w:bookmarkEnd w:id="65"/>
    </w:p>
    <w:p w14:paraId="2B73AC5F" w14:textId="1BDAAD6A" w:rsidR="00596A40" w:rsidRDefault="00596A40" w:rsidP="00596A40">
      <w:pPr>
        <w:rPr>
          <w:rFonts w:eastAsiaTheme="minorHAnsi"/>
        </w:rPr>
      </w:pPr>
      <w:r>
        <w:rPr>
          <w:rFonts w:eastAsiaTheme="minorHAnsi"/>
        </w:rPr>
        <w:tab/>
        <w:t>The total genetic variance was divided into two components, general combining ability (GCA) and sp</w:t>
      </w:r>
      <w:r w:rsidR="00C86908">
        <w:rPr>
          <w:rFonts w:eastAsiaTheme="minorHAnsi"/>
        </w:rPr>
        <w:t xml:space="preserve">ecific combining ability (SCA) with </w:t>
      </w:r>
      <w:r w:rsidR="00D917DA">
        <w:rPr>
          <w:rFonts w:eastAsiaTheme="minorHAnsi"/>
        </w:rPr>
        <w:t xml:space="preserve">the </w:t>
      </w:r>
      <w:r>
        <w:rPr>
          <w:rFonts w:eastAsiaTheme="minorHAnsi"/>
        </w:rPr>
        <w:t xml:space="preserve">relative importance of these components </w:t>
      </w:r>
      <w:r w:rsidR="00C86908">
        <w:rPr>
          <w:rFonts w:eastAsiaTheme="minorHAnsi"/>
        </w:rPr>
        <w:t xml:space="preserve">presented </w:t>
      </w:r>
      <w:r>
        <w:rPr>
          <w:rFonts w:eastAsiaTheme="minorHAnsi"/>
        </w:rPr>
        <w:t>for the traits biomass y</w:t>
      </w:r>
      <w:r w:rsidR="003A2EEC">
        <w:rPr>
          <w:rFonts w:eastAsiaTheme="minorHAnsi"/>
        </w:rPr>
        <w:t>ield</w:t>
      </w:r>
      <w:r w:rsidR="00D917DA">
        <w:rPr>
          <w:rFonts w:eastAsiaTheme="minorHAnsi"/>
        </w:rPr>
        <w:t xml:space="preserve">, </w:t>
      </w:r>
      <w:r w:rsidR="003A2EEC">
        <w:rPr>
          <w:rFonts w:eastAsiaTheme="minorHAnsi"/>
        </w:rPr>
        <w:t>predicted ethanol yield, fall h</w:t>
      </w:r>
      <w:r>
        <w:rPr>
          <w:rFonts w:eastAsiaTheme="minorHAnsi"/>
        </w:rPr>
        <w:t xml:space="preserve">eight, </w:t>
      </w:r>
      <w:r w:rsidR="003A2EEC">
        <w:rPr>
          <w:rFonts w:eastAsiaTheme="minorHAnsi"/>
        </w:rPr>
        <w:t>spring h</w:t>
      </w:r>
      <w:r>
        <w:rPr>
          <w:rFonts w:eastAsiaTheme="minorHAnsi"/>
        </w:rPr>
        <w:t>eight, tiller number, tiller diameter</w:t>
      </w:r>
      <w:r w:rsidR="00D917DA">
        <w:rPr>
          <w:rFonts w:eastAsiaTheme="minorHAnsi"/>
        </w:rPr>
        <w:t>,</w:t>
      </w:r>
      <w:r>
        <w:rPr>
          <w:rFonts w:eastAsiaTheme="minorHAnsi"/>
        </w:rPr>
        <w:t xml:space="preserve"> </w:t>
      </w:r>
      <w:r w:rsidR="00B8390A">
        <w:rPr>
          <w:rFonts w:eastAsiaTheme="minorHAnsi"/>
        </w:rPr>
        <w:t>leaf width</w:t>
      </w:r>
      <w:r w:rsidR="00C86908">
        <w:rPr>
          <w:rFonts w:eastAsiaTheme="minorHAnsi"/>
        </w:rPr>
        <w:t xml:space="preserve">, and </w:t>
      </w:r>
      <w:r w:rsidR="00DA675F">
        <w:rPr>
          <w:rFonts w:eastAsiaTheme="minorHAnsi"/>
        </w:rPr>
        <w:t>canopy density</w:t>
      </w:r>
      <w:r>
        <w:rPr>
          <w:rFonts w:eastAsiaTheme="minorHAnsi"/>
        </w:rPr>
        <w:t xml:space="preserve"> within years and across years</w:t>
      </w:r>
      <w:r w:rsidR="00D917DA">
        <w:rPr>
          <w:rFonts w:eastAsiaTheme="minorHAnsi"/>
        </w:rPr>
        <w:t xml:space="preserve"> (Table 2-3)</w:t>
      </w:r>
      <w:r>
        <w:rPr>
          <w:rFonts w:eastAsiaTheme="minorHAnsi"/>
        </w:rPr>
        <w:t xml:space="preserve">. </w:t>
      </w:r>
      <w:r w:rsidR="009C1A48">
        <w:rPr>
          <w:rFonts w:eastAsiaTheme="minorHAnsi"/>
        </w:rPr>
        <w:t>Rust severity</w:t>
      </w:r>
      <w:r w:rsidR="00267D09">
        <w:rPr>
          <w:rFonts w:eastAsiaTheme="minorHAnsi"/>
        </w:rPr>
        <w:t xml:space="preserve"> was evaluated at different stages of maturity in 2012 versus 2013, so data for this trait are presented by year and not as a combined analysis</w:t>
      </w:r>
      <w:r w:rsidR="00D917DA">
        <w:rPr>
          <w:rFonts w:eastAsiaTheme="minorHAnsi"/>
        </w:rPr>
        <w:t xml:space="preserve"> (Table 2-3</w:t>
      </w:r>
      <w:r w:rsidR="00C86908">
        <w:rPr>
          <w:rFonts w:eastAsiaTheme="minorHAnsi"/>
        </w:rPr>
        <w:t>)</w:t>
      </w:r>
      <w:r w:rsidR="00267D09">
        <w:rPr>
          <w:rFonts w:eastAsiaTheme="minorHAnsi"/>
        </w:rPr>
        <w:t xml:space="preserve">. </w:t>
      </w:r>
      <w:r>
        <w:rPr>
          <w:rFonts w:eastAsiaTheme="minorHAnsi"/>
        </w:rPr>
        <w:t>The percentage of total variation attributed to genotype by environmental variation, including interactions of GCA or SCA with location, block within location, or year, is also listed.</w:t>
      </w:r>
      <w:r w:rsidR="0071032E">
        <w:rPr>
          <w:rFonts w:eastAsiaTheme="minorHAnsi"/>
        </w:rPr>
        <w:t xml:space="preserve"> Effects with zero variance are not listed due to space constraints.</w:t>
      </w:r>
      <w:r w:rsidR="00C86908">
        <w:rPr>
          <w:rFonts w:eastAsiaTheme="minorHAnsi"/>
        </w:rPr>
        <w:t xml:space="preserve"> Traits that did not show </w:t>
      </w:r>
      <w:r w:rsidR="00CC74A4">
        <w:rPr>
          <w:rFonts w:eastAsiaTheme="minorHAnsi"/>
        </w:rPr>
        <w:t>moderate to high</w:t>
      </w:r>
      <w:r w:rsidR="00C86908">
        <w:rPr>
          <w:rFonts w:eastAsiaTheme="minorHAnsi"/>
        </w:rPr>
        <w:t xml:space="preserve"> correlations to bio</w:t>
      </w:r>
      <w:r w:rsidR="00CC74A4">
        <w:rPr>
          <w:rFonts w:eastAsiaTheme="minorHAnsi"/>
        </w:rPr>
        <w:t xml:space="preserve">mass yield, including </w:t>
      </w:r>
      <w:r w:rsidR="00DB61CB">
        <w:rPr>
          <w:rFonts w:eastAsiaTheme="minorHAnsi"/>
        </w:rPr>
        <w:t>plant color</w:t>
      </w:r>
      <w:r w:rsidR="00CC74A4">
        <w:rPr>
          <w:rFonts w:eastAsiaTheme="minorHAnsi"/>
        </w:rPr>
        <w:t xml:space="preserve"> and leaf angle, were excluded from further analyses</w:t>
      </w:r>
      <w:r w:rsidR="00954DB7">
        <w:rPr>
          <w:rFonts w:eastAsiaTheme="minorHAnsi"/>
        </w:rPr>
        <w:t xml:space="preserve">. </w:t>
      </w:r>
      <w:r>
        <w:rPr>
          <w:rFonts w:eastAsiaTheme="minorHAnsi"/>
        </w:rPr>
        <w:t xml:space="preserve"> </w:t>
      </w:r>
    </w:p>
    <w:p w14:paraId="0FA8707D" w14:textId="57082BFD" w:rsidR="00596A40" w:rsidRDefault="00596A40" w:rsidP="00596A40">
      <w:pPr>
        <w:ind w:firstLine="720"/>
        <w:rPr>
          <w:rFonts w:eastAsiaTheme="minorHAnsi"/>
        </w:rPr>
      </w:pPr>
      <w:r>
        <w:rPr>
          <w:rFonts w:eastAsiaTheme="minorHAnsi"/>
        </w:rPr>
        <w:lastRenderedPageBreak/>
        <w:t xml:space="preserve">All of the traits </w:t>
      </w:r>
      <w:r w:rsidR="00CC74A4">
        <w:rPr>
          <w:rFonts w:eastAsiaTheme="minorHAnsi"/>
        </w:rPr>
        <w:t xml:space="preserve">examined </w:t>
      </w:r>
      <w:r>
        <w:rPr>
          <w:rFonts w:eastAsiaTheme="minorHAnsi"/>
        </w:rPr>
        <w:t xml:space="preserve">showed significant interaction of SCA with block within location, indicating blocking was necessary to account for environmental variation in the field (Table </w:t>
      </w:r>
      <w:r w:rsidR="00C86908">
        <w:rPr>
          <w:rFonts w:eastAsiaTheme="minorHAnsi"/>
        </w:rPr>
        <w:t>2</w:t>
      </w:r>
      <w:r w:rsidR="00BD4830">
        <w:rPr>
          <w:rFonts w:eastAsiaTheme="minorHAnsi"/>
        </w:rPr>
        <w:t>-3</w:t>
      </w:r>
      <w:r>
        <w:rPr>
          <w:rFonts w:eastAsiaTheme="minorHAnsi"/>
        </w:rPr>
        <w:t>). None of the traits showed significant interaction of GCA or SCA with location</w:t>
      </w:r>
      <w:r w:rsidR="00954DB7">
        <w:rPr>
          <w:rFonts w:eastAsiaTheme="minorHAnsi"/>
        </w:rPr>
        <w:t xml:space="preserve">. </w:t>
      </w:r>
      <w:r>
        <w:rPr>
          <w:rFonts w:eastAsiaTheme="minorHAnsi"/>
        </w:rPr>
        <w:t>Interaction of GCA with year was observed for the traits biomass yield and predicted ethanol yield</w:t>
      </w:r>
      <w:r w:rsidR="00BD4830">
        <w:rPr>
          <w:rFonts w:eastAsiaTheme="minorHAnsi"/>
        </w:rPr>
        <w:t xml:space="preserve"> (Table 2-3 A)</w:t>
      </w:r>
      <w:r>
        <w:rPr>
          <w:rFonts w:eastAsiaTheme="minorHAnsi"/>
        </w:rPr>
        <w:t xml:space="preserve">. The interaction of GCA with year for biomass yield was expected since switchgrass does not reach maximum biomass yield potential until the third year of production </w:t>
      </w:r>
      <w:r w:rsidR="00301182">
        <w:rPr>
          <w:rFonts w:eastAsiaTheme="minorHAnsi"/>
        </w:rPr>
        <w:fldChar w:fldCharType="begin"/>
      </w:r>
      <w:r>
        <w:rPr>
          <w:rFonts w:eastAsiaTheme="minorHAnsi"/>
        </w:rPr>
        <w:instrText xml:space="preserve"> ADDIN EN.CITE &lt;EndNote&gt;&lt;Cite&gt;&lt;Author&gt;Garland&lt;/Author&gt;&lt;Year&gt;2008&lt;/Year&gt;&lt;RecNum&gt;242&lt;/RecNum&gt;&lt;DisplayText&gt;(Garland, 2008)&lt;/DisplayText&gt;&lt;record&gt;&lt;rec-number&gt;242&lt;/rec-number&gt;&lt;foreign-keys&gt;&lt;key app="EN" db-id="9zfxt259rawwvce0pfa5efeuatdw0pz5va5z" timestamp="1320085380"&gt;242&lt;/key&gt;&lt;/foreign-keys&gt;&lt;ref-type name="Pamphlet"&gt;24&lt;/ref-type&gt;&lt;contributors&gt;&lt;authors&gt;&lt;author&gt;Garland, C.D.&lt;/author&gt;&lt;/authors&gt;&lt;/contributors&gt;&lt;titles&gt;&lt;title&gt;Growing and harvesting switchgrass for ethanol production in Tennessee&lt;/title&gt;&lt;secondary-title&gt;UT Biofuels Initiative - SP701-A-5M-5/08&lt;/secondary-title&gt;&lt;/titles&gt;&lt;volume&gt;SP701-A-5M-5/08&lt;/volume&gt;&lt;dates&gt;&lt;year&gt;2008&lt;/year&gt;&lt;/dates&gt;&lt;pub-location&gt;Knoxville, TN&lt;/pub-location&gt;&lt;publisher&gt;UT Extension&lt;/publisher&gt;&lt;urls&gt;&lt;/urls&gt;&lt;/record&gt;&lt;/Cite&gt;&lt;/EndNote&gt;</w:instrText>
      </w:r>
      <w:r w:rsidR="00301182">
        <w:rPr>
          <w:rFonts w:eastAsiaTheme="minorHAnsi"/>
        </w:rPr>
        <w:fldChar w:fldCharType="separate"/>
      </w:r>
      <w:r>
        <w:rPr>
          <w:rFonts w:eastAsiaTheme="minorHAnsi"/>
          <w:noProof/>
        </w:rPr>
        <w:t>(</w:t>
      </w:r>
      <w:hyperlink w:anchor="_ENREF_36" w:tooltip="Garland, 2008 #242" w:history="1">
        <w:r w:rsidR="00FB5014">
          <w:rPr>
            <w:rFonts w:eastAsiaTheme="minorHAnsi"/>
            <w:noProof/>
          </w:rPr>
          <w:t>Garland, 2008</w:t>
        </w:r>
      </w:hyperlink>
      <w:r>
        <w:rPr>
          <w:rFonts w:eastAsiaTheme="minorHAnsi"/>
          <w:noProof/>
        </w:rPr>
        <w:t>)</w:t>
      </w:r>
      <w:r w:rsidR="00301182">
        <w:rPr>
          <w:rFonts w:eastAsiaTheme="minorHAnsi"/>
        </w:rPr>
        <w:fldChar w:fldCharType="end"/>
      </w:r>
      <w:r>
        <w:rPr>
          <w:rFonts w:eastAsiaTheme="minorHAnsi"/>
        </w:rPr>
        <w:t>. For this reason, interpretation of results for biomass yield and predicted ethanol yield will be separated by year. For both biomass yield and predicted ethanol yield, GCA was not significant but significant SCA variation was observed</w:t>
      </w:r>
      <w:r w:rsidR="00F87ACF">
        <w:rPr>
          <w:rFonts w:eastAsiaTheme="minorHAnsi"/>
        </w:rPr>
        <w:t>, indicating</w:t>
      </w:r>
      <w:r w:rsidR="0071032E">
        <w:rPr>
          <w:rFonts w:eastAsiaTheme="minorHAnsi"/>
        </w:rPr>
        <w:t xml:space="preserve"> significant dominance genetic variance for these traits</w:t>
      </w:r>
      <w:r>
        <w:rPr>
          <w:rFonts w:eastAsiaTheme="minorHAnsi"/>
        </w:rPr>
        <w:t>. For biomass yield, SCA accounted for 7% of the genetic variance in 2012 and 10% of the genetic variance in 2013. For predicted ethanol yield, SCA accounted for 7% of the genetic variance in 2012 and 5% of the genetic variance in 2013</w:t>
      </w:r>
      <w:r w:rsidR="00954DB7">
        <w:rPr>
          <w:rFonts w:eastAsiaTheme="minorHAnsi"/>
        </w:rPr>
        <w:t xml:space="preserve">. </w:t>
      </w:r>
    </w:p>
    <w:p w14:paraId="4BF012D2" w14:textId="7B88E32A" w:rsidR="00596A40" w:rsidRDefault="00596A40" w:rsidP="00596A40">
      <w:pPr>
        <w:ind w:firstLine="720"/>
        <w:rPr>
          <w:rFonts w:eastAsiaTheme="minorHAnsi"/>
        </w:rPr>
      </w:pPr>
      <w:r>
        <w:rPr>
          <w:rFonts w:eastAsiaTheme="minorHAnsi"/>
        </w:rPr>
        <w:t>The remaining traits di</w:t>
      </w:r>
      <w:r w:rsidR="0071032E">
        <w:rPr>
          <w:rFonts w:eastAsiaTheme="minorHAnsi"/>
        </w:rPr>
        <w:t>d not have significant genotype</w:t>
      </w:r>
      <w:r>
        <w:rPr>
          <w:rFonts w:eastAsiaTheme="minorHAnsi"/>
        </w:rPr>
        <w:t xml:space="preserve"> by year </w:t>
      </w:r>
      <w:r w:rsidR="0071032E">
        <w:rPr>
          <w:rFonts w:eastAsiaTheme="minorHAnsi"/>
        </w:rPr>
        <w:t>and/</w:t>
      </w:r>
      <w:r>
        <w:rPr>
          <w:rFonts w:eastAsiaTheme="minorHAnsi"/>
        </w:rPr>
        <w:t>or location variation</w:t>
      </w:r>
      <w:r w:rsidR="00BD4830">
        <w:rPr>
          <w:rFonts w:eastAsiaTheme="minorHAnsi"/>
        </w:rPr>
        <w:t xml:space="preserve"> (Table 2-3 B-D</w:t>
      </w:r>
      <w:r w:rsidR="0071032E">
        <w:rPr>
          <w:rFonts w:eastAsiaTheme="minorHAnsi"/>
        </w:rPr>
        <w:t xml:space="preserve">). </w:t>
      </w:r>
      <w:r>
        <w:rPr>
          <w:rFonts w:eastAsiaTheme="minorHAnsi"/>
        </w:rPr>
        <w:t xml:space="preserve">Significant genetic variation due to GCA was observed in Spring Height (14%), </w:t>
      </w:r>
      <w:r w:rsidR="00DB61CB">
        <w:rPr>
          <w:rFonts w:eastAsiaTheme="minorHAnsi"/>
        </w:rPr>
        <w:t>Plant color</w:t>
      </w:r>
      <w:r>
        <w:rPr>
          <w:rFonts w:eastAsiaTheme="minorHAnsi"/>
        </w:rPr>
        <w:t xml:space="preserve"> (19%), Leaf Angle (16%), and Tiller Diameter (12%). Significant genetic variation due to SCA was observed in Fall Height (8%), Spring Height (7%), </w:t>
      </w:r>
      <w:r w:rsidR="00DB61CB">
        <w:rPr>
          <w:rFonts w:eastAsiaTheme="minorHAnsi"/>
        </w:rPr>
        <w:t>Plant color</w:t>
      </w:r>
      <w:r>
        <w:rPr>
          <w:rFonts w:eastAsiaTheme="minorHAnsi"/>
        </w:rPr>
        <w:t xml:space="preserve"> (3%), </w:t>
      </w:r>
      <w:r w:rsidR="00DA675F">
        <w:rPr>
          <w:rFonts w:eastAsiaTheme="minorHAnsi"/>
        </w:rPr>
        <w:t>Canopy density</w:t>
      </w:r>
      <w:r>
        <w:rPr>
          <w:rFonts w:eastAsiaTheme="minorHAnsi"/>
        </w:rPr>
        <w:t xml:space="preserve"> (5%), Leaf Angle (5%), Tiller Number (8%), Tiller Diameter (5%), </w:t>
      </w:r>
      <w:r w:rsidR="00B8390A">
        <w:rPr>
          <w:rFonts w:eastAsiaTheme="minorHAnsi"/>
        </w:rPr>
        <w:t>Leaf width</w:t>
      </w:r>
      <w:r>
        <w:rPr>
          <w:rFonts w:eastAsiaTheme="minorHAnsi"/>
        </w:rPr>
        <w:t xml:space="preserve"> (5%), </w:t>
      </w:r>
      <w:r w:rsidR="009C1A48">
        <w:rPr>
          <w:rFonts w:eastAsiaTheme="minorHAnsi"/>
        </w:rPr>
        <w:t>Rust severity</w:t>
      </w:r>
      <w:r>
        <w:rPr>
          <w:rFonts w:eastAsiaTheme="minorHAnsi"/>
        </w:rPr>
        <w:t xml:space="preserve"> Aug. (6%), </w:t>
      </w:r>
      <w:r w:rsidR="009C1A48">
        <w:rPr>
          <w:rFonts w:eastAsiaTheme="minorHAnsi"/>
        </w:rPr>
        <w:t>Rust severity</w:t>
      </w:r>
      <w:r>
        <w:rPr>
          <w:rFonts w:eastAsiaTheme="minorHAnsi"/>
        </w:rPr>
        <w:t xml:space="preserve"> Oct. (7%)</w:t>
      </w:r>
      <w:r w:rsidR="00954DB7">
        <w:rPr>
          <w:rFonts w:eastAsiaTheme="minorHAnsi"/>
        </w:rPr>
        <w:t xml:space="preserve">. </w:t>
      </w:r>
      <w:r>
        <w:rPr>
          <w:rFonts w:eastAsiaTheme="minorHAnsi"/>
        </w:rPr>
        <w:t xml:space="preserve">  </w:t>
      </w:r>
    </w:p>
    <w:p w14:paraId="540EF0F5" w14:textId="77777777" w:rsidR="00493F48" w:rsidRDefault="00493F48" w:rsidP="00493F48">
      <w:pPr>
        <w:pStyle w:val="Heading3"/>
        <w:rPr>
          <w:rFonts w:eastAsiaTheme="minorHAnsi"/>
        </w:rPr>
      </w:pPr>
      <w:bookmarkStart w:id="66" w:name="_Toc404069843"/>
      <w:r>
        <w:rPr>
          <w:rFonts w:eastAsiaTheme="minorHAnsi"/>
        </w:rPr>
        <w:t>Heritabilit</w:t>
      </w:r>
      <w:r w:rsidR="00D5280E">
        <w:rPr>
          <w:rFonts w:eastAsiaTheme="minorHAnsi"/>
        </w:rPr>
        <w:t>y of Measured Traits</w:t>
      </w:r>
      <w:bookmarkEnd w:id="66"/>
    </w:p>
    <w:p w14:paraId="5C3ECBB5" w14:textId="6B5F1B36" w:rsidR="00596A40" w:rsidRDefault="00596A40" w:rsidP="00596A40">
      <w:pPr>
        <w:ind w:firstLine="720"/>
        <w:rPr>
          <w:rFonts w:eastAsiaTheme="minorHAnsi"/>
        </w:rPr>
      </w:pPr>
      <w:r>
        <w:rPr>
          <w:rFonts w:eastAsiaTheme="minorHAnsi"/>
        </w:rPr>
        <w:t>Estimates of additive and dominance variation based on GCA and SCA values from the analysis of variance model and estimates of narrow and broad sense heritability, based on values for additive and dominance var</w:t>
      </w:r>
      <w:r w:rsidR="00BD4830">
        <w:rPr>
          <w:rFonts w:eastAsiaTheme="minorHAnsi"/>
        </w:rPr>
        <w:t>iation, are presented in Table 2-4</w:t>
      </w:r>
      <w:r>
        <w:rPr>
          <w:rFonts w:eastAsiaTheme="minorHAnsi"/>
        </w:rPr>
        <w:t xml:space="preserve">. Biomass yield and </w:t>
      </w:r>
      <w:r w:rsidR="00530243">
        <w:rPr>
          <w:rFonts w:eastAsiaTheme="minorHAnsi"/>
        </w:rPr>
        <w:t>p</w:t>
      </w:r>
      <w:r>
        <w:rPr>
          <w:rFonts w:eastAsiaTheme="minorHAnsi"/>
        </w:rPr>
        <w:t xml:space="preserve">redicted ethanol yield were again interpreted separately by year due to the significant variation in SCA by </w:t>
      </w:r>
      <w:r>
        <w:rPr>
          <w:rFonts w:eastAsiaTheme="minorHAnsi"/>
        </w:rPr>
        <w:lastRenderedPageBreak/>
        <w:t>year. Heritability estimates for biomass yield were fairly consistent across years with broad sense heritability estimates of 0.42 in 2012 and 0.50 in 2013 and narrow sense heritability estimates of 0.13 in 2012 and 0.15 in 2013</w:t>
      </w:r>
      <w:r w:rsidR="00BD4830">
        <w:rPr>
          <w:rFonts w:eastAsiaTheme="minorHAnsi"/>
        </w:rPr>
        <w:t xml:space="preserve"> (Table 2-4 A)</w:t>
      </w:r>
      <w:r>
        <w:rPr>
          <w:rFonts w:eastAsiaTheme="minorHAnsi"/>
        </w:rPr>
        <w:t xml:space="preserve">. These values are similar to those reported in previous studies of lowland switchgrass </w:t>
      </w:r>
      <w:r w:rsidR="00301182">
        <w:rPr>
          <w:rFonts w:eastAsiaTheme="minorHAnsi"/>
        </w:rPr>
        <w:fldChar w:fldCharType="begin">
          <w:fldData xml:space="preserve">PEVuZE5vdGU+PENpdGU+PEF1dGhvcj5Sb3NlPC9BdXRob3I+PFllYXI+MjAwNzwvWWVhcj48UmVj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==
</w:fldData>
        </w:fldChar>
      </w:r>
      <w:r w:rsidR="00B7572A">
        <w:rPr>
          <w:rFonts w:eastAsiaTheme="minorHAnsi"/>
        </w:rPr>
        <w:instrText xml:space="preserve"> ADDIN EN.CITE </w:instrText>
      </w:r>
      <w:r w:rsidR="00B7572A">
        <w:rPr>
          <w:rFonts w:eastAsiaTheme="minorHAnsi"/>
        </w:rPr>
        <w:fldChar w:fldCharType="begin">
          <w:fldData xml:space="preserve">PEVuZE5vdGU+PENpdGU+PEF1dGhvcj5Sb3NlPC9BdXRob3I+PFllYXI+MjAwNzwvWWVhcj48UmVj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==
</w:fldData>
        </w:fldChar>
      </w:r>
      <w:r w:rsidR="00B7572A">
        <w:rPr>
          <w:rFonts w:eastAsiaTheme="minorHAnsi"/>
        </w:rPr>
        <w:instrText xml:space="preserve"> ADDIN EN.CITE.DATA </w:instrText>
      </w:r>
      <w:r w:rsidR="00B7572A">
        <w:rPr>
          <w:rFonts w:eastAsiaTheme="minorHAnsi"/>
        </w:rPr>
      </w:r>
      <w:r w:rsidR="00B7572A">
        <w:rPr>
          <w:rFonts w:eastAsiaTheme="minorHAnsi"/>
        </w:rPr>
        <w:fldChar w:fldCharType="end"/>
      </w:r>
      <w:r w:rsidR="00301182">
        <w:rPr>
          <w:rFonts w:eastAsiaTheme="minorHAnsi"/>
        </w:rPr>
      </w:r>
      <w:r w:rsidR="00301182">
        <w:rPr>
          <w:rFonts w:eastAsiaTheme="minorHAnsi"/>
        </w:rPr>
        <w:fldChar w:fldCharType="separate"/>
      </w:r>
      <w:r w:rsidR="00B7572A">
        <w:rPr>
          <w:rFonts w:eastAsiaTheme="minorHAnsi"/>
          <w:noProof/>
        </w:rPr>
        <w:t>(</w:t>
      </w:r>
      <w:hyperlink w:anchor="_ENREF_12" w:tooltip="Bhandari, 2010 #199" w:history="1">
        <w:r w:rsidR="00FB5014">
          <w:rPr>
            <w:rFonts w:eastAsiaTheme="minorHAnsi"/>
            <w:noProof/>
          </w:rPr>
          <w:t>Bhandari et al., 2010</w:t>
        </w:r>
      </w:hyperlink>
      <w:r w:rsidR="00B7572A">
        <w:rPr>
          <w:rFonts w:eastAsiaTheme="minorHAnsi"/>
          <w:noProof/>
        </w:rPr>
        <w:t xml:space="preserve">; </w:t>
      </w:r>
      <w:hyperlink w:anchor="_ENREF_82" w:tooltip="Rose, 2007 #204" w:history="1">
        <w:r w:rsidR="00FB5014">
          <w:rPr>
            <w:rFonts w:eastAsiaTheme="minorHAnsi"/>
            <w:noProof/>
          </w:rPr>
          <w:t>Rose et al., 2007</w:t>
        </w:r>
      </w:hyperlink>
      <w:r w:rsidR="00B7572A">
        <w:rPr>
          <w:rFonts w:eastAsiaTheme="minorHAnsi"/>
          <w:noProof/>
        </w:rPr>
        <w:t xml:space="preserve">; </w:t>
      </w:r>
      <w:hyperlink w:anchor="_ENREF_92" w:tooltip="Talbert, 1983 #197" w:history="1">
        <w:r w:rsidR="00FB5014">
          <w:rPr>
            <w:rFonts w:eastAsiaTheme="minorHAnsi"/>
            <w:noProof/>
          </w:rPr>
          <w:t>Talbert et al., 1983</w:t>
        </w:r>
      </w:hyperlink>
      <w:r w:rsidR="00B7572A">
        <w:rPr>
          <w:rFonts w:eastAsiaTheme="minorHAnsi"/>
          <w:noProof/>
        </w:rPr>
        <w:t>)</w:t>
      </w:r>
      <w:r w:rsidR="00301182">
        <w:rPr>
          <w:rFonts w:eastAsiaTheme="minorHAnsi"/>
        </w:rPr>
        <w:fldChar w:fldCharType="end"/>
      </w:r>
      <w:r>
        <w:rPr>
          <w:rFonts w:eastAsiaTheme="minorHAnsi"/>
        </w:rPr>
        <w:t>. Because biomass yield differs so greatly between the establishment year and succeeding years, the combined heritability values were very low with a narrow sense heritability estimate of 0.07 and a broad sense heritability estimate of 0.19. However, the proportion of additive to dominance variation remained consistent across years. This indicates heritability values may be more appropriate if interpreted by year, for example, the heritability value of first year biomass as the fraction of phenotypic variation that can be attributed to genetic variation in first year biomass yields and the heritability value of second year biomass as the fraction of phenotypic variation that can be attributed to genetic variation in second year biomass yields.</w:t>
      </w:r>
      <w:r w:rsidR="00F87ACF">
        <w:rPr>
          <w:rFonts w:eastAsiaTheme="minorHAnsi"/>
        </w:rPr>
        <w:t xml:space="preserve"> R</w:t>
      </w:r>
      <w:r w:rsidR="00530243">
        <w:rPr>
          <w:rFonts w:eastAsiaTheme="minorHAnsi"/>
        </w:rPr>
        <w:t>emoving the genotype by environmental interaction associated with year</w:t>
      </w:r>
      <w:r w:rsidR="00F87ACF">
        <w:rPr>
          <w:rFonts w:eastAsiaTheme="minorHAnsi"/>
        </w:rPr>
        <w:t xml:space="preserve"> would result in an over-estimation of heritability</w:t>
      </w:r>
      <w:r w:rsidR="00530243">
        <w:rPr>
          <w:rFonts w:eastAsiaTheme="minorHAnsi"/>
        </w:rPr>
        <w:t xml:space="preserve">. </w:t>
      </w:r>
      <w:r>
        <w:rPr>
          <w:rFonts w:eastAsiaTheme="minorHAnsi"/>
        </w:rPr>
        <w:t xml:space="preserve">Examination of heritability estimates in the third year would provide greater clarity to this situation as biomass yields should be more similar between second and third year switchgrass plants that are space planted. </w:t>
      </w:r>
      <w:r w:rsidR="00DA675F">
        <w:rPr>
          <w:rFonts w:eastAsiaTheme="minorHAnsi"/>
        </w:rPr>
        <w:t>In both years f</w:t>
      </w:r>
      <w:r>
        <w:rPr>
          <w:rFonts w:eastAsiaTheme="minorHAnsi"/>
        </w:rPr>
        <w:t>or the biomass yield trait, dominance variation accounted for the majority of genetic variation</w:t>
      </w:r>
      <w:r w:rsidR="00DA675F">
        <w:rPr>
          <w:rFonts w:eastAsiaTheme="minorHAnsi"/>
        </w:rPr>
        <w:t>, with an additive to dominance ratio of 0.44</w:t>
      </w:r>
      <w:r w:rsidR="00954DB7">
        <w:rPr>
          <w:rFonts w:eastAsiaTheme="minorHAnsi"/>
        </w:rPr>
        <w:t xml:space="preserve">. </w:t>
      </w:r>
      <w:r>
        <w:rPr>
          <w:rFonts w:eastAsiaTheme="minorHAnsi"/>
        </w:rPr>
        <w:t xml:space="preserve"> </w:t>
      </w:r>
    </w:p>
    <w:p w14:paraId="7019BD63" w14:textId="72B21B29" w:rsidR="00596A40" w:rsidRDefault="00596A40" w:rsidP="00596A40">
      <w:pPr>
        <w:ind w:firstLine="720"/>
        <w:rPr>
          <w:rFonts w:eastAsiaTheme="minorHAnsi"/>
        </w:rPr>
      </w:pPr>
      <w:r>
        <w:rPr>
          <w:rFonts w:eastAsiaTheme="minorHAnsi"/>
        </w:rPr>
        <w:t>For predicted ethanol yield, broad sense heritability estimates were similar across years, with values of 0.45 in 2012 and 0.52 in 2013; however, narrow sense heritability was almost doubled in 2013 compared to 2012, with estimates of 0.18 in 2012 and 0.34 in 2013</w:t>
      </w:r>
      <w:r w:rsidR="00BD4830">
        <w:rPr>
          <w:rFonts w:eastAsiaTheme="minorHAnsi"/>
        </w:rPr>
        <w:t xml:space="preserve"> (Table 2-4 A)</w:t>
      </w:r>
      <w:r>
        <w:rPr>
          <w:rFonts w:eastAsiaTheme="minorHAnsi"/>
        </w:rPr>
        <w:t>. This inconsistency was due to the relative proportion of additive and dominance variation in predicted ethanol yield across years</w:t>
      </w:r>
      <w:r w:rsidR="00954DB7">
        <w:rPr>
          <w:rFonts w:eastAsiaTheme="minorHAnsi"/>
        </w:rPr>
        <w:t xml:space="preserve">. </w:t>
      </w:r>
      <w:r>
        <w:rPr>
          <w:rFonts w:eastAsiaTheme="minorHAnsi"/>
        </w:rPr>
        <w:t xml:space="preserve">In 2013, additive variation accounted for a higher portion of </w:t>
      </w:r>
      <w:r>
        <w:rPr>
          <w:rFonts w:eastAsiaTheme="minorHAnsi"/>
        </w:rPr>
        <w:lastRenderedPageBreak/>
        <w:t xml:space="preserve">the genetic variation while in 2012 dominance variation accounted for the majority of the genetic variation. Mean </w:t>
      </w:r>
      <w:r w:rsidR="0095454C">
        <w:rPr>
          <w:rFonts w:eastAsiaTheme="minorHAnsi"/>
        </w:rPr>
        <w:t>predicted ethanol yield</w:t>
      </w:r>
      <w:r>
        <w:rPr>
          <w:rFonts w:eastAsiaTheme="minorHAnsi"/>
        </w:rPr>
        <w:t xml:space="preserve"> across locations and years were very similar. Because of this and the flip-flopping of the relative proportion of additive and dominance variation, the heritability estimates from the combined year’s analysis are likely to be the most accurate for use in future breeding endeavors. </w:t>
      </w:r>
      <w:r w:rsidR="00DA675F">
        <w:rPr>
          <w:rFonts w:eastAsiaTheme="minorHAnsi"/>
        </w:rPr>
        <w:t xml:space="preserve">A third year of analysis may also better explain the pattern observed. </w:t>
      </w:r>
      <w:r>
        <w:rPr>
          <w:rFonts w:eastAsiaTheme="minorHAnsi"/>
        </w:rPr>
        <w:t xml:space="preserve">The heritability estimates </w:t>
      </w:r>
      <w:r w:rsidR="00042956">
        <w:rPr>
          <w:rFonts w:eastAsiaTheme="minorHAnsi"/>
        </w:rPr>
        <w:t xml:space="preserve">for predicted ethanol yield </w:t>
      </w:r>
      <w:r>
        <w:rPr>
          <w:rFonts w:eastAsiaTheme="minorHAnsi"/>
        </w:rPr>
        <w:t xml:space="preserve">combined across both years were very low, with a narrow sense heritability of 0.04 and </w:t>
      </w:r>
      <w:r w:rsidR="000822E8">
        <w:rPr>
          <w:rFonts w:eastAsiaTheme="minorHAnsi"/>
        </w:rPr>
        <w:t>a broad</w:t>
      </w:r>
      <w:r>
        <w:rPr>
          <w:rFonts w:eastAsiaTheme="minorHAnsi"/>
        </w:rPr>
        <w:t xml:space="preserve"> sense heritability </w:t>
      </w:r>
      <w:r w:rsidR="000822E8">
        <w:rPr>
          <w:rFonts w:eastAsiaTheme="minorHAnsi"/>
        </w:rPr>
        <w:t>of</w:t>
      </w:r>
      <w:r>
        <w:rPr>
          <w:rFonts w:eastAsiaTheme="minorHAnsi"/>
        </w:rPr>
        <w:t xml:space="preserve"> 0.16</w:t>
      </w:r>
      <w:r w:rsidR="00954DB7">
        <w:rPr>
          <w:rFonts w:eastAsiaTheme="minorHAnsi"/>
        </w:rPr>
        <w:t xml:space="preserve">. </w:t>
      </w:r>
    </w:p>
    <w:p w14:paraId="2683689E" w14:textId="1AA6F299" w:rsidR="00596A40" w:rsidRDefault="00596A40" w:rsidP="00596A40">
      <w:pPr>
        <w:ind w:firstLine="720"/>
        <w:rPr>
          <w:rFonts w:eastAsiaTheme="minorHAnsi"/>
        </w:rPr>
      </w:pPr>
      <w:r>
        <w:rPr>
          <w:rFonts w:eastAsiaTheme="minorHAnsi"/>
        </w:rPr>
        <w:t>For the remaining traits, most had similar broad sense heritability values, ranging from 0.43 to 0.58</w:t>
      </w:r>
      <w:r w:rsidR="00BD4830">
        <w:rPr>
          <w:rFonts w:eastAsiaTheme="minorHAnsi"/>
        </w:rPr>
        <w:t xml:space="preserve"> (Table 2-4 A-B)</w:t>
      </w:r>
      <w:r w:rsidR="00954DB7">
        <w:rPr>
          <w:rFonts w:eastAsiaTheme="minorHAnsi"/>
        </w:rPr>
        <w:t xml:space="preserve">. </w:t>
      </w:r>
      <w:r w:rsidR="00DA675F">
        <w:rPr>
          <w:rFonts w:eastAsiaTheme="minorHAnsi"/>
        </w:rPr>
        <w:t>The exceptions to this were canopy density</w:t>
      </w:r>
      <w:r>
        <w:rPr>
          <w:rFonts w:eastAsiaTheme="minorHAnsi"/>
        </w:rPr>
        <w:t>, which had a lower broad s</w:t>
      </w:r>
      <w:r w:rsidR="00DA675F">
        <w:rPr>
          <w:rFonts w:eastAsiaTheme="minorHAnsi"/>
        </w:rPr>
        <w:t xml:space="preserve">ense heritability of 0.34, and </w:t>
      </w:r>
      <w:r w:rsidR="009C1A48">
        <w:rPr>
          <w:rFonts w:eastAsiaTheme="minorHAnsi"/>
        </w:rPr>
        <w:t>rust severity</w:t>
      </w:r>
      <w:r>
        <w:rPr>
          <w:rFonts w:eastAsiaTheme="minorHAnsi"/>
        </w:rPr>
        <w:t xml:space="preserve"> Oct., which had a higher broad sense heritability of 0.70. Narrow sense heritability ranged from 0.13 to 0.21 in traits where dominance variation accounted for a greater portion of the tota</w:t>
      </w:r>
      <w:r w:rsidR="00DA675F">
        <w:rPr>
          <w:rFonts w:eastAsiaTheme="minorHAnsi"/>
        </w:rPr>
        <w:t>l genetic variation, including fall h</w:t>
      </w:r>
      <w:r>
        <w:rPr>
          <w:rFonts w:eastAsiaTheme="minorHAnsi"/>
        </w:rPr>
        <w:t xml:space="preserve">eight, </w:t>
      </w:r>
      <w:r w:rsidR="00DA675F">
        <w:rPr>
          <w:rFonts w:eastAsiaTheme="minorHAnsi"/>
        </w:rPr>
        <w:t>canopy density, and tiller n</w:t>
      </w:r>
      <w:r>
        <w:rPr>
          <w:rFonts w:eastAsiaTheme="minorHAnsi"/>
        </w:rPr>
        <w:t xml:space="preserve">umber. </w:t>
      </w:r>
      <w:r w:rsidR="00380D64">
        <w:rPr>
          <w:rFonts w:eastAsiaTheme="minorHAnsi"/>
        </w:rPr>
        <w:t>Within these traits, the ratio of additive to dominance variation was smallest for canopy density (0.3), was higher for tiller number (0.5), and was the highest in fall height (0.7). In traits where additive variation accounted for a greater portion of the total genetic variation, n</w:t>
      </w:r>
      <w:r>
        <w:rPr>
          <w:rFonts w:eastAsiaTheme="minorHAnsi"/>
        </w:rPr>
        <w:t>arrow sense heritability ranged from 0.22 to 0.50</w:t>
      </w:r>
      <w:r w:rsidR="00380D64">
        <w:rPr>
          <w:rFonts w:eastAsiaTheme="minorHAnsi"/>
        </w:rPr>
        <w:t xml:space="preserve">. These traits included spring height, </w:t>
      </w:r>
      <w:r w:rsidR="00B8390A">
        <w:rPr>
          <w:rFonts w:eastAsiaTheme="minorHAnsi"/>
        </w:rPr>
        <w:t>leaf width</w:t>
      </w:r>
      <w:r w:rsidR="00380D64">
        <w:rPr>
          <w:rFonts w:eastAsiaTheme="minorHAnsi"/>
        </w:rPr>
        <w:t xml:space="preserve">, </w:t>
      </w:r>
      <w:r w:rsidR="009C1A48">
        <w:rPr>
          <w:rFonts w:eastAsiaTheme="minorHAnsi"/>
        </w:rPr>
        <w:t>rust severity</w:t>
      </w:r>
      <w:r w:rsidR="00DA675F">
        <w:rPr>
          <w:rFonts w:eastAsiaTheme="minorHAnsi"/>
        </w:rPr>
        <w:t xml:space="preserve"> Aug., </w:t>
      </w:r>
      <w:r w:rsidR="009C1A48">
        <w:rPr>
          <w:rFonts w:eastAsiaTheme="minorHAnsi"/>
        </w:rPr>
        <w:t>rust severity</w:t>
      </w:r>
      <w:r w:rsidR="00DA675F">
        <w:rPr>
          <w:rFonts w:eastAsiaTheme="minorHAnsi"/>
        </w:rPr>
        <w:t xml:space="preserve"> Oct., and tiller d</w:t>
      </w:r>
      <w:r>
        <w:rPr>
          <w:rFonts w:eastAsiaTheme="minorHAnsi"/>
        </w:rPr>
        <w:t>iameter</w:t>
      </w:r>
      <w:r w:rsidR="00380D64">
        <w:rPr>
          <w:rFonts w:eastAsiaTheme="minorHAnsi"/>
        </w:rPr>
        <w:t xml:space="preserve">. Within traits where </w:t>
      </w:r>
      <w:r w:rsidR="00E12C72">
        <w:rPr>
          <w:rFonts w:eastAsiaTheme="minorHAnsi"/>
        </w:rPr>
        <w:t>dominance</w:t>
      </w:r>
      <w:r w:rsidR="00380D64">
        <w:rPr>
          <w:rFonts w:eastAsiaTheme="minorHAnsi"/>
        </w:rPr>
        <w:t xml:space="preserve"> variation was higher than additive variation, the ratio of additive to dominance variation was a little over 1 for </w:t>
      </w:r>
      <w:r w:rsidR="00B8390A">
        <w:rPr>
          <w:rFonts w:eastAsiaTheme="minorHAnsi"/>
        </w:rPr>
        <w:t>leaf width</w:t>
      </w:r>
      <w:r w:rsidR="00380D64">
        <w:rPr>
          <w:rFonts w:eastAsiaTheme="minorHAnsi"/>
        </w:rPr>
        <w:t xml:space="preserve">, increased to 1.5 and 1.6 in spring height and </w:t>
      </w:r>
      <w:r w:rsidR="009C1A48">
        <w:rPr>
          <w:rFonts w:eastAsiaTheme="minorHAnsi"/>
        </w:rPr>
        <w:t>rust severity</w:t>
      </w:r>
      <w:r w:rsidR="00380D64">
        <w:rPr>
          <w:rFonts w:eastAsiaTheme="minorHAnsi"/>
        </w:rPr>
        <w:t xml:space="preserve"> Oct. respectively, and w</w:t>
      </w:r>
      <w:r w:rsidR="00042956">
        <w:rPr>
          <w:rFonts w:eastAsiaTheme="minorHAnsi"/>
        </w:rPr>
        <w:t>as highest for tiller diameter (</w:t>
      </w:r>
      <w:r w:rsidR="00380D64">
        <w:rPr>
          <w:rFonts w:eastAsiaTheme="minorHAnsi"/>
        </w:rPr>
        <w:t>1.9</w:t>
      </w:r>
      <w:r w:rsidR="00042956">
        <w:rPr>
          <w:rFonts w:eastAsiaTheme="minorHAnsi"/>
        </w:rPr>
        <w:t>)</w:t>
      </w:r>
      <w:r w:rsidR="00380D64">
        <w:rPr>
          <w:rFonts w:eastAsiaTheme="minorHAnsi"/>
        </w:rPr>
        <w:t xml:space="preserve">, and </w:t>
      </w:r>
      <w:r w:rsidR="009C1A48">
        <w:rPr>
          <w:rFonts w:eastAsiaTheme="minorHAnsi"/>
        </w:rPr>
        <w:t>rust severity</w:t>
      </w:r>
      <w:r w:rsidR="00042956">
        <w:rPr>
          <w:rFonts w:eastAsiaTheme="minorHAnsi"/>
        </w:rPr>
        <w:t xml:space="preserve"> Aug. (</w:t>
      </w:r>
      <w:r w:rsidR="00380D64">
        <w:rPr>
          <w:rFonts w:eastAsiaTheme="minorHAnsi"/>
        </w:rPr>
        <w:t>2.6</w:t>
      </w:r>
      <w:r w:rsidR="00042956">
        <w:rPr>
          <w:rFonts w:eastAsiaTheme="minorHAnsi"/>
        </w:rPr>
        <w:t>)</w:t>
      </w:r>
      <w:r w:rsidR="00954DB7">
        <w:rPr>
          <w:rFonts w:eastAsiaTheme="minorHAnsi"/>
        </w:rPr>
        <w:t xml:space="preserve">. </w:t>
      </w:r>
      <w:r w:rsidR="00380D64">
        <w:rPr>
          <w:rFonts w:eastAsiaTheme="minorHAnsi"/>
        </w:rPr>
        <w:t xml:space="preserve"> </w:t>
      </w:r>
      <w:r>
        <w:rPr>
          <w:rFonts w:eastAsiaTheme="minorHAnsi"/>
        </w:rPr>
        <w:t xml:space="preserve">  </w:t>
      </w:r>
    </w:p>
    <w:p w14:paraId="1A512D5F" w14:textId="77777777" w:rsidR="00596A40" w:rsidRDefault="00596A40" w:rsidP="00596A40">
      <w:pPr>
        <w:pStyle w:val="Heading3"/>
        <w:rPr>
          <w:rFonts w:eastAsiaTheme="minorHAnsi"/>
        </w:rPr>
      </w:pPr>
      <w:bookmarkStart w:id="67" w:name="_Toc404069844"/>
      <w:r>
        <w:rPr>
          <w:rFonts w:eastAsiaTheme="minorHAnsi"/>
        </w:rPr>
        <w:lastRenderedPageBreak/>
        <w:t>General and Specific Combining Ability and Maternal Effects</w:t>
      </w:r>
      <w:r w:rsidR="00D5280E">
        <w:rPr>
          <w:rFonts w:eastAsiaTheme="minorHAnsi"/>
        </w:rPr>
        <w:t xml:space="preserve"> of Measured Traits</w:t>
      </w:r>
      <w:bookmarkEnd w:id="67"/>
    </w:p>
    <w:p w14:paraId="3746634A" w14:textId="01A4540A" w:rsidR="00BD4830" w:rsidRDefault="00596A40" w:rsidP="00BD4830">
      <w:pPr>
        <w:ind w:firstLine="720"/>
        <w:rPr>
          <w:rFonts w:eastAsiaTheme="minorHAnsi"/>
        </w:rPr>
      </w:pPr>
      <w:r>
        <w:rPr>
          <w:rFonts w:eastAsiaTheme="minorHAnsi"/>
        </w:rPr>
        <w:t>None of the evaluated traits had significant</w:t>
      </w:r>
      <w:r w:rsidR="006666D0">
        <w:rPr>
          <w:rFonts w:eastAsiaTheme="minorHAnsi"/>
        </w:rPr>
        <w:t xml:space="preserve"> (</w:t>
      </w:r>
      <w:r w:rsidR="00B7572A">
        <w:rPr>
          <w:rFonts w:eastAsiaTheme="minorHAnsi"/>
        </w:rPr>
        <w:t xml:space="preserve">P </w:t>
      </w:r>
      <w:r w:rsidR="009021A8">
        <w:rPr>
          <w:rFonts w:eastAsiaTheme="minorHAnsi"/>
        </w:rPr>
        <w:t xml:space="preserve">&lt; </w:t>
      </w:r>
      <w:r w:rsidR="006666D0">
        <w:rPr>
          <w:rFonts w:eastAsiaTheme="minorHAnsi"/>
        </w:rPr>
        <w:t>0.05)</w:t>
      </w:r>
      <w:r>
        <w:rPr>
          <w:rFonts w:eastAsiaTheme="minorHAnsi"/>
        </w:rPr>
        <w:t xml:space="preserve"> interaction between general combining ability (GCA) and year </w:t>
      </w:r>
      <w:r w:rsidR="009C1A48">
        <w:rPr>
          <w:rFonts w:eastAsiaTheme="minorHAnsi"/>
        </w:rPr>
        <w:t xml:space="preserve">or location </w:t>
      </w:r>
      <w:r>
        <w:rPr>
          <w:rFonts w:eastAsiaTheme="minorHAnsi"/>
        </w:rPr>
        <w:t xml:space="preserve">(Table </w:t>
      </w:r>
      <w:r w:rsidR="00BD4830">
        <w:rPr>
          <w:rFonts w:eastAsiaTheme="minorHAnsi"/>
        </w:rPr>
        <w:t>2-</w:t>
      </w:r>
      <w:r>
        <w:rPr>
          <w:rFonts w:eastAsiaTheme="minorHAnsi"/>
        </w:rPr>
        <w:t xml:space="preserve">3); therefore, GCA values are </w:t>
      </w:r>
      <w:r w:rsidR="00BD4830">
        <w:rPr>
          <w:rFonts w:eastAsiaTheme="minorHAnsi"/>
        </w:rPr>
        <w:t>presented</w:t>
      </w:r>
      <w:r>
        <w:rPr>
          <w:rFonts w:eastAsiaTheme="minorHAnsi"/>
        </w:rPr>
        <w:t xml:space="preserve"> combined across years and locations (</w:t>
      </w:r>
      <w:r w:rsidR="00BD4830">
        <w:rPr>
          <w:rFonts w:eastAsiaTheme="minorHAnsi"/>
        </w:rPr>
        <w:t>Figure 2-2</w:t>
      </w:r>
      <w:r>
        <w:rPr>
          <w:rFonts w:eastAsiaTheme="minorHAnsi"/>
        </w:rPr>
        <w:t>). No significant GCA values were observed for biomass yield or predicted ethanol yield</w:t>
      </w:r>
      <w:r w:rsidR="009C1A48">
        <w:rPr>
          <w:rFonts w:eastAsiaTheme="minorHAnsi"/>
        </w:rPr>
        <w:t>, indicating the variation in GCA did not differ significantly from zero</w:t>
      </w:r>
      <w:r>
        <w:rPr>
          <w:rFonts w:eastAsiaTheme="minorHAnsi"/>
        </w:rPr>
        <w:t xml:space="preserve">. For biomass yield, four of the five Alamo </w:t>
      </w:r>
      <w:r w:rsidR="00BD4830">
        <w:rPr>
          <w:rFonts w:eastAsiaTheme="minorHAnsi"/>
        </w:rPr>
        <w:t>parental lines</w:t>
      </w:r>
      <w:r>
        <w:rPr>
          <w:rFonts w:eastAsiaTheme="minorHAnsi"/>
        </w:rPr>
        <w:t>, A1, A10, T1, and T4, had positive GCA values</w:t>
      </w:r>
      <w:r w:rsidR="006666D0">
        <w:rPr>
          <w:rFonts w:eastAsiaTheme="minorHAnsi"/>
        </w:rPr>
        <w:t xml:space="preserve"> (Figure</w:t>
      </w:r>
      <w:r w:rsidR="00BD4830">
        <w:rPr>
          <w:rFonts w:eastAsiaTheme="minorHAnsi"/>
        </w:rPr>
        <w:t xml:space="preserve"> 2-2 A</w:t>
      </w:r>
      <w:r w:rsidR="006666D0">
        <w:rPr>
          <w:rFonts w:eastAsiaTheme="minorHAnsi"/>
        </w:rPr>
        <w:t>)</w:t>
      </w:r>
      <w:r>
        <w:rPr>
          <w:rFonts w:eastAsiaTheme="minorHAnsi"/>
        </w:rPr>
        <w:t xml:space="preserve">. </w:t>
      </w:r>
      <w:r w:rsidR="00BD4830">
        <w:rPr>
          <w:rFonts w:eastAsiaTheme="minorHAnsi"/>
        </w:rPr>
        <w:t>O</w:t>
      </w:r>
      <w:r>
        <w:rPr>
          <w:rFonts w:eastAsiaTheme="minorHAnsi"/>
        </w:rPr>
        <w:t xml:space="preserve">nly two </w:t>
      </w:r>
      <w:r w:rsidR="00BD4830">
        <w:rPr>
          <w:rFonts w:eastAsiaTheme="minorHAnsi"/>
        </w:rPr>
        <w:t>parental lines, K3 and T1,</w:t>
      </w:r>
      <w:r>
        <w:rPr>
          <w:rFonts w:eastAsiaTheme="minorHAnsi"/>
        </w:rPr>
        <w:t xml:space="preserve"> had positive GCA values</w:t>
      </w:r>
      <w:r w:rsidR="00BD4830">
        <w:rPr>
          <w:rFonts w:eastAsiaTheme="minorHAnsi"/>
        </w:rPr>
        <w:t xml:space="preserve"> for predicted ethanol yield </w:t>
      </w:r>
      <w:r w:rsidR="009C1A48">
        <w:rPr>
          <w:rFonts w:eastAsiaTheme="minorHAnsi"/>
        </w:rPr>
        <w:t>(</w:t>
      </w:r>
      <w:r w:rsidR="006666D0">
        <w:rPr>
          <w:rFonts w:eastAsiaTheme="minorHAnsi"/>
        </w:rPr>
        <w:t>Figure</w:t>
      </w:r>
      <w:r w:rsidR="00BD4830">
        <w:rPr>
          <w:rFonts w:eastAsiaTheme="minorHAnsi"/>
        </w:rPr>
        <w:t xml:space="preserve"> 2-2 B</w:t>
      </w:r>
      <w:r w:rsidR="009C1A48">
        <w:rPr>
          <w:rFonts w:eastAsiaTheme="minorHAnsi"/>
        </w:rPr>
        <w:t>)</w:t>
      </w:r>
      <w:r>
        <w:rPr>
          <w:rFonts w:eastAsiaTheme="minorHAnsi"/>
        </w:rPr>
        <w:t xml:space="preserve">. Although T1 was the only </w:t>
      </w:r>
      <w:r w:rsidR="009C1A48">
        <w:rPr>
          <w:rFonts w:eastAsiaTheme="minorHAnsi"/>
        </w:rPr>
        <w:t>parental</w:t>
      </w:r>
      <w:r>
        <w:rPr>
          <w:rFonts w:eastAsiaTheme="minorHAnsi"/>
        </w:rPr>
        <w:t xml:space="preserve"> line with positive GCA values for both biomass yield and </w:t>
      </w:r>
      <w:r w:rsidR="0095454C">
        <w:rPr>
          <w:rFonts w:eastAsiaTheme="minorHAnsi"/>
        </w:rPr>
        <w:t>predicted ethanol yield</w:t>
      </w:r>
      <w:r>
        <w:rPr>
          <w:rFonts w:eastAsiaTheme="minorHAnsi"/>
        </w:rPr>
        <w:t xml:space="preserve">, the GCA value for biomass yield </w:t>
      </w:r>
      <w:r w:rsidR="009C1A48">
        <w:rPr>
          <w:rFonts w:eastAsiaTheme="minorHAnsi"/>
        </w:rPr>
        <w:t xml:space="preserve">indicated </w:t>
      </w:r>
      <w:r w:rsidR="00BD4830">
        <w:rPr>
          <w:rFonts w:eastAsiaTheme="minorHAnsi"/>
        </w:rPr>
        <w:t xml:space="preserve">only </w:t>
      </w:r>
      <w:r w:rsidR="009C1A48">
        <w:rPr>
          <w:rFonts w:eastAsiaTheme="minorHAnsi"/>
        </w:rPr>
        <w:t>a</w:t>
      </w:r>
      <w:r>
        <w:rPr>
          <w:rFonts w:eastAsiaTheme="minorHAnsi"/>
        </w:rPr>
        <w:t xml:space="preserve"> 1 g plant</w:t>
      </w:r>
      <w:r>
        <w:rPr>
          <w:rFonts w:eastAsiaTheme="minorHAnsi"/>
          <w:vertAlign w:val="superscript"/>
        </w:rPr>
        <w:t>-1</w:t>
      </w:r>
      <w:r>
        <w:rPr>
          <w:rFonts w:eastAsiaTheme="minorHAnsi"/>
        </w:rPr>
        <w:t xml:space="preserve"> </w:t>
      </w:r>
      <w:r w:rsidR="009C1A48">
        <w:rPr>
          <w:rFonts w:eastAsiaTheme="minorHAnsi"/>
        </w:rPr>
        <w:t xml:space="preserve">deviation from the population mean </w:t>
      </w:r>
      <w:r>
        <w:rPr>
          <w:rFonts w:eastAsiaTheme="minorHAnsi"/>
        </w:rPr>
        <w:t>compared to the other three positive GCA values, which ranged from 44</w:t>
      </w:r>
      <w:r w:rsidRPr="00653737">
        <w:rPr>
          <w:rFonts w:eastAsiaTheme="minorHAnsi"/>
        </w:rPr>
        <w:t xml:space="preserve"> </w:t>
      </w:r>
      <w:r>
        <w:rPr>
          <w:rFonts w:eastAsiaTheme="minorHAnsi"/>
        </w:rPr>
        <w:t>g plant</w:t>
      </w:r>
      <w:r>
        <w:rPr>
          <w:rFonts w:eastAsiaTheme="minorHAnsi"/>
          <w:vertAlign w:val="superscript"/>
        </w:rPr>
        <w:t xml:space="preserve">-1 </w:t>
      </w:r>
      <w:r>
        <w:rPr>
          <w:rFonts w:eastAsiaTheme="minorHAnsi"/>
        </w:rPr>
        <w:t>to 47 g plant</w:t>
      </w:r>
      <w:r>
        <w:rPr>
          <w:rFonts w:eastAsiaTheme="minorHAnsi"/>
          <w:vertAlign w:val="superscript"/>
        </w:rPr>
        <w:t>-1</w:t>
      </w:r>
      <w:r>
        <w:rPr>
          <w:rFonts w:eastAsiaTheme="minorHAnsi"/>
        </w:rPr>
        <w:t xml:space="preserve">. </w:t>
      </w:r>
    </w:p>
    <w:p w14:paraId="225BD631" w14:textId="019404EE" w:rsidR="00596A40" w:rsidRDefault="00596A40" w:rsidP="00BD4830">
      <w:pPr>
        <w:ind w:firstLine="720"/>
        <w:rPr>
          <w:rFonts w:eastAsiaTheme="minorHAnsi"/>
        </w:rPr>
      </w:pPr>
      <w:r>
        <w:rPr>
          <w:rFonts w:eastAsiaTheme="minorHAnsi"/>
        </w:rPr>
        <w:t xml:space="preserve">In both </w:t>
      </w:r>
      <w:r w:rsidR="009C1A48">
        <w:rPr>
          <w:rFonts w:eastAsiaTheme="minorHAnsi"/>
        </w:rPr>
        <w:t>fall height and spring h</w:t>
      </w:r>
      <w:r>
        <w:rPr>
          <w:rFonts w:eastAsiaTheme="minorHAnsi"/>
        </w:rPr>
        <w:t>eight, the Alamo</w:t>
      </w:r>
      <w:r w:rsidR="009C1A48">
        <w:rPr>
          <w:rFonts w:eastAsiaTheme="minorHAnsi"/>
        </w:rPr>
        <w:t xml:space="preserve"> parental</w:t>
      </w:r>
      <w:r>
        <w:rPr>
          <w:rFonts w:eastAsiaTheme="minorHAnsi"/>
        </w:rPr>
        <w:t xml:space="preserve"> line, A1 had a significant positive GCA</w:t>
      </w:r>
      <w:r w:rsidR="006666D0">
        <w:rPr>
          <w:rFonts w:eastAsiaTheme="minorHAnsi"/>
        </w:rPr>
        <w:t xml:space="preserve"> (Figure</w:t>
      </w:r>
      <w:r w:rsidR="00BD4830">
        <w:rPr>
          <w:rFonts w:eastAsiaTheme="minorHAnsi"/>
        </w:rPr>
        <w:t xml:space="preserve"> 2-2 C-D</w:t>
      </w:r>
      <w:r w:rsidR="006666D0">
        <w:rPr>
          <w:rFonts w:eastAsiaTheme="minorHAnsi"/>
        </w:rPr>
        <w:t>)</w:t>
      </w:r>
      <w:r>
        <w:rPr>
          <w:rFonts w:eastAsiaTheme="minorHAnsi"/>
        </w:rPr>
        <w:t xml:space="preserve">. For the trait tiller number, no significant positive GCA values were </w:t>
      </w:r>
      <w:r w:rsidR="0087414D">
        <w:rPr>
          <w:rFonts w:eastAsiaTheme="minorHAnsi"/>
        </w:rPr>
        <w:t>identified;</w:t>
      </w:r>
      <w:r>
        <w:rPr>
          <w:rFonts w:eastAsiaTheme="minorHAnsi"/>
        </w:rPr>
        <w:t xml:space="preserve"> however, A1, A10, T1, T4, and K3 had positive GCA values</w:t>
      </w:r>
      <w:r w:rsidR="00F87ACF">
        <w:rPr>
          <w:rFonts w:eastAsiaTheme="minorHAnsi"/>
        </w:rPr>
        <w:t xml:space="preserve"> </w:t>
      </w:r>
      <w:r w:rsidR="006666D0">
        <w:rPr>
          <w:rFonts w:eastAsiaTheme="minorHAnsi"/>
        </w:rPr>
        <w:t>(Figure</w:t>
      </w:r>
      <w:r w:rsidR="00081E57">
        <w:rPr>
          <w:rFonts w:eastAsiaTheme="minorHAnsi"/>
        </w:rPr>
        <w:t xml:space="preserve"> 2-2 E</w:t>
      </w:r>
      <w:r w:rsidR="006666D0">
        <w:rPr>
          <w:rFonts w:eastAsiaTheme="minorHAnsi"/>
        </w:rPr>
        <w:t>)</w:t>
      </w:r>
      <w:r w:rsidR="009C1A48">
        <w:rPr>
          <w:rFonts w:eastAsiaTheme="minorHAnsi"/>
        </w:rPr>
        <w:t xml:space="preserve">. </w:t>
      </w:r>
      <w:r w:rsidR="00081E57">
        <w:rPr>
          <w:rFonts w:eastAsiaTheme="minorHAnsi"/>
        </w:rPr>
        <w:t xml:space="preserve">Only two </w:t>
      </w:r>
      <w:r w:rsidR="00CA2406">
        <w:rPr>
          <w:rFonts w:eastAsiaTheme="minorHAnsi"/>
        </w:rPr>
        <w:t>parental</w:t>
      </w:r>
      <w:r w:rsidR="00081E57">
        <w:rPr>
          <w:rFonts w:eastAsiaTheme="minorHAnsi"/>
        </w:rPr>
        <w:t xml:space="preserve"> lines, A1 and K2, had significant</w:t>
      </w:r>
      <w:r>
        <w:rPr>
          <w:rFonts w:eastAsiaTheme="minorHAnsi"/>
        </w:rPr>
        <w:t xml:space="preserve"> positive GCA values, indicating thicker tillers</w:t>
      </w:r>
      <w:r w:rsidR="00F87ACF">
        <w:rPr>
          <w:rFonts w:eastAsiaTheme="minorHAnsi"/>
        </w:rPr>
        <w:t xml:space="preserve"> compared to the population mean</w:t>
      </w:r>
      <w:r w:rsidR="006666D0">
        <w:rPr>
          <w:rFonts w:eastAsiaTheme="minorHAnsi"/>
        </w:rPr>
        <w:t xml:space="preserve"> (Figure</w:t>
      </w:r>
      <w:r w:rsidR="00081E57">
        <w:rPr>
          <w:rFonts w:eastAsiaTheme="minorHAnsi"/>
        </w:rPr>
        <w:t xml:space="preserve"> 2-2 F</w:t>
      </w:r>
      <w:r w:rsidR="006666D0">
        <w:rPr>
          <w:rFonts w:eastAsiaTheme="minorHAnsi"/>
        </w:rPr>
        <w:t>)</w:t>
      </w:r>
      <w:r>
        <w:rPr>
          <w:rFonts w:eastAsiaTheme="minorHAnsi"/>
        </w:rPr>
        <w:t>. For the</w:t>
      </w:r>
      <w:r w:rsidR="009C1A48">
        <w:rPr>
          <w:rFonts w:eastAsiaTheme="minorHAnsi"/>
        </w:rPr>
        <w:t xml:space="preserve"> trait </w:t>
      </w:r>
      <w:r w:rsidR="00B8390A">
        <w:rPr>
          <w:rFonts w:eastAsiaTheme="minorHAnsi"/>
        </w:rPr>
        <w:t>leaf width</w:t>
      </w:r>
      <w:r w:rsidR="009C1A48">
        <w:rPr>
          <w:rFonts w:eastAsiaTheme="minorHAnsi"/>
        </w:rPr>
        <w:t>, the A10 and M</w:t>
      </w:r>
      <w:r>
        <w:rPr>
          <w:rFonts w:eastAsiaTheme="minorHAnsi"/>
        </w:rPr>
        <w:t xml:space="preserve"> </w:t>
      </w:r>
      <w:r w:rsidR="009C1A48">
        <w:rPr>
          <w:rFonts w:eastAsiaTheme="minorHAnsi"/>
        </w:rPr>
        <w:t xml:space="preserve">parental lines </w:t>
      </w:r>
      <w:r>
        <w:rPr>
          <w:rFonts w:eastAsiaTheme="minorHAnsi"/>
        </w:rPr>
        <w:t>had significant positive GCA values, indicating wider leaves</w:t>
      </w:r>
      <w:r w:rsidR="00F87ACF">
        <w:rPr>
          <w:rFonts w:eastAsiaTheme="minorHAnsi"/>
        </w:rPr>
        <w:t xml:space="preserve"> compared to the population mean</w:t>
      </w:r>
      <w:r w:rsidR="006666D0">
        <w:rPr>
          <w:rFonts w:eastAsiaTheme="minorHAnsi"/>
        </w:rPr>
        <w:t xml:space="preserve"> (Figure</w:t>
      </w:r>
      <w:r w:rsidR="00081E57">
        <w:rPr>
          <w:rFonts w:eastAsiaTheme="minorHAnsi"/>
        </w:rPr>
        <w:t xml:space="preserve"> 2-2 G</w:t>
      </w:r>
      <w:r w:rsidR="009C1A48">
        <w:rPr>
          <w:rFonts w:eastAsiaTheme="minorHAnsi"/>
        </w:rPr>
        <w:t>)</w:t>
      </w:r>
      <w:r>
        <w:rPr>
          <w:rFonts w:eastAsiaTheme="minorHAnsi"/>
        </w:rPr>
        <w:t>.</w:t>
      </w:r>
      <w:r w:rsidR="00BD4830" w:rsidRPr="00BD4830">
        <w:rPr>
          <w:rFonts w:eastAsiaTheme="minorHAnsi"/>
        </w:rPr>
        <w:t xml:space="preserve"> </w:t>
      </w:r>
      <w:r w:rsidR="00BD4830">
        <w:rPr>
          <w:rFonts w:eastAsiaTheme="minorHAnsi"/>
        </w:rPr>
        <w:t>No significant GCA values were observed within lines for the trait canopy density (Figure</w:t>
      </w:r>
      <w:r w:rsidR="00081E57">
        <w:rPr>
          <w:rFonts w:eastAsiaTheme="minorHAnsi"/>
        </w:rPr>
        <w:t xml:space="preserve"> 2-2 H</w:t>
      </w:r>
      <w:r w:rsidR="00BD4830">
        <w:rPr>
          <w:rFonts w:eastAsiaTheme="minorHAnsi"/>
        </w:rPr>
        <w:t>). For this trait, the Alamo parental lines, A10, T1, and T4, had positive GCA values, indicating canopies</w:t>
      </w:r>
      <w:r w:rsidR="00F87ACF">
        <w:rPr>
          <w:rFonts w:eastAsiaTheme="minorHAnsi"/>
        </w:rPr>
        <w:t xml:space="preserve"> tended to be more open</w:t>
      </w:r>
      <w:r w:rsidR="00BD4830">
        <w:rPr>
          <w:rFonts w:eastAsiaTheme="minorHAnsi"/>
        </w:rPr>
        <w:t xml:space="preserve">, while the Alamo parental line, A1, both Kanlow parental lines, and the Miami parental line had negative GCA values, indicating </w:t>
      </w:r>
      <w:r w:rsidR="00F87ACF">
        <w:rPr>
          <w:rFonts w:eastAsiaTheme="minorHAnsi"/>
        </w:rPr>
        <w:t>these lines tended to have</w:t>
      </w:r>
      <w:r w:rsidR="00BD4830">
        <w:rPr>
          <w:rFonts w:eastAsiaTheme="minorHAnsi"/>
        </w:rPr>
        <w:t xml:space="preserve"> dense</w:t>
      </w:r>
      <w:r w:rsidR="00F87ACF">
        <w:rPr>
          <w:rFonts w:eastAsiaTheme="minorHAnsi"/>
        </w:rPr>
        <w:t>r</w:t>
      </w:r>
      <w:r w:rsidR="00BD4830">
        <w:rPr>
          <w:rFonts w:eastAsiaTheme="minorHAnsi"/>
        </w:rPr>
        <w:t xml:space="preserve"> canopies. For rust severity, two parental lines showed consistently low significant GCA values, indicating less rust severity</w:t>
      </w:r>
      <w:r w:rsidR="00F87ACF">
        <w:rPr>
          <w:rFonts w:eastAsiaTheme="minorHAnsi"/>
        </w:rPr>
        <w:t xml:space="preserve"> compared to the </w:t>
      </w:r>
      <w:r w:rsidR="00F87ACF">
        <w:rPr>
          <w:rFonts w:eastAsiaTheme="minorHAnsi"/>
        </w:rPr>
        <w:lastRenderedPageBreak/>
        <w:t>population mean</w:t>
      </w:r>
      <w:r w:rsidR="00BD4830">
        <w:rPr>
          <w:rFonts w:eastAsiaTheme="minorHAnsi"/>
        </w:rPr>
        <w:t>, across both rating dates, A1 and M (Figure 2-2 I-J).</w:t>
      </w:r>
      <w:r w:rsidR="00081E57">
        <w:rPr>
          <w:rFonts w:eastAsiaTheme="minorHAnsi"/>
        </w:rPr>
        <w:t xml:space="preserve"> Interestingly, these lines were also lines identified as having positive GCA values for </w:t>
      </w:r>
      <w:r w:rsidR="00B8390A">
        <w:rPr>
          <w:rFonts w:eastAsiaTheme="minorHAnsi"/>
        </w:rPr>
        <w:t>leaf width</w:t>
      </w:r>
      <w:r w:rsidR="00F87ACF">
        <w:rPr>
          <w:rFonts w:eastAsiaTheme="minorHAnsi"/>
        </w:rPr>
        <w:t xml:space="preserve">, although only the M parental line exhibited a significant positive GCA for </w:t>
      </w:r>
      <w:r w:rsidR="00B8390A">
        <w:rPr>
          <w:rFonts w:eastAsiaTheme="minorHAnsi"/>
        </w:rPr>
        <w:t>leaf width</w:t>
      </w:r>
      <w:r w:rsidR="00954DB7">
        <w:rPr>
          <w:rFonts w:eastAsiaTheme="minorHAnsi"/>
        </w:rPr>
        <w:t xml:space="preserve">. </w:t>
      </w:r>
      <w:r>
        <w:rPr>
          <w:rFonts w:eastAsiaTheme="minorHAnsi"/>
        </w:rPr>
        <w:t xml:space="preserve">  </w:t>
      </w:r>
    </w:p>
    <w:p w14:paraId="3834D424" w14:textId="28266819" w:rsidR="00596A40" w:rsidRDefault="00596A40" w:rsidP="00596A40">
      <w:pPr>
        <w:ind w:firstLine="720"/>
        <w:rPr>
          <w:rFonts w:eastAsiaTheme="minorHAnsi"/>
        </w:rPr>
      </w:pPr>
      <w:r>
        <w:rPr>
          <w:rFonts w:eastAsiaTheme="minorHAnsi"/>
        </w:rPr>
        <w:t xml:space="preserve">Across traits, the A1 and A10 </w:t>
      </w:r>
      <w:r w:rsidR="009C1A48">
        <w:rPr>
          <w:rFonts w:eastAsiaTheme="minorHAnsi"/>
        </w:rPr>
        <w:t xml:space="preserve">parental </w:t>
      </w:r>
      <w:r>
        <w:rPr>
          <w:rFonts w:eastAsiaTheme="minorHAnsi"/>
        </w:rPr>
        <w:t xml:space="preserve">lines were the most promising, with A1 exhibiting positive GCA values for biomass yield, fall height, spring height, tiller number, tiller diameter, and </w:t>
      </w:r>
      <w:r w:rsidR="00B8390A">
        <w:rPr>
          <w:rFonts w:eastAsiaTheme="minorHAnsi"/>
        </w:rPr>
        <w:t>leaf width</w:t>
      </w:r>
      <w:r>
        <w:rPr>
          <w:rFonts w:eastAsiaTheme="minorHAnsi"/>
        </w:rPr>
        <w:t xml:space="preserve"> and negative GCA values for </w:t>
      </w:r>
      <w:r w:rsidR="009C1A48">
        <w:rPr>
          <w:rFonts w:eastAsiaTheme="minorHAnsi"/>
        </w:rPr>
        <w:t>rust severity</w:t>
      </w:r>
      <w:r>
        <w:rPr>
          <w:rFonts w:eastAsiaTheme="minorHAnsi"/>
        </w:rPr>
        <w:t xml:space="preserve">. This line did have a negative GCA value for </w:t>
      </w:r>
      <w:r w:rsidR="0095454C">
        <w:rPr>
          <w:rFonts w:eastAsiaTheme="minorHAnsi"/>
        </w:rPr>
        <w:t>predicted ethanol yield</w:t>
      </w:r>
      <w:r>
        <w:rPr>
          <w:rFonts w:eastAsiaTheme="minorHAnsi"/>
        </w:rPr>
        <w:t xml:space="preserve">, however. The A10 line also had positive GCA values for biomass yield, fall height, spring height, tiller number, </w:t>
      </w:r>
      <w:r w:rsidR="00B8390A">
        <w:rPr>
          <w:rFonts w:eastAsiaTheme="minorHAnsi"/>
        </w:rPr>
        <w:t>leaf width</w:t>
      </w:r>
      <w:r>
        <w:rPr>
          <w:rFonts w:eastAsiaTheme="minorHAnsi"/>
        </w:rPr>
        <w:t xml:space="preserve">, and </w:t>
      </w:r>
      <w:r w:rsidR="00DA675F">
        <w:rPr>
          <w:rFonts w:eastAsiaTheme="minorHAnsi"/>
        </w:rPr>
        <w:t>canopy density</w:t>
      </w:r>
      <w:r>
        <w:rPr>
          <w:rFonts w:eastAsiaTheme="minorHAnsi"/>
        </w:rPr>
        <w:t xml:space="preserve">. While it had a GCA value of 0 </w:t>
      </w:r>
      <w:r w:rsidR="00CA2406">
        <w:rPr>
          <w:rFonts w:eastAsiaTheme="minorHAnsi"/>
        </w:rPr>
        <w:t>mg g</w:t>
      </w:r>
      <w:r w:rsidR="00CA2406" w:rsidRPr="00CA2406">
        <w:rPr>
          <w:rFonts w:eastAsiaTheme="minorHAnsi"/>
          <w:vertAlign w:val="superscript"/>
        </w:rPr>
        <w:t>-1</w:t>
      </w:r>
      <w:r w:rsidR="00CA2406">
        <w:rPr>
          <w:rFonts w:eastAsiaTheme="minorHAnsi"/>
        </w:rPr>
        <w:t xml:space="preserve"> </w:t>
      </w:r>
      <w:r>
        <w:rPr>
          <w:rFonts w:eastAsiaTheme="minorHAnsi"/>
        </w:rPr>
        <w:t xml:space="preserve">for </w:t>
      </w:r>
      <w:r w:rsidR="0095454C">
        <w:rPr>
          <w:rFonts w:eastAsiaTheme="minorHAnsi"/>
        </w:rPr>
        <w:t>predicted ethanol yield</w:t>
      </w:r>
      <w:r>
        <w:rPr>
          <w:rFonts w:eastAsiaTheme="minorHAnsi"/>
        </w:rPr>
        <w:t>, it did have positive</w:t>
      </w:r>
      <w:r w:rsidR="001361A7">
        <w:rPr>
          <w:rFonts w:eastAsiaTheme="minorHAnsi"/>
        </w:rPr>
        <w:t>, though not significant,</w:t>
      </w:r>
      <w:r>
        <w:rPr>
          <w:rFonts w:eastAsiaTheme="minorHAnsi"/>
        </w:rPr>
        <w:t xml:space="preserve"> GCA values for </w:t>
      </w:r>
      <w:r w:rsidR="009C1A48">
        <w:rPr>
          <w:rFonts w:eastAsiaTheme="minorHAnsi"/>
        </w:rPr>
        <w:t>rust severity</w:t>
      </w:r>
      <w:r>
        <w:rPr>
          <w:rFonts w:eastAsiaTheme="minorHAnsi"/>
        </w:rPr>
        <w:t xml:space="preserve">, indicating higher than average </w:t>
      </w:r>
      <w:r w:rsidR="009C1A48">
        <w:rPr>
          <w:rFonts w:eastAsiaTheme="minorHAnsi"/>
        </w:rPr>
        <w:t>rust severity</w:t>
      </w:r>
      <w:r>
        <w:rPr>
          <w:rFonts w:eastAsiaTheme="minorHAnsi"/>
        </w:rPr>
        <w:t xml:space="preserve"> on progeny within this line. The Alamo line, T4, also showed promise with positive GCA values for biomass yield, fall height, tiller number and </w:t>
      </w:r>
      <w:r w:rsidR="00DA675F">
        <w:rPr>
          <w:rFonts w:eastAsiaTheme="minorHAnsi"/>
        </w:rPr>
        <w:t>canopy density</w:t>
      </w:r>
      <w:r>
        <w:rPr>
          <w:rFonts w:eastAsiaTheme="minorHAnsi"/>
        </w:rPr>
        <w:t xml:space="preserve">. </w:t>
      </w:r>
      <w:r w:rsidR="0095454C">
        <w:rPr>
          <w:rFonts w:eastAsiaTheme="minorHAnsi"/>
        </w:rPr>
        <w:t>Predicted ethanol yield</w:t>
      </w:r>
      <w:r>
        <w:rPr>
          <w:rFonts w:eastAsiaTheme="minorHAnsi"/>
        </w:rPr>
        <w:t xml:space="preserve"> was not evaluated for this line</w:t>
      </w:r>
      <w:r w:rsidR="00C67666">
        <w:rPr>
          <w:rFonts w:eastAsiaTheme="minorHAnsi"/>
        </w:rPr>
        <w:t xml:space="preserve"> due to time constraints</w:t>
      </w:r>
      <w:r w:rsidR="00954DB7">
        <w:rPr>
          <w:rFonts w:eastAsiaTheme="minorHAnsi"/>
        </w:rPr>
        <w:t xml:space="preserve">. </w:t>
      </w:r>
      <w:r>
        <w:rPr>
          <w:rFonts w:eastAsiaTheme="minorHAnsi"/>
        </w:rPr>
        <w:t xml:space="preserve">      </w:t>
      </w:r>
    </w:p>
    <w:p w14:paraId="5DBB47B6" w14:textId="55CF5DBC" w:rsidR="00596A40" w:rsidRDefault="00596A40" w:rsidP="00596A40">
      <w:pPr>
        <w:ind w:firstLine="720"/>
        <w:rPr>
          <w:rFonts w:eastAsiaTheme="minorHAnsi"/>
        </w:rPr>
      </w:pPr>
      <w:r>
        <w:rPr>
          <w:rFonts w:eastAsiaTheme="minorHAnsi"/>
        </w:rPr>
        <w:t xml:space="preserve">Significant maternal effects </w:t>
      </w:r>
      <w:r w:rsidR="00C67666">
        <w:rPr>
          <w:rFonts w:eastAsiaTheme="minorHAnsi"/>
        </w:rPr>
        <w:t>(</w:t>
      </w:r>
      <w:r w:rsidR="00B7572A">
        <w:rPr>
          <w:rFonts w:eastAsiaTheme="minorHAnsi"/>
        </w:rPr>
        <w:t xml:space="preserve">P </w:t>
      </w:r>
      <w:r w:rsidR="009021A8">
        <w:rPr>
          <w:rFonts w:eastAsiaTheme="minorHAnsi"/>
        </w:rPr>
        <w:t xml:space="preserve">&lt; </w:t>
      </w:r>
      <w:r w:rsidR="00C67666">
        <w:rPr>
          <w:rFonts w:eastAsiaTheme="minorHAnsi"/>
        </w:rPr>
        <w:t xml:space="preserve">0.05) </w:t>
      </w:r>
      <w:r>
        <w:rPr>
          <w:rFonts w:eastAsiaTheme="minorHAnsi"/>
        </w:rPr>
        <w:t>were observed for each trait, therefore, SCA and heterosis results are</w:t>
      </w:r>
      <w:r w:rsidR="00081E57">
        <w:rPr>
          <w:rFonts w:eastAsiaTheme="minorHAnsi"/>
        </w:rPr>
        <w:t xml:space="preserve"> reported for each cross and it</w:t>
      </w:r>
      <w:r w:rsidR="00042956">
        <w:rPr>
          <w:rFonts w:eastAsiaTheme="minorHAnsi"/>
        </w:rPr>
        <w:t>’</w:t>
      </w:r>
      <w:r>
        <w:rPr>
          <w:rFonts w:eastAsiaTheme="minorHAnsi"/>
        </w:rPr>
        <w:t>s reciprocal separately</w:t>
      </w:r>
      <w:r w:rsidR="00081E57">
        <w:rPr>
          <w:rFonts w:eastAsiaTheme="minorHAnsi"/>
        </w:rPr>
        <w:t xml:space="preserve"> (Figure 2-3)</w:t>
      </w:r>
      <w:r>
        <w:rPr>
          <w:rFonts w:eastAsiaTheme="minorHAnsi"/>
        </w:rPr>
        <w:t xml:space="preserve">. </w:t>
      </w:r>
      <w:r>
        <w:t>Biomass yield and predicted ethanol yield values are shown for 2012 and 2013 because of a significant SCA by year interaction effect in the model</w:t>
      </w:r>
      <w:r w:rsidR="00081E57">
        <w:t xml:space="preserve"> (Table 2-3 A)</w:t>
      </w:r>
      <w:r>
        <w:t>. For the remaining traits, the mean SCA value across both years is shown</w:t>
      </w:r>
      <w:r w:rsidR="00081E57">
        <w:t xml:space="preserve"> (Figure 2-3)</w:t>
      </w:r>
      <w:r>
        <w:t xml:space="preserve">. </w:t>
      </w:r>
    </w:p>
    <w:p w14:paraId="74BAFAC3" w14:textId="38EF93CE" w:rsidR="00081E57" w:rsidRDefault="00C67666" w:rsidP="00596A40">
      <w:pPr>
        <w:ind w:firstLine="720"/>
        <w:rPr>
          <w:rFonts w:eastAsiaTheme="minorHAnsi"/>
        </w:rPr>
      </w:pPr>
      <w:r>
        <w:rPr>
          <w:rFonts w:eastAsiaTheme="minorHAnsi"/>
        </w:rPr>
        <w:t>In 2012, b</w:t>
      </w:r>
      <w:r w:rsidR="00596A40">
        <w:rPr>
          <w:rFonts w:eastAsiaTheme="minorHAnsi"/>
        </w:rPr>
        <w:t xml:space="preserve">iomass yield had seven significant </w:t>
      </w:r>
      <w:r w:rsidR="00B63FAD">
        <w:rPr>
          <w:rFonts w:eastAsiaTheme="minorHAnsi"/>
        </w:rPr>
        <w:t>(</w:t>
      </w:r>
      <w:r w:rsidR="00B7572A">
        <w:rPr>
          <w:rFonts w:eastAsiaTheme="minorHAnsi"/>
        </w:rPr>
        <w:t xml:space="preserve">P </w:t>
      </w:r>
      <w:r w:rsidR="009021A8">
        <w:rPr>
          <w:rFonts w:eastAsiaTheme="minorHAnsi"/>
        </w:rPr>
        <w:t xml:space="preserve">&lt; </w:t>
      </w:r>
      <w:r w:rsidR="00B63FAD">
        <w:rPr>
          <w:rFonts w:eastAsiaTheme="minorHAnsi"/>
        </w:rPr>
        <w:t xml:space="preserve">0.05) </w:t>
      </w:r>
      <w:r w:rsidR="00596A40">
        <w:rPr>
          <w:rFonts w:eastAsiaTheme="minorHAnsi"/>
        </w:rPr>
        <w:t>SCA values</w:t>
      </w:r>
      <w:r>
        <w:rPr>
          <w:rFonts w:eastAsiaTheme="minorHAnsi"/>
        </w:rPr>
        <w:t xml:space="preserve"> (Figure </w:t>
      </w:r>
      <w:r w:rsidR="00081E57">
        <w:rPr>
          <w:rFonts w:eastAsiaTheme="minorHAnsi"/>
        </w:rPr>
        <w:t>2-3 A</w:t>
      </w:r>
      <w:r>
        <w:rPr>
          <w:rFonts w:eastAsiaTheme="minorHAnsi"/>
        </w:rPr>
        <w:t>)</w:t>
      </w:r>
      <w:r w:rsidR="00596A40">
        <w:rPr>
          <w:rFonts w:eastAsiaTheme="minorHAnsi"/>
        </w:rPr>
        <w:t>.</w:t>
      </w:r>
      <w:r w:rsidR="00081E57">
        <w:rPr>
          <w:rFonts w:eastAsiaTheme="minorHAnsi"/>
        </w:rPr>
        <w:t xml:space="preserve"> The population mean was 95 g plant</w:t>
      </w:r>
      <w:r w:rsidR="00081E57">
        <w:rPr>
          <w:rFonts w:eastAsiaTheme="minorHAnsi"/>
          <w:vertAlign w:val="superscript"/>
        </w:rPr>
        <w:t>-1</w:t>
      </w:r>
      <w:r w:rsidR="00081E57">
        <w:rPr>
          <w:rFonts w:eastAsiaTheme="minorHAnsi"/>
        </w:rPr>
        <w:t>.</w:t>
      </w:r>
      <w:r w:rsidR="00596A40">
        <w:rPr>
          <w:rFonts w:eastAsiaTheme="minorHAnsi"/>
        </w:rPr>
        <w:t xml:space="preserve"> Crosses with significant positive SCA values included </w:t>
      </w:r>
      <w:r w:rsidR="00B63FAD">
        <w:rPr>
          <w:rFonts w:eastAsiaTheme="minorHAnsi"/>
        </w:rPr>
        <w:t>A10x</w:t>
      </w:r>
      <w:r w:rsidR="00596A40">
        <w:rPr>
          <w:rFonts w:eastAsiaTheme="minorHAnsi"/>
        </w:rPr>
        <w:t>AS</w:t>
      </w:r>
      <w:r>
        <w:rPr>
          <w:rFonts w:eastAsiaTheme="minorHAnsi"/>
        </w:rPr>
        <w:t xml:space="preserve"> (</w:t>
      </w:r>
      <w:r w:rsidR="0090018F">
        <w:rPr>
          <w:rFonts w:eastAsiaTheme="minorHAnsi"/>
        </w:rPr>
        <w:t>36 g plant</w:t>
      </w:r>
      <w:r w:rsidR="0090018F" w:rsidRPr="0090018F">
        <w:rPr>
          <w:rFonts w:eastAsiaTheme="minorHAnsi"/>
          <w:vertAlign w:val="superscript"/>
        </w:rPr>
        <w:t>-1</w:t>
      </w:r>
      <w:r w:rsidR="00081E57">
        <w:rPr>
          <w:rFonts w:eastAsiaTheme="minorHAnsi"/>
        </w:rPr>
        <w:t>)</w:t>
      </w:r>
      <w:r>
        <w:rPr>
          <w:rFonts w:eastAsiaTheme="minorHAnsi"/>
        </w:rPr>
        <w:t>, K2</w:t>
      </w:r>
      <w:r w:rsidR="00B63FAD">
        <w:rPr>
          <w:rFonts w:eastAsiaTheme="minorHAnsi"/>
        </w:rPr>
        <w:t>x</w:t>
      </w:r>
      <w:r>
        <w:rPr>
          <w:rFonts w:eastAsiaTheme="minorHAnsi"/>
        </w:rPr>
        <w:t>T1</w:t>
      </w:r>
      <w:r w:rsidR="0090018F">
        <w:rPr>
          <w:rFonts w:eastAsiaTheme="minorHAnsi"/>
        </w:rPr>
        <w:t xml:space="preserve"> (33</w:t>
      </w:r>
      <w:r w:rsidR="0090018F" w:rsidRPr="0090018F">
        <w:rPr>
          <w:rFonts w:eastAsiaTheme="minorHAnsi"/>
        </w:rPr>
        <w:t xml:space="preserve"> </w:t>
      </w:r>
      <w:r w:rsidR="0090018F">
        <w:rPr>
          <w:rFonts w:eastAsiaTheme="minorHAnsi"/>
        </w:rPr>
        <w:t>g plant</w:t>
      </w:r>
      <w:r w:rsidR="0090018F" w:rsidRPr="0090018F">
        <w:rPr>
          <w:rFonts w:eastAsiaTheme="minorHAnsi"/>
          <w:vertAlign w:val="superscript"/>
        </w:rPr>
        <w:t>-1</w:t>
      </w:r>
      <w:r w:rsidR="00081E57">
        <w:rPr>
          <w:rFonts w:eastAsiaTheme="minorHAnsi"/>
        </w:rPr>
        <w:t xml:space="preserve">), </w:t>
      </w:r>
      <w:r w:rsidR="0090018F">
        <w:rPr>
          <w:rFonts w:eastAsiaTheme="minorHAnsi"/>
        </w:rPr>
        <w:t>K3</w:t>
      </w:r>
      <w:r w:rsidR="00B63FAD">
        <w:rPr>
          <w:rFonts w:eastAsiaTheme="minorHAnsi"/>
        </w:rPr>
        <w:t>x</w:t>
      </w:r>
      <w:r w:rsidR="0090018F">
        <w:rPr>
          <w:rFonts w:eastAsiaTheme="minorHAnsi"/>
        </w:rPr>
        <w:t>T4 (40</w:t>
      </w:r>
      <w:r w:rsidR="00B63FAD" w:rsidRPr="00B63FAD">
        <w:rPr>
          <w:rFonts w:eastAsiaTheme="minorHAnsi"/>
        </w:rPr>
        <w:t xml:space="preserve"> </w:t>
      </w:r>
      <w:r w:rsidR="00B63FAD">
        <w:rPr>
          <w:rFonts w:eastAsiaTheme="minorHAnsi"/>
        </w:rPr>
        <w:t>g plant</w:t>
      </w:r>
      <w:r w:rsidR="00B63FAD" w:rsidRPr="0090018F">
        <w:rPr>
          <w:rFonts w:eastAsiaTheme="minorHAnsi"/>
          <w:vertAlign w:val="superscript"/>
        </w:rPr>
        <w:t>-1</w:t>
      </w:r>
      <w:r w:rsidR="0090018F">
        <w:rPr>
          <w:rFonts w:eastAsiaTheme="minorHAnsi"/>
        </w:rPr>
        <w:t>),</w:t>
      </w:r>
      <w:r w:rsidR="00081E57">
        <w:rPr>
          <w:rFonts w:eastAsiaTheme="minorHAnsi"/>
        </w:rPr>
        <w:t xml:space="preserve"> </w:t>
      </w:r>
      <w:r w:rsidR="00596A40">
        <w:rPr>
          <w:rFonts w:eastAsiaTheme="minorHAnsi"/>
        </w:rPr>
        <w:t>A10</w:t>
      </w:r>
      <w:r w:rsidR="00B63FAD">
        <w:rPr>
          <w:rFonts w:eastAsiaTheme="minorHAnsi"/>
        </w:rPr>
        <w:t>x</w:t>
      </w:r>
      <w:r w:rsidR="00596A40">
        <w:rPr>
          <w:rFonts w:eastAsiaTheme="minorHAnsi"/>
        </w:rPr>
        <w:t>M</w:t>
      </w:r>
      <w:r w:rsidR="0090018F">
        <w:rPr>
          <w:rFonts w:eastAsiaTheme="minorHAnsi"/>
        </w:rPr>
        <w:t xml:space="preserve"> (47</w:t>
      </w:r>
      <w:r w:rsidR="00B63FAD" w:rsidRPr="00B63FAD">
        <w:rPr>
          <w:rFonts w:eastAsiaTheme="minorHAnsi"/>
        </w:rPr>
        <w:t xml:space="preserve"> </w:t>
      </w:r>
      <w:r w:rsidR="00B63FAD">
        <w:rPr>
          <w:rFonts w:eastAsiaTheme="minorHAnsi"/>
        </w:rPr>
        <w:t>g plant</w:t>
      </w:r>
      <w:r w:rsidR="00B63FAD" w:rsidRPr="0090018F">
        <w:rPr>
          <w:rFonts w:eastAsiaTheme="minorHAnsi"/>
          <w:vertAlign w:val="superscript"/>
        </w:rPr>
        <w:t>-1</w:t>
      </w:r>
      <w:r w:rsidR="0090018F">
        <w:rPr>
          <w:rFonts w:eastAsiaTheme="minorHAnsi"/>
        </w:rPr>
        <w:t>)</w:t>
      </w:r>
      <w:r w:rsidR="00081E57">
        <w:rPr>
          <w:rFonts w:eastAsiaTheme="minorHAnsi"/>
        </w:rPr>
        <w:t>,</w:t>
      </w:r>
      <w:r w:rsidR="00596A40">
        <w:rPr>
          <w:rFonts w:eastAsiaTheme="minorHAnsi"/>
        </w:rPr>
        <w:t xml:space="preserve"> and T1</w:t>
      </w:r>
      <w:r w:rsidR="00B63FAD">
        <w:rPr>
          <w:rFonts w:eastAsiaTheme="minorHAnsi"/>
        </w:rPr>
        <w:t>x</w:t>
      </w:r>
      <w:r w:rsidR="00596A40">
        <w:rPr>
          <w:rFonts w:eastAsiaTheme="minorHAnsi"/>
        </w:rPr>
        <w:t>M</w:t>
      </w:r>
      <w:r w:rsidR="0090018F">
        <w:rPr>
          <w:rFonts w:eastAsiaTheme="minorHAnsi"/>
        </w:rPr>
        <w:t xml:space="preserve"> (74</w:t>
      </w:r>
      <w:r w:rsidR="00B63FAD" w:rsidRPr="00B63FAD">
        <w:rPr>
          <w:rFonts w:eastAsiaTheme="minorHAnsi"/>
        </w:rPr>
        <w:t xml:space="preserve"> </w:t>
      </w:r>
      <w:r w:rsidR="00B63FAD">
        <w:rPr>
          <w:rFonts w:eastAsiaTheme="minorHAnsi"/>
        </w:rPr>
        <w:t>g plant</w:t>
      </w:r>
      <w:r w:rsidR="00B63FAD" w:rsidRPr="0090018F">
        <w:rPr>
          <w:rFonts w:eastAsiaTheme="minorHAnsi"/>
          <w:vertAlign w:val="superscript"/>
        </w:rPr>
        <w:t>-1</w:t>
      </w:r>
      <w:r w:rsidR="0090018F">
        <w:rPr>
          <w:rFonts w:eastAsiaTheme="minorHAnsi"/>
        </w:rPr>
        <w:t>)</w:t>
      </w:r>
      <w:r w:rsidR="00596A40">
        <w:rPr>
          <w:rFonts w:eastAsiaTheme="minorHAnsi"/>
        </w:rPr>
        <w:t xml:space="preserve">. In 2012, </w:t>
      </w:r>
      <w:r w:rsidR="0090018F">
        <w:rPr>
          <w:rFonts w:eastAsiaTheme="minorHAnsi"/>
        </w:rPr>
        <w:t>b</w:t>
      </w:r>
      <w:r w:rsidR="00596A40">
        <w:rPr>
          <w:rFonts w:eastAsiaTheme="minorHAnsi"/>
        </w:rPr>
        <w:t>iomass yield had five combinations with significant maternal effects</w:t>
      </w:r>
      <w:r w:rsidR="0090018F">
        <w:rPr>
          <w:rFonts w:eastAsiaTheme="minorHAnsi"/>
        </w:rPr>
        <w:t xml:space="preserve"> (Figure</w:t>
      </w:r>
      <w:r w:rsidR="00081E57">
        <w:rPr>
          <w:rFonts w:eastAsiaTheme="minorHAnsi"/>
        </w:rPr>
        <w:t xml:space="preserve"> 2-3 A</w:t>
      </w:r>
      <w:r w:rsidR="0090018F">
        <w:rPr>
          <w:rFonts w:eastAsiaTheme="minorHAnsi"/>
        </w:rPr>
        <w:t>)</w:t>
      </w:r>
      <w:r w:rsidR="00596A40">
        <w:rPr>
          <w:rFonts w:eastAsiaTheme="minorHAnsi"/>
        </w:rPr>
        <w:t xml:space="preserve">. Within combinations identified as significant, the difference between </w:t>
      </w:r>
      <w:r w:rsidR="00596A40">
        <w:rPr>
          <w:rFonts w:eastAsiaTheme="minorHAnsi"/>
        </w:rPr>
        <w:lastRenderedPageBreak/>
        <w:t>cross and reciprocal ranged from 24 g plant</w:t>
      </w:r>
      <w:r w:rsidR="00596A40">
        <w:rPr>
          <w:rFonts w:eastAsiaTheme="minorHAnsi"/>
          <w:vertAlign w:val="superscript"/>
        </w:rPr>
        <w:t>-1</w:t>
      </w:r>
      <w:r w:rsidR="00596A40">
        <w:rPr>
          <w:rFonts w:eastAsiaTheme="minorHAnsi"/>
        </w:rPr>
        <w:t xml:space="preserve"> to 52 g plant</w:t>
      </w:r>
      <w:r w:rsidR="00596A40">
        <w:rPr>
          <w:rFonts w:eastAsiaTheme="minorHAnsi"/>
          <w:vertAlign w:val="superscript"/>
        </w:rPr>
        <w:t>-1</w:t>
      </w:r>
      <w:r w:rsidR="00596A40">
        <w:rPr>
          <w:rFonts w:eastAsiaTheme="minorHAnsi"/>
        </w:rPr>
        <w:t>, with an average difference of 36 g plant</w:t>
      </w:r>
      <w:r w:rsidR="00596A40">
        <w:rPr>
          <w:rFonts w:eastAsiaTheme="minorHAnsi"/>
          <w:vertAlign w:val="superscript"/>
        </w:rPr>
        <w:t>-1</w:t>
      </w:r>
      <w:r w:rsidR="0090018F">
        <w:rPr>
          <w:rFonts w:eastAsiaTheme="minorHAnsi"/>
        </w:rPr>
        <w:t xml:space="preserve">. </w:t>
      </w:r>
    </w:p>
    <w:p w14:paraId="44330F63" w14:textId="59B42955" w:rsidR="00596A40" w:rsidRDefault="0090018F" w:rsidP="00596A40">
      <w:pPr>
        <w:ind w:firstLine="720"/>
        <w:rPr>
          <w:rFonts w:eastAsiaTheme="minorHAnsi"/>
        </w:rPr>
      </w:pPr>
      <w:r>
        <w:rPr>
          <w:rFonts w:eastAsiaTheme="minorHAnsi"/>
        </w:rPr>
        <w:t>In 2013, b</w:t>
      </w:r>
      <w:r w:rsidR="00596A40">
        <w:rPr>
          <w:rFonts w:eastAsiaTheme="minorHAnsi"/>
        </w:rPr>
        <w:t>iomass yield had six significant SCA values</w:t>
      </w:r>
      <w:r w:rsidR="006666D0">
        <w:rPr>
          <w:rFonts w:eastAsiaTheme="minorHAnsi"/>
        </w:rPr>
        <w:t xml:space="preserve"> (Figure</w:t>
      </w:r>
      <w:r w:rsidR="00081E57">
        <w:rPr>
          <w:rFonts w:eastAsiaTheme="minorHAnsi"/>
        </w:rPr>
        <w:t xml:space="preserve"> 2-3 B</w:t>
      </w:r>
      <w:r w:rsidR="006666D0">
        <w:rPr>
          <w:rFonts w:eastAsiaTheme="minorHAnsi"/>
        </w:rPr>
        <w:t>)</w:t>
      </w:r>
      <w:r w:rsidR="00596A40">
        <w:rPr>
          <w:rFonts w:eastAsiaTheme="minorHAnsi"/>
        </w:rPr>
        <w:t>. Four of these crosses were also significant in 2012. Crosses with significant SCA values included K2</w:t>
      </w:r>
      <w:r w:rsidR="00731563">
        <w:rPr>
          <w:rFonts w:eastAsiaTheme="minorHAnsi"/>
        </w:rPr>
        <w:t>x</w:t>
      </w:r>
      <w:r w:rsidR="00596A40">
        <w:rPr>
          <w:rFonts w:eastAsiaTheme="minorHAnsi"/>
        </w:rPr>
        <w:t>T1</w:t>
      </w:r>
      <w:r w:rsidR="006666D0">
        <w:rPr>
          <w:rFonts w:eastAsiaTheme="minorHAnsi"/>
        </w:rPr>
        <w:t xml:space="preserve"> (437</w:t>
      </w:r>
      <w:r w:rsidR="006666D0" w:rsidRPr="00B63FAD">
        <w:rPr>
          <w:rFonts w:eastAsiaTheme="minorHAnsi"/>
        </w:rPr>
        <w:t xml:space="preserve"> </w:t>
      </w:r>
      <w:r w:rsidR="006666D0">
        <w:rPr>
          <w:rFonts w:eastAsiaTheme="minorHAnsi"/>
        </w:rPr>
        <w:t>g plant</w:t>
      </w:r>
      <w:r w:rsidR="006666D0" w:rsidRPr="0090018F">
        <w:rPr>
          <w:rFonts w:eastAsiaTheme="minorHAnsi"/>
          <w:vertAlign w:val="superscript"/>
        </w:rPr>
        <w:t>-1</w:t>
      </w:r>
      <w:r w:rsidR="00081E57">
        <w:rPr>
          <w:rFonts w:eastAsiaTheme="minorHAnsi"/>
        </w:rPr>
        <w:t xml:space="preserve">), </w:t>
      </w:r>
      <w:r w:rsidR="00596A40">
        <w:rPr>
          <w:rFonts w:eastAsiaTheme="minorHAnsi"/>
        </w:rPr>
        <w:t>K3</w:t>
      </w:r>
      <w:r w:rsidR="00731563">
        <w:rPr>
          <w:rFonts w:eastAsiaTheme="minorHAnsi"/>
        </w:rPr>
        <w:t>x</w:t>
      </w:r>
      <w:r w:rsidR="00596A40">
        <w:rPr>
          <w:rFonts w:eastAsiaTheme="minorHAnsi"/>
        </w:rPr>
        <w:t>T4</w:t>
      </w:r>
      <w:r w:rsidR="006666D0">
        <w:rPr>
          <w:rFonts w:eastAsiaTheme="minorHAnsi"/>
        </w:rPr>
        <w:t xml:space="preserve"> (588</w:t>
      </w:r>
      <w:r w:rsidR="006666D0" w:rsidRPr="00B63FAD">
        <w:rPr>
          <w:rFonts w:eastAsiaTheme="minorHAnsi"/>
        </w:rPr>
        <w:t xml:space="preserve"> </w:t>
      </w:r>
      <w:r w:rsidR="006666D0">
        <w:rPr>
          <w:rFonts w:eastAsiaTheme="minorHAnsi"/>
        </w:rPr>
        <w:t>g plant</w:t>
      </w:r>
      <w:r w:rsidR="006666D0" w:rsidRPr="0090018F">
        <w:rPr>
          <w:rFonts w:eastAsiaTheme="minorHAnsi"/>
          <w:vertAlign w:val="superscript"/>
        </w:rPr>
        <w:t>-1</w:t>
      </w:r>
      <w:r w:rsidR="006666D0">
        <w:rPr>
          <w:rFonts w:eastAsiaTheme="minorHAnsi"/>
        </w:rPr>
        <w:t>)</w:t>
      </w:r>
      <w:r w:rsidR="00596A40">
        <w:rPr>
          <w:rFonts w:eastAsiaTheme="minorHAnsi"/>
        </w:rPr>
        <w:t>, and T1</w:t>
      </w:r>
      <w:r w:rsidR="00731563">
        <w:rPr>
          <w:rFonts w:eastAsiaTheme="minorHAnsi"/>
        </w:rPr>
        <w:t>x</w:t>
      </w:r>
      <w:r w:rsidR="00596A40">
        <w:rPr>
          <w:rFonts w:eastAsiaTheme="minorHAnsi"/>
        </w:rPr>
        <w:t>M</w:t>
      </w:r>
      <w:r w:rsidR="006666D0">
        <w:rPr>
          <w:rFonts w:eastAsiaTheme="minorHAnsi"/>
        </w:rPr>
        <w:t xml:space="preserve"> (273</w:t>
      </w:r>
      <w:r w:rsidR="006666D0" w:rsidRPr="00B63FAD">
        <w:rPr>
          <w:rFonts w:eastAsiaTheme="minorHAnsi"/>
        </w:rPr>
        <w:t xml:space="preserve"> </w:t>
      </w:r>
      <w:r w:rsidR="006666D0">
        <w:rPr>
          <w:rFonts w:eastAsiaTheme="minorHAnsi"/>
        </w:rPr>
        <w:t>g plant</w:t>
      </w:r>
      <w:r w:rsidR="006666D0" w:rsidRPr="0090018F">
        <w:rPr>
          <w:rFonts w:eastAsiaTheme="minorHAnsi"/>
          <w:vertAlign w:val="superscript"/>
        </w:rPr>
        <w:t>-1</w:t>
      </w:r>
      <w:r w:rsidR="006666D0">
        <w:rPr>
          <w:rFonts w:eastAsiaTheme="minorHAnsi"/>
        </w:rPr>
        <w:t>)</w:t>
      </w:r>
      <w:r w:rsidR="00596A40">
        <w:rPr>
          <w:rFonts w:eastAsiaTheme="minorHAnsi"/>
        </w:rPr>
        <w:t xml:space="preserve">. In 2013, four of the five </w:t>
      </w:r>
      <w:r w:rsidR="00731563">
        <w:rPr>
          <w:rFonts w:eastAsiaTheme="minorHAnsi"/>
        </w:rPr>
        <w:t>combinations</w:t>
      </w:r>
      <w:r w:rsidR="00596A40">
        <w:rPr>
          <w:rFonts w:eastAsiaTheme="minorHAnsi"/>
        </w:rPr>
        <w:t xml:space="preserve"> from 2012, and an additional three </w:t>
      </w:r>
      <w:r w:rsidR="00731563">
        <w:rPr>
          <w:rFonts w:eastAsiaTheme="minorHAnsi"/>
        </w:rPr>
        <w:t>combinations</w:t>
      </w:r>
      <w:r w:rsidR="00596A40">
        <w:rPr>
          <w:rFonts w:eastAsiaTheme="minorHAnsi"/>
        </w:rPr>
        <w:t xml:space="preserve"> were identified as having significant maternal effects</w:t>
      </w:r>
      <w:r w:rsidR="00B63FAD">
        <w:rPr>
          <w:rFonts w:eastAsiaTheme="minorHAnsi"/>
        </w:rPr>
        <w:t xml:space="preserve"> (Figure</w:t>
      </w:r>
      <w:r w:rsidR="00081E57">
        <w:rPr>
          <w:rFonts w:eastAsiaTheme="minorHAnsi"/>
        </w:rPr>
        <w:t xml:space="preserve"> 2-3 B</w:t>
      </w:r>
      <w:r w:rsidR="00B63FAD">
        <w:rPr>
          <w:rFonts w:eastAsiaTheme="minorHAnsi"/>
        </w:rPr>
        <w:t>)</w:t>
      </w:r>
      <w:r w:rsidR="00596A40">
        <w:rPr>
          <w:rFonts w:eastAsiaTheme="minorHAnsi"/>
        </w:rPr>
        <w:t>. Within combinations identified as significant, the difference between cross and reciprocal ranged from 202 g plant</w:t>
      </w:r>
      <w:r w:rsidR="00596A40">
        <w:rPr>
          <w:rFonts w:eastAsiaTheme="minorHAnsi"/>
          <w:vertAlign w:val="superscript"/>
        </w:rPr>
        <w:t>-1</w:t>
      </w:r>
      <w:r w:rsidR="00596A40">
        <w:rPr>
          <w:rFonts w:eastAsiaTheme="minorHAnsi"/>
        </w:rPr>
        <w:t xml:space="preserve"> to 371 g plant</w:t>
      </w:r>
      <w:r w:rsidR="00596A40">
        <w:rPr>
          <w:rFonts w:eastAsiaTheme="minorHAnsi"/>
          <w:vertAlign w:val="superscript"/>
        </w:rPr>
        <w:t>-1</w:t>
      </w:r>
      <w:r w:rsidR="00596A40">
        <w:rPr>
          <w:rFonts w:eastAsiaTheme="minorHAnsi"/>
        </w:rPr>
        <w:t>, with an average difference of 271 g plant</w:t>
      </w:r>
      <w:r w:rsidR="00596A40">
        <w:rPr>
          <w:rFonts w:eastAsiaTheme="minorHAnsi"/>
          <w:vertAlign w:val="superscript"/>
        </w:rPr>
        <w:t>-1</w:t>
      </w:r>
      <w:r w:rsidR="00596A40">
        <w:rPr>
          <w:rFonts w:eastAsiaTheme="minorHAnsi"/>
        </w:rPr>
        <w:t xml:space="preserve">. </w:t>
      </w:r>
    </w:p>
    <w:p w14:paraId="75E22F3D" w14:textId="555C9A6D" w:rsidR="00596A40" w:rsidRDefault="00596A40" w:rsidP="00596A40">
      <w:pPr>
        <w:ind w:firstLine="720"/>
        <w:rPr>
          <w:rFonts w:eastAsiaTheme="minorHAnsi"/>
        </w:rPr>
      </w:pPr>
      <w:r>
        <w:rPr>
          <w:rFonts w:eastAsiaTheme="minorHAnsi"/>
        </w:rPr>
        <w:t xml:space="preserve">Reciprocal effects for biomass yield in lowland switchgrass were also reported by </w:t>
      </w:r>
      <w:hyperlink w:anchor="_ENREF_13" w:tooltip="Bhandari, 2014 #316" w:history="1">
        <w:r w:rsidR="00FB5014">
          <w:rPr>
            <w:rFonts w:eastAsiaTheme="minorHAnsi"/>
          </w:rPr>
          <w:fldChar w:fldCharType="begin"/>
        </w:r>
        <w:r w:rsidR="00FB5014">
          <w:rPr>
            <w:rFonts w:eastAsiaTheme="minorHAnsi"/>
          </w:rPr>
          <w:instrText xml:space="preserve"> ADDIN EN.CITE &lt;EndNote&gt;&lt;Cite AuthorYear="1"&gt;&lt;Author&gt;Bhandari&lt;/Author&gt;&lt;Year&gt;2014&lt;/Year&gt;&lt;RecNum&gt;316&lt;/RecNum&gt;&lt;DisplayText&gt;Bhandari et al. (2014)&lt;/DisplayText&gt;&lt;record&gt;&lt;rec-number&gt;316&lt;/rec-number&gt;&lt;foreign-keys&gt;&lt;key app="EN" db-id="9zfxt259rawwvce0pfa5efeuatdw0pz5va5z" timestamp="1411765402"&gt;316&lt;/key&gt;&lt;/foreign-keys&gt;&lt;ref-type name="Journal Article"&gt;17&lt;/ref-type&gt;&lt;contributors&gt;&lt;authors&gt;&lt;author&gt;Bhandari, H.S.&lt;/author&gt;&lt;author&gt;Webb, S.L.&lt;/author&gt;&lt;author&gt;Bouton, J.H.&lt;/author&gt;&lt;author&gt;Saha, M.C.&lt;/author&gt;&lt;/authors&gt;&lt;/contributors&gt;&lt;titles&gt;&lt;title&gt;Reciprocal effects for biomass yield in lowland switchgrass&lt;/title&gt;&lt;secondary-title&gt;Crop Sci.&lt;/secondary-title&gt;&lt;/titles&gt;&lt;periodical&gt;&lt;full-title&gt;Crop Sci.&lt;/full-title&gt;&lt;/periodical&gt;&lt;pages&gt;955-962&lt;/pages&gt;&lt;volume&gt;54&lt;/volume&gt;&lt;dates&gt;&lt;year&gt;2014&lt;/year&gt;&lt;/dates&gt;&lt;urls&gt;&lt;/urls&gt;&lt;/record&gt;&lt;/Cite&gt;&lt;/EndNote&gt;</w:instrText>
        </w:r>
        <w:r w:rsidR="00FB5014">
          <w:rPr>
            <w:rFonts w:eastAsiaTheme="minorHAnsi"/>
          </w:rPr>
          <w:fldChar w:fldCharType="separate"/>
        </w:r>
        <w:r w:rsidR="00FB5014">
          <w:rPr>
            <w:rFonts w:eastAsiaTheme="minorHAnsi"/>
            <w:noProof/>
          </w:rPr>
          <w:t>Bhandari et al. (2014)</w:t>
        </w:r>
        <w:r w:rsidR="00FB5014">
          <w:rPr>
            <w:rFonts w:eastAsiaTheme="minorHAnsi"/>
          </w:rPr>
          <w:fldChar w:fldCharType="end"/>
        </w:r>
      </w:hyperlink>
      <w:r w:rsidR="000822E8">
        <w:rPr>
          <w:rFonts w:eastAsiaTheme="minorHAnsi"/>
        </w:rPr>
        <w:t>,</w:t>
      </w:r>
      <w:r>
        <w:rPr>
          <w:rFonts w:eastAsiaTheme="minorHAnsi"/>
        </w:rPr>
        <w:t xml:space="preserve"> with an average maternal effect between 500 and 8400 g plant</w:t>
      </w:r>
      <w:r>
        <w:rPr>
          <w:rFonts w:eastAsiaTheme="minorHAnsi"/>
          <w:vertAlign w:val="superscript"/>
        </w:rPr>
        <w:t>-1</w:t>
      </w:r>
      <w:r>
        <w:rPr>
          <w:rFonts w:eastAsiaTheme="minorHAnsi"/>
        </w:rPr>
        <w:t xml:space="preserve">. These values are much higher than the average reciprocal effects reported above. </w:t>
      </w:r>
      <w:r w:rsidR="001361A7">
        <w:rPr>
          <w:rFonts w:eastAsiaTheme="minorHAnsi"/>
        </w:rPr>
        <w:t>T</w:t>
      </w:r>
      <w:r>
        <w:rPr>
          <w:rFonts w:eastAsiaTheme="minorHAnsi"/>
        </w:rPr>
        <w:t xml:space="preserve">he study by Bhandari et al. </w:t>
      </w:r>
      <w:r w:rsidR="001361A7">
        <w:rPr>
          <w:rFonts w:eastAsiaTheme="minorHAnsi"/>
        </w:rPr>
        <w:t>examined mean biomass across</w:t>
      </w:r>
      <w:r>
        <w:rPr>
          <w:rFonts w:eastAsiaTheme="minorHAnsi"/>
        </w:rPr>
        <w:t xml:space="preserve"> second and third year </w:t>
      </w:r>
      <w:r w:rsidR="001361A7">
        <w:rPr>
          <w:rFonts w:eastAsiaTheme="minorHAnsi"/>
        </w:rPr>
        <w:t>evaluations</w:t>
      </w:r>
      <w:r>
        <w:rPr>
          <w:rFonts w:eastAsiaTheme="minorHAnsi"/>
        </w:rPr>
        <w:t xml:space="preserve">, while this study used first and second year biomass data which could explain the </w:t>
      </w:r>
      <w:r w:rsidR="00042956">
        <w:rPr>
          <w:rFonts w:eastAsiaTheme="minorHAnsi"/>
        </w:rPr>
        <w:t xml:space="preserve">observed </w:t>
      </w:r>
      <w:r>
        <w:rPr>
          <w:rFonts w:eastAsiaTheme="minorHAnsi"/>
        </w:rPr>
        <w:t xml:space="preserve">difference in magnitude. A similar </w:t>
      </w:r>
      <w:r w:rsidR="00B63FAD">
        <w:rPr>
          <w:rFonts w:eastAsiaTheme="minorHAnsi"/>
        </w:rPr>
        <w:t>proportion of</w:t>
      </w:r>
      <w:r>
        <w:rPr>
          <w:rFonts w:eastAsiaTheme="minorHAnsi"/>
        </w:rPr>
        <w:t xml:space="preserve"> combinations exhibiting reciprocal effects for biomass yield were found in both studies. </w:t>
      </w:r>
    </w:p>
    <w:p w14:paraId="013B350B" w14:textId="6B443557" w:rsidR="00596A40" w:rsidRDefault="00596A40" w:rsidP="00596A40">
      <w:pPr>
        <w:ind w:firstLine="720"/>
        <w:rPr>
          <w:rFonts w:eastAsiaTheme="minorHAnsi"/>
        </w:rPr>
      </w:pPr>
      <w:r>
        <w:rPr>
          <w:rFonts w:eastAsiaTheme="minorHAnsi"/>
        </w:rPr>
        <w:t xml:space="preserve">For predicted ethanol yield, </w:t>
      </w:r>
      <w:r w:rsidR="00CB660C">
        <w:rPr>
          <w:rFonts w:eastAsiaTheme="minorHAnsi"/>
        </w:rPr>
        <w:t>one cross in 2012 and one cross in 2013 were</w:t>
      </w:r>
      <w:r>
        <w:rPr>
          <w:rFonts w:eastAsiaTheme="minorHAnsi"/>
        </w:rPr>
        <w:t xml:space="preserve"> identified with significant </w:t>
      </w:r>
      <w:r w:rsidR="00B63FAD">
        <w:rPr>
          <w:rFonts w:eastAsiaTheme="minorHAnsi"/>
        </w:rPr>
        <w:t>(</w:t>
      </w:r>
      <w:r w:rsidR="00B7572A">
        <w:rPr>
          <w:rFonts w:eastAsiaTheme="minorHAnsi"/>
        </w:rPr>
        <w:t xml:space="preserve">P </w:t>
      </w:r>
      <w:r w:rsidR="009021A8">
        <w:rPr>
          <w:rFonts w:eastAsiaTheme="minorHAnsi"/>
        </w:rPr>
        <w:t xml:space="preserve">&lt; </w:t>
      </w:r>
      <w:r w:rsidR="00B63FAD">
        <w:rPr>
          <w:rFonts w:eastAsiaTheme="minorHAnsi"/>
        </w:rPr>
        <w:t xml:space="preserve">0.05) </w:t>
      </w:r>
      <w:r>
        <w:rPr>
          <w:rFonts w:eastAsiaTheme="minorHAnsi"/>
        </w:rPr>
        <w:t xml:space="preserve">SCA values </w:t>
      </w:r>
      <w:r w:rsidR="00B63FAD">
        <w:rPr>
          <w:rFonts w:eastAsiaTheme="minorHAnsi"/>
        </w:rPr>
        <w:t>(Figure</w:t>
      </w:r>
      <w:r w:rsidR="00081E57">
        <w:rPr>
          <w:rFonts w:eastAsiaTheme="minorHAnsi"/>
        </w:rPr>
        <w:t xml:space="preserve"> 2-3 A-B</w:t>
      </w:r>
      <w:r w:rsidR="00B63FAD">
        <w:rPr>
          <w:rFonts w:eastAsiaTheme="minorHAnsi"/>
        </w:rPr>
        <w:t>)</w:t>
      </w:r>
      <w:r w:rsidR="00954DB7">
        <w:rPr>
          <w:rFonts w:eastAsiaTheme="minorHAnsi"/>
        </w:rPr>
        <w:t xml:space="preserve">. </w:t>
      </w:r>
      <w:r>
        <w:rPr>
          <w:rFonts w:eastAsiaTheme="minorHAnsi"/>
        </w:rPr>
        <w:t>The crosses identified as significant were not consistent across years</w:t>
      </w:r>
      <w:r w:rsidR="00CB660C">
        <w:rPr>
          <w:rFonts w:eastAsiaTheme="minorHAnsi"/>
        </w:rPr>
        <w:t xml:space="preserve"> and both SCA values were negative</w:t>
      </w:r>
      <w:r>
        <w:rPr>
          <w:rFonts w:eastAsiaTheme="minorHAnsi"/>
        </w:rPr>
        <w:t xml:space="preserve">. In 2012, </w:t>
      </w:r>
      <w:r w:rsidR="00FD0977">
        <w:rPr>
          <w:rFonts w:eastAsiaTheme="minorHAnsi"/>
        </w:rPr>
        <w:t>two</w:t>
      </w:r>
      <w:r>
        <w:rPr>
          <w:rFonts w:eastAsiaTheme="minorHAnsi"/>
        </w:rPr>
        <w:t xml:space="preserve"> combination</w:t>
      </w:r>
      <w:r w:rsidR="00FD0977">
        <w:rPr>
          <w:rFonts w:eastAsiaTheme="minorHAnsi"/>
        </w:rPr>
        <w:t xml:space="preserve">s were identified as having </w:t>
      </w:r>
      <w:r>
        <w:rPr>
          <w:rFonts w:eastAsiaTheme="minorHAnsi"/>
        </w:rPr>
        <w:t>s</w:t>
      </w:r>
      <w:r w:rsidR="00B63FAD">
        <w:rPr>
          <w:rFonts w:eastAsiaTheme="minorHAnsi"/>
        </w:rPr>
        <w:t>ignificant maternal effect, A10/</w:t>
      </w:r>
      <w:r>
        <w:rPr>
          <w:rFonts w:eastAsiaTheme="minorHAnsi"/>
        </w:rPr>
        <w:t>K3</w:t>
      </w:r>
      <w:r w:rsidR="00FD0977">
        <w:rPr>
          <w:rFonts w:eastAsiaTheme="minorHAnsi"/>
        </w:rPr>
        <w:t xml:space="preserve"> </w:t>
      </w:r>
      <w:r w:rsidR="000B7ED3">
        <w:rPr>
          <w:rFonts w:eastAsiaTheme="minorHAnsi"/>
        </w:rPr>
        <w:t>and</w:t>
      </w:r>
      <w:r w:rsidR="00FD0977">
        <w:rPr>
          <w:rFonts w:eastAsiaTheme="minorHAnsi"/>
        </w:rPr>
        <w:t xml:space="preserve"> K3/M</w:t>
      </w:r>
      <w:r>
        <w:rPr>
          <w:rFonts w:eastAsiaTheme="minorHAnsi"/>
        </w:rPr>
        <w:t>. In 2013, no significant maternal effects were observed.</w:t>
      </w:r>
    </w:p>
    <w:p w14:paraId="576EA077" w14:textId="2A199FD3" w:rsidR="00596A40" w:rsidRDefault="00596A40" w:rsidP="00596A40">
      <w:pPr>
        <w:ind w:firstLine="720"/>
        <w:rPr>
          <w:rFonts w:eastAsiaTheme="minorHAnsi"/>
        </w:rPr>
      </w:pPr>
      <w:r>
        <w:rPr>
          <w:rFonts w:eastAsiaTheme="minorHAnsi"/>
        </w:rPr>
        <w:t xml:space="preserve">Within </w:t>
      </w:r>
      <w:r w:rsidR="00B63FAD">
        <w:rPr>
          <w:rFonts w:eastAsiaTheme="minorHAnsi"/>
        </w:rPr>
        <w:t>fall h</w:t>
      </w:r>
      <w:r>
        <w:rPr>
          <w:rFonts w:eastAsiaTheme="minorHAnsi"/>
        </w:rPr>
        <w:t>eight, 11 crosses were identified with significant</w:t>
      </w:r>
      <w:r w:rsidR="00731563">
        <w:rPr>
          <w:rFonts w:eastAsiaTheme="minorHAnsi"/>
        </w:rPr>
        <w:t xml:space="preserve"> (</w:t>
      </w:r>
      <w:r w:rsidR="00B7572A">
        <w:rPr>
          <w:rFonts w:eastAsiaTheme="minorHAnsi"/>
        </w:rPr>
        <w:t xml:space="preserve">P </w:t>
      </w:r>
      <w:r w:rsidR="009021A8">
        <w:rPr>
          <w:rFonts w:eastAsiaTheme="minorHAnsi"/>
        </w:rPr>
        <w:t xml:space="preserve">&lt; </w:t>
      </w:r>
      <w:r w:rsidR="00731563">
        <w:rPr>
          <w:rFonts w:eastAsiaTheme="minorHAnsi"/>
        </w:rPr>
        <w:t>0.05)</w:t>
      </w:r>
      <w:r>
        <w:rPr>
          <w:rFonts w:eastAsiaTheme="minorHAnsi"/>
        </w:rPr>
        <w:t xml:space="preserve"> SCA values</w:t>
      </w:r>
      <w:r w:rsidR="00B63FAD">
        <w:rPr>
          <w:rFonts w:eastAsiaTheme="minorHAnsi"/>
        </w:rPr>
        <w:t xml:space="preserve"> (Figure</w:t>
      </w:r>
      <w:r w:rsidR="002209EF">
        <w:rPr>
          <w:rFonts w:eastAsiaTheme="minorHAnsi"/>
        </w:rPr>
        <w:t xml:space="preserve"> 2-3 E</w:t>
      </w:r>
      <w:r w:rsidR="00B63FAD">
        <w:rPr>
          <w:rFonts w:eastAsiaTheme="minorHAnsi"/>
        </w:rPr>
        <w:t>)</w:t>
      </w:r>
      <w:r>
        <w:rPr>
          <w:rFonts w:eastAsiaTheme="minorHAnsi"/>
        </w:rPr>
        <w:t>. Of these, six were positive SCA values, including A10</w:t>
      </w:r>
      <w:r w:rsidR="00731563">
        <w:rPr>
          <w:rFonts w:eastAsiaTheme="minorHAnsi"/>
        </w:rPr>
        <w:t>x</w:t>
      </w:r>
      <w:r>
        <w:rPr>
          <w:rFonts w:eastAsiaTheme="minorHAnsi"/>
        </w:rPr>
        <w:t>AS</w:t>
      </w:r>
      <w:r w:rsidR="00ED64A7">
        <w:rPr>
          <w:rFonts w:eastAsiaTheme="minorHAnsi"/>
        </w:rPr>
        <w:t xml:space="preserve"> (14.9 cm)</w:t>
      </w:r>
      <w:r>
        <w:rPr>
          <w:rFonts w:eastAsiaTheme="minorHAnsi"/>
        </w:rPr>
        <w:t>, A1</w:t>
      </w:r>
      <w:r w:rsidR="00731563">
        <w:rPr>
          <w:rFonts w:eastAsiaTheme="minorHAnsi"/>
        </w:rPr>
        <w:t>x</w:t>
      </w:r>
      <w:r>
        <w:rPr>
          <w:rFonts w:eastAsiaTheme="minorHAnsi"/>
        </w:rPr>
        <w:t>K3</w:t>
      </w:r>
      <w:r w:rsidR="00ED64A7">
        <w:rPr>
          <w:rFonts w:eastAsiaTheme="minorHAnsi"/>
        </w:rPr>
        <w:t xml:space="preserve"> </w:t>
      </w:r>
      <w:r w:rsidR="00ED64A7">
        <w:rPr>
          <w:rFonts w:eastAsiaTheme="minorHAnsi"/>
        </w:rPr>
        <w:lastRenderedPageBreak/>
        <w:t>(14.6 cm)</w:t>
      </w:r>
      <w:r w:rsidR="00466677">
        <w:rPr>
          <w:rFonts w:eastAsiaTheme="minorHAnsi"/>
        </w:rPr>
        <w:t>, K3xT4 (15.6 cm),</w:t>
      </w:r>
      <w:r w:rsidR="00ED64A7">
        <w:rPr>
          <w:rFonts w:eastAsiaTheme="minorHAnsi"/>
        </w:rPr>
        <w:t xml:space="preserve"> </w:t>
      </w:r>
      <w:r>
        <w:rPr>
          <w:rFonts w:eastAsiaTheme="minorHAnsi"/>
        </w:rPr>
        <w:t>K2</w:t>
      </w:r>
      <w:r w:rsidR="00731563">
        <w:rPr>
          <w:rFonts w:eastAsiaTheme="minorHAnsi"/>
        </w:rPr>
        <w:t>x</w:t>
      </w:r>
      <w:r>
        <w:rPr>
          <w:rFonts w:eastAsiaTheme="minorHAnsi"/>
        </w:rPr>
        <w:t>T1</w:t>
      </w:r>
      <w:r w:rsidR="00ED64A7">
        <w:rPr>
          <w:rFonts w:eastAsiaTheme="minorHAnsi"/>
        </w:rPr>
        <w:t xml:space="preserve"> (13.6 cm)</w:t>
      </w:r>
      <w:r w:rsidR="00042956">
        <w:rPr>
          <w:rFonts w:eastAsiaTheme="minorHAnsi"/>
        </w:rPr>
        <w:t>, A10x</w:t>
      </w:r>
      <w:r>
        <w:rPr>
          <w:rFonts w:eastAsiaTheme="minorHAnsi"/>
        </w:rPr>
        <w:t xml:space="preserve">M </w:t>
      </w:r>
      <w:r w:rsidR="00ED64A7">
        <w:rPr>
          <w:rFonts w:eastAsiaTheme="minorHAnsi"/>
        </w:rPr>
        <w:t xml:space="preserve">(13.5 cm) </w:t>
      </w:r>
      <w:r w:rsidR="00042956">
        <w:rPr>
          <w:rFonts w:eastAsiaTheme="minorHAnsi"/>
        </w:rPr>
        <w:t>and T1x</w:t>
      </w:r>
      <w:r>
        <w:rPr>
          <w:rFonts w:eastAsiaTheme="minorHAnsi"/>
        </w:rPr>
        <w:t>M</w:t>
      </w:r>
      <w:r w:rsidR="00ED64A7">
        <w:rPr>
          <w:rFonts w:eastAsiaTheme="minorHAnsi"/>
        </w:rPr>
        <w:t xml:space="preserve"> (</w:t>
      </w:r>
      <w:r w:rsidR="00466677">
        <w:rPr>
          <w:rFonts w:eastAsiaTheme="minorHAnsi"/>
        </w:rPr>
        <w:t>18.5</w:t>
      </w:r>
      <w:r w:rsidR="00ED64A7">
        <w:rPr>
          <w:rFonts w:eastAsiaTheme="minorHAnsi"/>
        </w:rPr>
        <w:t xml:space="preserve"> cm)</w:t>
      </w:r>
      <w:r>
        <w:rPr>
          <w:rFonts w:eastAsiaTheme="minorHAnsi"/>
        </w:rPr>
        <w:t>. Twelve combinations were identified as having significant maternal effects</w:t>
      </w:r>
      <w:r w:rsidR="00731563">
        <w:rPr>
          <w:rFonts w:eastAsiaTheme="minorHAnsi"/>
        </w:rPr>
        <w:t xml:space="preserve"> (Figure</w:t>
      </w:r>
      <w:r w:rsidR="002209EF">
        <w:rPr>
          <w:rFonts w:eastAsiaTheme="minorHAnsi"/>
        </w:rPr>
        <w:t xml:space="preserve"> 2-3 E</w:t>
      </w:r>
      <w:r w:rsidR="00731563">
        <w:rPr>
          <w:rFonts w:eastAsiaTheme="minorHAnsi"/>
        </w:rPr>
        <w:t>)</w:t>
      </w:r>
      <w:r>
        <w:rPr>
          <w:rFonts w:eastAsiaTheme="minorHAnsi"/>
        </w:rPr>
        <w:t xml:space="preserve">. Within combinations identified as significant, the difference between cross and reciprocal ranged from 5.8 to 18.8 cm, with an average difference of 11.9 cm. </w:t>
      </w:r>
    </w:p>
    <w:p w14:paraId="4A0EDB49" w14:textId="5FA7DF3A" w:rsidR="00596A40" w:rsidRDefault="002209EF" w:rsidP="00596A40">
      <w:pPr>
        <w:ind w:firstLine="720"/>
        <w:rPr>
          <w:rFonts w:eastAsiaTheme="minorHAnsi"/>
        </w:rPr>
      </w:pPr>
      <w:r>
        <w:rPr>
          <w:rFonts w:eastAsiaTheme="minorHAnsi"/>
        </w:rPr>
        <w:t>S</w:t>
      </w:r>
      <w:r w:rsidR="00731563">
        <w:rPr>
          <w:rFonts w:eastAsiaTheme="minorHAnsi"/>
        </w:rPr>
        <w:t>pring h</w:t>
      </w:r>
      <w:r w:rsidR="00596A40">
        <w:rPr>
          <w:rFonts w:eastAsiaTheme="minorHAnsi"/>
        </w:rPr>
        <w:t>eight</w:t>
      </w:r>
      <w:r>
        <w:rPr>
          <w:rFonts w:eastAsiaTheme="minorHAnsi"/>
        </w:rPr>
        <w:t xml:space="preserve"> had a similar number of significant (</w:t>
      </w:r>
      <w:r w:rsidR="00B7572A">
        <w:rPr>
          <w:rFonts w:eastAsiaTheme="minorHAnsi"/>
        </w:rPr>
        <w:t xml:space="preserve">P </w:t>
      </w:r>
      <w:r w:rsidR="009021A8">
        <w:rPr>
          <w:rFonts w:eastAsiaTheme="minorHAnsi"/>
        </w:rPr>
        <w:t xml:space="preserve">&lt; </w:t>
      </w:r>
      <w:r>
        <w:rPr>
          <w:rFonts w:eastAsiaTheme="minorHAnsi"/>
        </w:rPr>
        <w:t xml:space="preserve">0.05) SCA values with nine crosses identified </w:t>
      </w:r>
      <w:r w:rsidR="00731563">
        <w:rPr>
          <w:rFonts w:eastAsiaTheme="minorHAnsi"/>
        </w:rPr>
        <w:t>(Figure</w:t>
      </w:r>
      <w:r>
        <w:rPr>
          <w:rFonts w:eastAsiaTheme="minorHAnsi"/>
        </w:rPr>
        <w:t xml:space="preserve"> 2-3 F</w:t>
      </w:r>
      <w:r w:rsidR="00731563">
        <w:rPr>
          <w:rFonts w:eastAsiaTheme="minorHAnsi"/>
        </w:rPr>
        <w:t>)</w:t>
      </w:r>
      <w:r w:rsidR="00596A40">
        <w:rPr>
          <w:rFonts w:eastAsiaTheme="minorHAnsi"/>
        </w:rPr>
        <w:t xml:space="preserve">. Of these, seven were the same as crosses identified for the trait </w:t>
      </w:r>
      <w:r w:rsidR="00731563">
        <w:rPr>
          <w:rFonts w:eastAsiaTheme="minorHAnsi"/>
        </w:rPr>
        <w:t>f</w:t>
      </w:r>
      <w:r w:rsidR="00596A40">
        <w:rPr>
          <w:rFonts w:eastAsiaTheme="minorHAnsi"/>
        </w:rPr>
        <w:t xml:space="preserve">all </w:t>
      </w:r>
      <w:r w:rsidR="00731563">
        <w:rPr>
          <w:rFonts w:eastAsiaTheme="minorHAnsi"/>
        </w:rPr>
        <w:t>h</w:t>
      </w:r>
      <w:r w:rsidR="00596A40">
        <w:rPr>
          <w:rFonts w:eastAsiaTheme="minorHAnsi"/>
        </w:rPr>
        <w:t>eight. Five crosses had positive SCA values, including A10</w:t>
      </w:r>
      <w:r w:rsidR="00731563">
        <w:rPr>
          <w:rFonts w:eastAsiaTheme="minorHAnsi"/>
        </w:rPr>
        <w:t>x</w:t>
      </w:r>
      <w:r w:rsidR="00596A40">
        <w:rPr>
          <w:rFonts w:eastAsiaTheme="minorHAnsi"/>
        </w:rPr>
        <w:t>AS</w:t>
      </w:r>
      <w:r w:rsidR="00ED64A7">
        <w:rPr>
          <w:rFonts w:eastAsiaTheme="minorHAnsi"/>
        </w:rPr>
        <w:t xml:space="preserve"> (</w:t>
      </w:r>
      <w:r w:rsidR="009917C3">
        <w:rPr>
          <w:rFonts w:eastAsiaTheme="minorHAnsi"/>
        </w:rPr>
        <w:t>10.5</w:t>
      </w:r>
      <w:r w:rsidR="00ED64A7">
        <w:rPr>
          <w:rFonts w:eastAsiaTheme="minorHAnsi"/>
        </w:rPr>
        <w:t xml:space="preserve"> cm)</w:t>
      </w:r>
      <w:r>
        <w:rPr>
          <w:rFonts w:eastAsiaTheme="minorHAnsi"/>
        </w:rPr>
        <w:t xml:space="preserve">, </w:t>
      </w:r>
      <w:r w:rsidR="00596A40">
        <w:rPr>
          <w:rFonts w:eastAsiaTheme="minorHAnsi"/>
        </w:rPr>
        <w:t>T1</w:t>
      </w:r>
      <w:r w:rsidR="00731563">
        <w:rPr>
          <w:rFonts w:eastAsiaTheme="minorHAnsi"/>
        </w:rPr>
        <w:t>x</w:t>
      </w:r>
      <w:r w:rsidR="00596A40">
        <w:rPr>
          <w:rFonts w:eastAsiaTheme="minorHAnsi"/>
        </w:rPr>
        <w:t>AS</w:t>
      </w:r>
      <w:r w:rsidR="00ED64A7">
        <w:rPr>
          <w:rFonts w:eastAsiaTheme="minorHAnsi"/>
        </w:rPr>
        <w:t xml:space="preserve"> (</w:t>
      </w:r>
      <w:r w:rsidR="009917C3">
        <w:rPr>
          <w:rFonts w:eastAsiaTheme="minorHAnsi"/>
        </w:rPr>
        <w:t>10.1</w:t>
      </w:r>
      <w:r w:rsidR="00ED64A7">
        <w:rPr>
          <w:rFonts w:eastAsiaTheme="minorHAnsi"/>
        </w:rPr>
        <w:t xml:space="preserve"> cm</w:t>
      </w:r>
      <w:r>
        <w:rPr>
          <w:rFonts w:eastAsiaTheme="minorHAnsi"/>
        </w:rPr>
        <w:t>),</w:t>
      </w:r>
      <w:r w:rsidR="00596A40">
        <w:rPr>
          <w:rFonts w:eastAsiaTheme="minorHAnsi"/>
        </w:rPr>
        <w:t xml:space="preserve"> A1</w:t>
      </w:r>
      <w:r w:rsidR="00731563">
        <w:rPr>
          <w:rFonts w:eastAsiaTheme="minorHAnsi"/>
        </w:rPr>
        <w:t>x</w:t>
      </w:r>
      <w:r w:rsidR="00596A40">
        <w:rPr>
          <w:rFonts w:eastAsiaTheme="minorHAnsi"/>
        </w:rPr>
        <w:t>K3</w:t>
      </w:r>
      <w:r w:rsidR="00ED64A7">
        <w:rPr>
          <w:rFonts w:eastAsiaTheme="minorHAnsi"/>
        </w:rPr>
        <w:t xml:space="preserve"> (1</w:t>
      </w:r>
      <w:r w:rsidR="009917C3">
        <w:rPr>
          <w:rFonts w:eastAsiaTheme="minorHAnsi"/>
        </w:rPr>
        <w:t>0.8</w:t>
      </w:r>
      <w:r w:rsidR="00ED64A7">
        <w:rPr>
          <w:rFonts w:eastAsiaTheme="minorHAnsi"/>
        </w:rPr>
        <w:t xml:space="preserve"> cm)</w:t>
      </w:r>
      <w:r w:rsidR="00596A40">
        <w:rPr>
          <w:rFonts w:eastAsiaTheme="minorHAnsi"/>
        </w:rPr>
        <w:t>, K3</w:t>
      </w:r>
      <w:r w:rsidR="00731563">
        <w:rPr>
          <w:rFonts w:eastAsiaTheme="minorHAnsi"/>
        </w:rPr>
        <w:t>x</w:t>
      </w:r>
      <w:r w:rsidR="00596A40">
        <w:rPr>
          <w:rFonts w:eastAsiaTheme="minorHAnsi"/>
        </w:rPr>
        <w:t>T4</w:t>
      </w:r>
      <w:r w:rsidR="00ED64A7">
        <w:rPr>
          <w:rFonts w:eastAsiaTheme="minorHAnsi"/>
        </w:rPr>
        <w:t xml:space="preserve"> (</w:t>
      </w:r>
      <w:r w:rsidR="009917C3">
        <w:rPr>
          <w:rFonts w:eastAsiaTheme="minorHAnsi"/>
        </w:rPr>
        <w:t>10.4</w:t>
      </w:r>
      <w:r w:rsidR="00ED64A7">
        <w:rPr>
          <w:rFonts w:eastAsiaTheme="minorHAnsi"/>
        </w:rPr>
        <w:t xml:space="preserve"> cm)</w:t>
      </w:r>
      <w:r w:rsidR="00596A40">
        <w:rPr>
          <w:rFonts w:eastAsiaTheme="minorHAnsi"/>
        </w:rPr>
        <w:t>, and</w:t>
      </w:r>
      <w:r>
        <w:rPr>
          <w:rFonts w:eastAsiaTheme="minorHAnsi"/>
        </w:rPr>
        <w:t xml:space="preserve"> </w:t>
      </w:r>
      <w:r w:rsidR="00042956">
        <w:rPr>
          <w:rFonts w:eastAsiaTheme="minorHAnsi"/>
        </w:rPr>
        <w:t>T1x</w:t>
      </w:r>
      <w:r w:rsidR="00596A40">
        <w:rPr>
          <w:rFonts w:eastAsiaTheme="minorHAnsi"/>
        </w:rPr>
        <w:t>M</w:t>
      </w:r>
      <w:r w:rsidR="00ED64A7">
        <w:rPr>
          <w:rFonts w:eastAsiaTheme="minorHAnsi"/>
        </w:rPr>
        <w:t xml:space="preserve"> (</w:t>
      </w:r>
      <w:r w:rsidR="009917C3">
        <w:rPr>
          <w:rFonts w:eastAsiaTheme="minorHAnsi"/>
        </w:rPr>
        <w:t>9.4</w:t>
      </w:r>
      <w:r w:rsidR="00ED64A7">
        <w:rPr>
          <w:rFonts w:eastAsiaTheme="minorHAnsi"/>
        </w:rPr>
        <w:t xml:space="preserve"> cm)</w:t>
      </w:r>
      <w:r w:rsidR="00596A40">
        <w:rPr>
          <w:rFonts w:eastAsiaTheme="minorHAnsi"/>
        </w:rPr>
        <w:t xml:space="preserve">. Twelve combinations were identified as having significant maternal effects, with 10 of those combinations matching combinations identified within </w:t>
      </w:r>
      <w:r w:rsidR="00731563">
        <w:rPr>
          <w:rFonts w:eastAsiaTheme="minorHAnsi"/>
        </w:rPr>
        <w:t>f</w:t>
      </w:r>
      <w:r w:rsidR="00596A40">
        <w:rPr>
          <w:rFonts w:eastAsiaTheme="minorHAnsi"/>
        </w:rPr>
        <w:t xml:space="preserve">all </w:t>
      </w:r>
      <w:r w:rsidR="00731563">
        <w:rPr>
          <w:rFonts w:eastAsiaTheme="minorHAnsi"/>
        </w:rPr>
        <w:t>h</w:t>
      </w:r>
      <w:r w:rsidR="00596A40">
        <w:rPr>
          <w:rFonts w:eastAsiaTheme="minorHAnsi"/>
        </w:rPr>
        <w:t>eight</w:t>
      </w:r>
      <w:r w:rsidR="00ED64A7">
        <w:rPr>
          <w:rFonts w:eastAsiaTheme="minorHAnsi"/>
        </w:rPr>
        <w:t xml:space="preserve"> (Figure</w:t>
      </w:r>
      <w:r>
        <w:rPr>
          <w:rFonts w:eastAsiaTheme="minorHAnsi"/>
        </w:rPr>
        <w:t xml:space="preserve"> 2-3 F</w:t>
      </w:r>
      <w:r w:rsidR="00ED64A7">
        <w:rPr>
          <w:rFonts w:eastAsiaTheme="minorHAnsi"/>
        </w:rPr>
        <w:t>)</w:t>
      </w:r>
      <w:r w:rsidR="00596A40">
        <w:rPr>
          <w:rFonts w:eastAsiaTheme="minorHAnsi"/>
        </w:rPr>
        <w:t xml:space="preserve">. Within combinations identified as significant, the difference between cross and reciprocal ranged from 3.8 cm. </w:t>
      </w:r>
      <w:r w:rsidR="00596A40" w:rsidRPr="00DF0F91">
        <w:rPr>
          <w:rFonts w:eastAsiaTheme="minorHAnsi"/>
        </w:rPr>
        <w:t xml:space="preserve">to </w:t>
      </w:r>
      <w:r w:rsidR="00596A40">
        <w:rPr>
          <w:rFonts w:eastAsiaTheme="minorHAnsi"/>
        </w:rPr>
        <w:t>14.5 cm, with an average difference of 7.4 cm.</w:t>
      </w:r>
    </w:p>
    <w:p w14:paraId="36FF4D98" w14:textId="7D6F7952" w:rsidR="00596A40" w:rsidRDefault="009917C3" w:rsidP="00596A40">
      <w:pPr>
        <w:ind w:firstLine="720"/>
        <w:rPr>
          <w:rFonts w:eastAsiaTheme="minorHAnsi"/>
        </w:rPr>
      </w:pPr>
      <w:r>
        <w:rPr>
          <w:rFonts w:eastAsiaTheme="minorHAnsi"/>
        </w:rPr>
        <w:t>For</w:t>
      </w:r>
      <w:r w:rsidR="00596A40">
        <w:rPr>
          <w:rFonts w:eastAsiaTheme="minorHAnsi"/>
        </w:rPr>
        <w:t xml:space="preserve"> tiller number, seven crosses were identified with significant SCA values</w:t>
      </w:r>
      <w:r>
        <w:rPr>
          <w:rFonts w:eastAsiaTheme="minorHAnsi"/>
        </w:rPr>
        <w:t xml:space="preserve">, all of which were </w:t>
      </w:r>
      <w:r w:rsidR="00596A40">
        <w:rPr>
          <w:rFonts w:eastAsiaTheme="minorHAnsi"/>
        </w:rPr>
        <w:t>Alamo by Kanlow combinations, including K2</w:t>
      </w:r>
      <w:r>
        <w:rPr>
          <w:rFonts w:eastAsiaTheme="minorHAnsi"/>
        </w:rPr>
        <w:t>x</w:t>
      </w:r>
      <w:r w:rsidR="00596A40">
        <w:rPr>
          <w:rFonts w:eastAsiaTheme="minorHAnsi"/>
        </w:rPr>
        <w:t>T1</w:t>
      </w:r>
      <w:r>
        <w:rPr>
          <w:rFonts w:eastAsiaTheme="minorHAnsi"/>
        </w:rPr>
        <w:t xml:space="preserve"> (25</w:t>
      </w:r>
      <w:r w:rsidR="00FB1CA5">
        <w:rPr>
          <w:rFonts w:eastAsiaTheme="minorHAnsi"/>
        </w:rPr>
        <w:t xml:space="preserve"> tillers</w:t>
      </w:r>
      <w:r>
        <w:rPr>
          <w:rFonts w:eastAsiaTheme="minorHAnsi"/>
        </w:rPr>
        <w:t>)</w:t>
      </w:r>
      <w:r w:rsidR="00596A40">
        <w:rPr>
          <w:rFonts w:eastAsiaTheme="minorHAnsi"/>
        </w:rPr>
        <w:t>, K3</w:t>
      </w:r>
      <w:r>
        <w:rPr>
          <w:rFonts w:eastAsiaTheme="minorHAnsi"/>
        </w:rPr>
        <w:t>x</w:t>
      </w:r>
      <w:r w:rsidR="00596A40">
        <w:rPr>
          <w:rFonts w:eastAsiaTheme="minorHAnsi"/>
        </w:rPr>
        <w:t>AS</w:t>
      </w:r>
      <w:r>
        <w:rPr>
          <w:rFonts w:eastAsiaTheme="minorHAnsi"/>
        </w:rPr>
        <w:t xml:space="preserve"> (21</w:t>
      </w:r>
      <w:r w:rsidR="00FB1CA5">
        <w:rPr>
          <w:rFonts w:eastAsiaTheme="minorHAnsi"/>
        </w:rPr>
        <w:t xml:space="preserve"> tillers</w:t>
      </w:r>
      <w:r>
        <w:rPr>
          <w:rFonts w:eastAsiaTheme="minorHAnsi"/>
        </w:rPr>
        <w:t>)</w:t>
      </w:r>
      <w:r w:rsidR="00596A40">
        <w:rPr>
          <w:rFonts w:eastAsiaTheme="minorHAnsi"/>
        </w:rPr>
        <w:t>, and K3</w:t>
      </w:r>
      <w:r>
        <w:rPr>
          <w:rFonts w:eastAsiaTheme="minorHAnsi"/>
        </w:rPr>
        <w:t>x</w:t>
      </w:r>
      <w:r w:rsidR="00596A40">
        <w:rPr>
          <w:rFonts w:eastAsiaTheme="minorHAnsi"/>
        </w:rPr>
        <w:t>T4</w:t>
      </w:r>
      <w:r>
        <w:rPr>
          <w:rFonts w:eastAsiaTheme="minorHAnsi"/>
        </w:rPr>
        <w:t xml:space="preserve"> (36</w:t>
      </w:r>
      <w:r w:rsidR="00FB1CA5">
        <w:rPr>
          <w:rFonts w:eastAsiaTheme="minorHAnsi"/>
        </w:rPr>
        <w:t xml:space="preserve"> tillers</w:t>
      </w:r>
      <w:r>
        <w:rPr>
          <w:rFonts w:eastAsiaTheme="minorHAnsi"/>
        </w:rPr>
        <w:t>) (Figure</w:t>
      </w:r>
      <w:r w:rsidR="002209EF">
        <w:rPr>
          <w:rFonts w:eastAsiaTheme="minorHAnsi"/>
        </w:rPr>
        <w:t xml:space="preserve"> 2-3 G</w:t>
      </w:r>
      <w:r>
        <w:rPr>
          <w:rFonts w:eastAsiaTheme="minorHAnsi"/>
        </w:rPr>
        <w:t>)</w:t>
      </w:r>
      <w:r w:rsidR="00596A40">
        <w:rPr>
          <w:rFonts w:eastAsiaTheme="minorHAnsi"/>
        </w:rPr>
        <w:t>. Eleven combinations were identified as having significant maternal effects</w:t>
      </w:r>
      <w:r>
        <w:rPr>
          <w:rFonts w:eastAsiaTheme="minorHAnsi"/>
        </w:rPr>
        <w:t xml:space="preserve"> (Figure</w:t>
      </w:r>
      <w:r w:rsidR="002209EF">
        <w:rPr>
          <w:rFonts w:eastAsiaTheme="minorHAnsi"/>
        </w:rPr>
        <w:t xml:space="preserve"> 2-3 G</w:t>
      </w:r>
      <w:r>
        <w:rPr>
          <w:rFonts w:eastAsiaTheme="minorHAnsi"/>
        </w:rPr>
        <w:t>)</w:t>
      </w:r>
      <w:r w:rsidR="00596A40">
        <w:rPr>
          <w:rFonts w:eastAsiaTheme="minorHAnsi"/>
        </w:rPr>
        <w:t>. Within combinations identified as significant, the difference between cros</w:t>
      </w:r>
      <w:r>
        <w:rPr>
          <w:rFonts w:eastAsiaTheme="minorHAnsi"/>
        </w:rPr>
        <w:t xml:space="preserve">s and reciprocal ranged from 8 </w:t>
      </w:r>
      <w:r w:rsidR="00596A40">
        <w:rPr>
          <w:rFonts w:eastAsiaTheme="minorHAnsi"/>
        </w:rPr>
        <w:t>to 29 tillers plant</w:t>
      </w:r>
      <w:r w:rsidR="00596A40">
        <w:rPr>
          <w:rFonts w:eastAsiaTheme="minorHAnsi"/>
          <w:vertAlign w:val="superscript"/>
        </w:rPr>
        <w:t>-1</w:t>
      </w:r>
      <w:r w:rsidR="00596A40">
        <w:rPr>
          <w:rFonts w:eastAsiaTheme="minorHAnsi"/>
        </w:rPr>
        <w:t xml:space="preserve"> with an average difference of 16 tiller plant</w:t>
      </w:r>
      <w:r w:rsidR="00596A40">
        <w:rPr>
          <w:rFonts w:eastAsiaTheme="minorHAnsi"/>
          <w:vertAlign w:val="superscript"/>
        </w:rPr>
        <w:t>-1</w:t>
      </w:r>
      <w:r w:rsidR="00596A40">
        <w:rPr>
          <w:rFonts w:eastAsiaTheme="minorHAnsi"/>
        </w:rPr>
        <w:t xml:space="preserve">. </w:t>
      </w:r>
    </w:p>
    <w:p w14:paraId="7B50A465" w14:textId="0B6C0F61" w:rsidR="00596A40" w:rsidRDefault="009917C3" w:rsidP="00596A40">
      <w:pPr>
        <w:ind w:firstLine="720"/>
        <w:rPr>
          <w:rFonts w:eastAsiaTheme="minorHAnsi"/>
        </w:rPr>
      </w:pPr>
      <w:r>
        <w:rPr>
          <w:rFonts w:eastAsiaTheme="minorHAnsi"/>
        </w:rPr>
        <w:t xml:space="preserve">The SCA values for </w:t>
      </w:r>
      <w:r w:rsidR="00596A40">
        <w:rPr>
          <w:rFonts w:eastAsiaTheme="minorHAnsi"/>
        </w:rPr>
        <w:t>tiller diameter</w:t>
      </w:r>
      <w:r>
        <w:rPr>
          <w:rFonts w:eastAsiaTheme="minorHAnsi"/>
        </w:rPr>
        <w:t xml:space="preserve"> were significant (</w:t>
      </w:r>
      <w:r w:rsidR="00B7572A">
        <w:rPr>
          <w:rFonts w:eastAsiaTheme="minorHAnsi"/>
        </w:rPr>
        <w:t xml:space="preserve">P </w:t>
      </w:r>
      <w:r w:rsidR="009021A8">
        <w:rPr>
          <w:rFonts w:eastAsiaTheme="minorHAnsi"/>
        </w:rPr>
        <w:t xml:space="preserve">&lt; </w:t>
      </w:r>
      <w:r>
        <w:rPr>
          <w:rFonts w:eastAsiaTheme="minorHAnsi"/>
        </w:rPr>
        <w:t>0.05) for seven crosses</w:t>
      </w:r>
      <w:r w:rsidR="002209EF">
        <w:rPr>
          <w:rFonts w:eastAsiaTheme="minorHAnsi"/>
        </w:rPr>
        <w:t xml:space="preserve"> (Figure 2-3 H)</w:t>
      </w:r>
      <w:r w:rsidR="00596A40">
        <w:rPr>
          <w:rFonts w:eastAsiaTheme="minorHAnsi"/>
        </w:rPr>
        <w:t xml:space="preserve">. Four </w:t>
      </w:r>
      <w:r>
        <w:rPr>
          <w:rFonts w:eastAsiaTheme="minorHAnsi"/>
        </w:rPr>
        <w:t>of these</w:t>
      </w:r>
      <w:r w:rsidR="00596A40">
        <w:rPr>
          <w:rFonts w:eastAsiaTheme="minorHAnsi"/>
        </w:rPr>
        <w:t xml:space="preserve"> had positive SCA values, including three Alamo by Kanlow combinations, A1</w:t>
      </w:r>
      <w:r>
        <w:rPr>
          <w:rFonts w:eastAsiaTheme="minorHAnsi"/>
        </w:rPr>
        <w:t>x</w:t>
      </w:r>
      <w:r w:rsidR="00596A40">
        <w:rPr>
          <w:rFonts w:eastAsiaTheme="minorHAnsi"/>
        </w:rPr>
        <w:t>K2</w:t>
      </w:r>
      <w:r>
        <w:rPr>
          <w:rFonts w:eastAsiaTheme="minorHAnsi"/>
        </w:rPr>
        <w:t xml:space="preserve"> (0.4 mm)</w:t>
      </w:r>
      <w:r w:rsidR="00596A40">
        <w:rPr>
          <w:rFonts w:eastAsiaTheme="minorHAnsi"/>
        </w:rPr>
        <w:t>, K2</w:t>
      </w:r>
      <w:r>
        <w:rPr>
          <w:rFonts w:eastAsiaTheme="minorHAnsi"/>
        </w:rPr>
        <w:t>x</w:t>
      </w:r>
      <w:r w:rsidR="00596A40">
        <w:rPr>
          <w:rFonts w:eastAsiaTheme="minorHAnsi"/>
        </w:rPr>
        <w:t>A1</w:t>
      </w:r>
      <w:r>
        <w:rPr>
          <w:rFonts w:eastAsiaTheme="minorHAnsi"/>
        </w:rPr>
        <w:t xml:space="preserve"> (0.4 mm)</w:t>
      </w:r>
      <w:r w:rsidR="00596A40">
        <w:rPr>
          <w:rFonts w:eastAsiaTheme="minorHAnsi"/>
        </w:rPr>
        <w:t>, and K2</w:t>
      </w:r>
      <w:r>
        <w:rPr>
          <w:rFonts w:eastAsiaTheme="minorHAnsi"/>
        </w:rPr>
        <w:t>x</w:t>
      </w:r>
      <w:r w:rsidR="00596A40">
        <w:rPr>
          <w:rFonts w:eastAsiaTheme="minorHAnsi"/>
        </w:rPr>
        <w:t>T4</w:t>
      </w:r>
      <w:r>
        <w:rPr>
          <w:rFonts w:eastAsiaTheme="minorHAnsi"/>
        </w:rPr>
        <w:t xml:space="preserve"> (0.6 mm)</w:t>
      </w:r>
      <w:r w:rsidR="00596A40">
        <w:rPr>
          <w:rFonts w:eastAsiaTheme="minorHAnsi"/>
        </w:rPr>
        <w:t>, and one Alamo by Miami combination, T1</w:t>
      </w:r>
      <w:r>
        <w:rPr>
          <w:rFonts w:eastAsiaTheme="minorHAnsi"/>
        </w:rPr>
        <w:t>x</w:t>
      </w:r>
      <w:r w:rsidR="00596A40">
        <w:rPr>
          <w:rFonts w:eastAsiaTheme="minorHAnsi"/>
        </w:rPr>
        <w:t>M</w:t>
      </w:r>
      <w:r>
        <w:rPr>
          <w:rFonts w:eastAsiaTheme="minorHAnsi"/>
        </w:rPr>
        <w:t xml:space="preserve"> (0.4 mm)</w:t>
      </w:r>
      <w:r w:rsidR="00596A40">
        <w:rPr>
          <w:rFonts w:eastAsiaTheme="minorHAnsi"/>
        </w:rPr>
        <w:t xml:space="preserve">. Eight combinations were identified as having significant maternal </w:t>
      </w:r>
      <w:r w:rsidR="00596A40">
        <w:rPr>
          <w:rFonts w:eastAsiaTheme="minorHAnsi"/>
        </w:rPr>
        <w:lastRenderedPageBreak/>
        <w:t>effects</w:t>
      </w:r>
      <w:r>
        <w:rPr>
          <w:rFonts w:eastAsiaTheme="minorHAnsi"/>
        </w:rPr>
        <w:t xml:space="preserve"> (Figure</w:t>
      </w:r>
      <w:r w:rsidR="002209EF">
        <w:rPr>
          <w:rFonts w:eastAsiaTheme="minorHAnsi"/>
        </w:rPr>
        <w:t xml:space="preserve"> 2-3 H</w:t>
      </w:r>
      <w:r>
        <w:rPr>
          <w:rFonts w:eastAsiaTheme="minorHAnsi"/>
        </w:rPr>
        <w:t>). T</w:t>
      </w:r>
      <w:r w:rsidR="00596A40">
        <w:rPr>
          <w:rFonts w:eastAsiaTheme="minorHAnsi"/>
        </w:rPr>
        <w:t>he difference between cross and reciprocal ranged from 0.2 to 0.4 mm tiller</w:t>
      </w:r>
      <w:r w:rsidR="00596A40">
        <w:rPr>
          <w:rFonts w:eastAsiaTheme="minorHAnsi"/>
          <w:vertAlign w:val="superscript"/>
        </w:rPr>
        <w:t>-1</w:t>
      </w:r>
      <w:r w:rsidR="00596A40">
        <w:rPr>
          <w:rFonts w:eastAsiaTheme="minorHAnsi"/>
        </w:rPr>
        <w:t xml:space="preserve"> with an average difference of 0.3 mm tiller</w:t>
      </w:r>
      <w:r w:rsidR="00596A40">
        <w:rPr>
          <w:rFonts w:eastAsiaTheme="minorHAnsi"/>
          <w:vertAlign w:val="superscript"/>
        </w:rPr>
        <w:t>-1</w:t>
      </w:r>
      <w:r>
        <w:rPr>
          <w:rFonts w:eastAsiaTheme="minorHAnsi"/>
          <w:vertAlign w:val="superscript"/>
        </w:rPr>
        <w:t xml:space="preserve"> </w:t>
      </w:r>
      <w:r>
        <w:rPr>
          <w:rFonts w:eastAsiaTheme="minorHAnsi"/>
        </w:rPr>
        <w:t>among crosses identified as significant</w:t>
      </w:r>
      <w:r w:rsidR="00596A40">
        <w:rPr>
          <w:rFonts w:eastAsiaTheme="minorHAnsi"/>
        </w:rPr>
        <w:t xml:space="preserve">. </w:t>
      </w:r>
    </w:p>
    <w:p w14:paraId="5FBFB146" w14:textId="089C03BD" w:rsidR="00596A40" w:rsidRDefault="00610940" w:rsidP="00596A40">
      <w:pPr>
        <w:ind w:firstLine="720"/>
        <w:rPr>
          <w:rFonts w:eastAsiaTheme="minorHAnsi"/>
        </w:rPr>
      </w:pPr>
      <w:r>
        <w:rPr>
          <w:rFonts w:eastAsiaTheme="minorHAnsi"/>
        </w:rPr>
        <w:t>F</w:t>
      </w:r>
      <w:r w:rsidR="00596A40">
        <w:rPr>
          <w:rFonts w:eastAsiaTheme="minorHAnsi"/>
        </w:rPr>
        <w:t>our crosses were identified with significant</w:t>
      </w:r>
      <w:r>
        <w:rPr>
          <w:rFonts w:eastAsiaTheme="minorHAnsi"/>
        </w:rPr>
        <w:t xml:space="preserve"> (</w:t>
      </w:r>
      <w:r w:rsidR="00B7572A">
        <w:rPr>
          <w:rFonts w:eastAsiaTheme="minorHAnsi"/>
        </w:rPr>
        <w:t xml:space="preserve">P </w:t>
      </w:r>
      <w:r w:rsidR="009021A8">
        <w:rPr>
          <w:rFonts w:eastAsiaTheme="minorHAnsi"/>
        </w:rPr>
        <w:t xml:space="preserve">&lt; </w:t>
      </w:r>
      <w:r>
        <w:rPr>
          <w:rFonts w:eastAsiaTheme="minorHAnsi"/>
        </w:rPr>
        <w:t>0.05)</w:t>
      </w:r>
      <w:r w:rsidR="00596A40">
        <w:rPr>
          <w:rFonts w:eastAsiaTheme="minorHAnsi"/>
        </w:rPr>
        <w:t xml:space="preserve"> SCA values</w:t>
      </w:r>
      <w:r>
        <w:rPr>
          <w:rFonts w:eastAsiaTheme="minorHAnsi"/>
        </w:rPr>
        <w:t xml:space="preserve"> for </w:t>
      </w:r>
      <w:r w:rsidR="00B8390A">
        <w:rPr>
          <w:rFonts w:eastAsiaTheme="minorHAnsi"/>
        </w:rPr>
        <w:t>leaf width</w:t>
      </w:r>
      <w:r>
        <w:rPr>
          <w:rFonts w:eastAsiaTheme="minorHAnsi"/>
        </w:rPr>
        <w:t xml:space="preserve"> (Figure</w:t>
      </w:r>
      <w:r w:rsidR="002209EF">
        <w:rPr>
          <w:rFonts w:eastAsiaTheme="minorHAnsi"/>
        </w:rPr>
        <w:t xml:space="preserve"> 2-3 I</w:t>
      </w:r>
      <w:r>
        <w:rPr>
          <w:rFonts w:eastAsiaTheme="minorHAnsi"/>
        </w:rPr>
        <w:t>)</w:t>
      </w:r>
      <w:r w:rsidR="00596A40">
        <w:rPr>
          <w:rFonts w:eastAsiaTheme="minorHAnsi"/>
        </w:rPr>
        <w:t>. Two c</w:t>
      </w:r>
      <w:r>
        <w:rPr>
          <w:rFonts w:eastAsiaTheme="minorHAnsi"/>
        </w:rPr>
        <w:t xml:space="preserve">rosses had positive SCA values, both of which were </w:t>
      </w:r>
      <w:r w:rsidR="00596A40">
        <w:rPr>
          <w:rFonts w:eastAsiaTheme="minorHAnsi"/>
        </w:rPr>
        <w:t>combinations of Alamo and Miami, including A10</w:t>
      </w:r>
      <w:r w:rsidR="00FB1CA5">
        <w:rPr>
          <w:rFonts w:eastAsiaTheme="minorHAnsi"/>
        </w:rPr>
        <w:t>x</w:t>
      </w:r>
      <w:r w:rsidR="00596A40">
        <w:rPr>
          <w:rFonts w:eastAsiaTheme="minorHAnsi"/>
        </w:rPr>
        <w:t xml:space="preserve">M </w:t>
      </w:r>
      <w:r>
        <w:rPr>
          <w:rFonts w:eastAsiaTheme="minorHAnsi"/>
        </w:rPr>
        <w:t xml:space="preserve">(0.9 mm) </w:t>
      </w:r>
      <w:r w:rsidR="00596A40">
        <w:rPr>
          <w:rFonts w:eastAsiaTheme="minorHAnsi"/>
        </w:rPr>
        <w:t>and T1</w:t>
      </w:r>
      <w:r w:rsidR="00FB1CA5">
        <w:rPr>
          <w:rFonts w:eastAsiaTheme="minorHAnsi"/>
        </w:rPr>
        <w:t>x</w:t>
      </w:r>
      <w:r w:rsidR="00596A40">
        <w:rPr>
          <w:rFonts w:eastAsiaTheme="minorHAnsi"/>
        </w:rPr>
        <w:t>M</w:t>
      </w:r>
      <w:r>
        <w:rPr>
          <w:rFonts w:eastAsiaTheme="minorHAnsi"/>
        </w:rPr>
        <w:t xml:space="preserve"> (0.7 mm)</w:t>
      </w:r>
      <w:r w:rsidR="00596A40">
        <w:rPr>
          <w:rFonts w:eastAsiaTheme="minorHAnsi"/>
        </w:rPr>
        <w:t>. Five combinations were identified as having significant maternal effects</w:t>
      </w:r>
      <w:r>
        <w:rPr>
          <w:rFonts w:eastAsiaTheme="minorHAnsi"/>
        </w:rPr>
        <w:t xml:space="preserve"> (Figure</w:t>
      </w:r>
      <w:r w:rsidR="002209EF">
        <w:rPr>
          <w:rFonts w:eastAsiaTheme="minorHAnsi"/>
        </w:rPr>
        <w:t xml:space="preserve"> 2-3 I</w:t>
      </w:r>
      <w:r>
        <w:rPr>
          <w:rFonts w:eastAsiaTheme="minorHAnsi"/>
        </w:rPr>
        <w:t>)</w:t>
      </w:r>
      <w:r w:rsidR="00596A40">
        <w:rPr>
          <w:rFonts w:eastAsiaTheme="minorHAnsi"/>
        </w:rPr>
        <w:t>. Within combinations identified as significant, the difference between cross and reciprocal ranged from 0.3 mm leaf</w:t>
      </w:r>
      <w:r w:rsidR="00596A40">
        <w:rPr>
          <w:rFonts w:eastAsiaTheme="minorHAnsi"/>
          <w:vertAlign w:val="superscript"/>
        </w:rPr>
        <w:t>-1</w:t>
      </w:r>
      <w:r w:rsidR="00596A40">
        <w:rPr>
          <w:rFonts w:eastAsiaTheme="minorHAnsi"/>
        </w:rPr>
        <w:t xml:space="preserve"> to 0.9 mm leaf</w:t>
      </w:r>
      <w:r w:rsidR="00596A40">
        <w:rPr>
          <w:rFonts w:eastAsiaTheme="minorHAnsi"/>
          <w:vertAlign w:val="superscript"/>
        </w:rPr>
        <w:t>-1</w:t>
      </w:r>
      <w:r w:rsidR="00596A40">
        <w:rPr>
          <w:rFonts w:eastAsiaTheme="minorHAnsi"/>
        </w:rPr>
        <w:t xml:space="preserve"> with an average difference of 0.5 mm leaf</w:t>
      </w:r>
      <w:r w:rsidR="00596A40">
        <w:rPr>
          <w:rFonts w:eastAsiaTheme="minorHAnsi"/>
          <w:vertAlign w:val="superscript"/>
        </w:rPr>
        <w:t>-1</w:t>
      </w:r>
      <w:r w:rsidR="00954DB7">
        <w:rPr>
          <w:rFonts w:eastAsiaTheme="minorHAnsi"/>
        </w:rPr>
        <w:t xml:space="preserve">. </w:t>
      </w:r>
      <w:r w:rsidR="00596A40">
        <w:rPr>
          <w:rFonts w:eastAsiaTheme="minorHAnsi"/>
        </w:rPr>
        <w:t xml:space="preserve"> </w:t>
      </w:r>
    </w:p>
    <w:p w14:paraId="5800AA90" w14:textId="654C1DCE" w:rsidR="00596A40" w:rsidRDefault="00596A40" w:rsidP="00596A40">
      <w:pPr>
        <w:ind w:firstLine="720"/>
        <w:rPr>
          <w:rFonts w:eastAsiaTheme="minorHAnsi"/>
        </w:rPr>
      </w:pPr>
      <w:r>
        <w:rPr>
          <w:rFonts w:eastAsiaTheme="minorHAnsi"/>
        </w:rPr>
        <w:t xml:space="preserve">For the trait biomass, along with traits correlated to biomass, including height, tiller number, tiller diameter, and </w:t>
      </w:r>
      <w:r w:rsidR="00B8390A">
        <w:rPr>
          <w:rFonts w:eastAsiaTheme="minorHAnsi"/>
        </w:rPr>
        <w:t>leaf width</w:t>
      </w:r>
      <w:r>
        <w:rPr>
          <w:rFonts w:eastAsiaTheme="minorHAnsi"/>
        </w:rPr>
        <w:t>, significant maternal effects were identified in combination with significant positive SCA values. These results differ from those found by</w:t>
      </w:r>
      <w:r w:rsidR="000822E8">
        <w:rPr>
          <w:rFonts w:eastAsiaTheme="minorHAnsi"/>
        </w:rPr>
        <w:t xml:space="preserve"> </w:t>
      </w:r>
      <w:hyperlink w:anchor="_ENREF_11" w:tooltip="Bhandari, 2011 #318" w:history="1">
        <w:r w:rsidR="00FB5014">
          <w:rPr>
            <w:rFonts w:eastAsiaTheme="minorHAnsi"/>
          </w:rPr>
          <w:fldChar w:fldCharType="begin"/>
        </w:r>
        <w:r w:rsidR="00FB5014">
          <w:rPr>
            <w:rFonts w:eastAsiaTheme="minorHAnsi"/>
          </w:rPr>
          <w:instrText xml:space="preserve"> ADDIN EN.CITE &lt;EndNote&gt;&lt;Cite AuthorYear="1"&gt;&lt;Author&gt;Bhandari&lt;/Author&gt;&lt;Year&gt;2011&lt;/Year&gt;&lt;RecNum&gt;318&lt;/RecNum&gt;&lt;DisplayText&gt;Bhandari et al. (2011)&lt;/DisplayText&gt;&lt;record&gt;&lt;rec-number&gt;318&lt;/rec-number&gt;&lt;foreign-keys&gt;&lt;key app="EN" db-id="9zfxt259rawwvce0pfa5efeuatdw0pz5va5z" timestamp="1411765881"&gt;318&lt;/key&gt;&lt;/foreign-keys&gt;&lt;ref-type name="Journal Article"&gt;17&lt;/ref-type&gt;&lt;contributors&gt;&lt;authors&gt;&lt;author&gt;Bhandari, H.S.&lt;/author&gt;&lt;author&gt;Saha, M.C.&lt;/author&gt;&lt;author&gt;Fasoula, V.A.&lt;/author&gt;&lt;author&gt;Bouton, J.H.&lt;/author&gt;&lt;/authors&gt;&lt;/contributors&gt;&lt;titles&gt;&lt;title&gt;&lt;style face="normal" font="default" size="100%"&gt;Estimation of genetic parameters for biomass yield in lowland switchgrass (&lt;/style&gt;&lt;style face="italic" font="default" size="100%"&gt;Panicum virgatum&lt;/style&gt;&lt;style face="normal" font="default" size="100%"&gt; L.)&lt;/style&gt;&lt;/title&gt;&lt;secondary-title&gt;Crop Sci.&lt;/secondary-title&gt;&lt;/titles&gt;&lt;periodical&gt;&lt;full-title&gt;Crop Sci.&lt;/full-title&gt;&lt;/periodical&gt;&lt;pages&gt;1525-1533&lt;/pages&gt;&lt;volume&gt;51&lt;/volume&gt;&lt;dates&gt;&lt;year&gt;2011&lt;/year&gt;&lt;/dates&gt;&lt;urls&gt;&lt;/urls&gt;&lt;/record&gt;&lt;/Cite&gt;&lt;/EndNote&gt;</w:instrText>
        </w:r>
        <w:r w:rsidR="00FB5014">
          <w:rPr>
            <w:rFonts w:eastAsiaTheme="minorHAnsi"/>
          </w:rPr>
          <w:fldChar w:fldCharType="separate"/>
        </w:r>
        <w:r w:rsidR="00FB5014">
          <w:rPr>
            <w:rFonts w:eastAsiaTheme="minorHAnsi"/>
            <w:noProof/>
          </w:rPr>
          <w:t>Bhandari et al. (2011)</w:t>
        </w:r>
        <w:r w:rsidR="00FB5014">
          <w:rPr>
            <w:rFonts w:eastAsiaTheme="minorHAnsi"/>
          </w:rPr>
          <w:fldChar w:fldCharType="end"/>
        </w:r>
      </w:hyperlink>
      <w:r>
        <w:rPr>
          <w:rFonts w:eastAsiaTheme="minorHAnsi"/>
        </w:rPr>
        <w:t xml:space="preserve"> in which lowland switchgrass crosses exhibiting significant maternal effects were also associated with poor GCA and SCA values. For biomass yield and height, the crosses T1</w:t>
      </w:r>
      <w:r w:rsidR="00FB1CA5">
        <w:rPr>
          <w:rFonts w:eastAsiaTheme="minorHAnsi"/>
        </w:rPr>
        <w:t>x</w:t>
      </w:r>
      <w:r>
        <w:rPr>
          <w:rFonts w:eastAsiaTheme="minorHAnsi"/>
        </w:rPr>
        <w:t>M, K2</w:t>
      </w:r>
      <w:r w:rsidR="00FB1CA5">
        <w:rPr>
          <w:rFonts w:eastAsiaTheme="minorHAnsi"/>
        </w:rPr>
        <w:t>x</w:t>
      </w:r>
      <w:r>
        <w:rPr>
          <w:rFonts w:eastAsiaTheme="minorHAnsi"/>
        </w:rPr>
        <w:t>T1, A10</w:t>
      </w:r>
      <w:r w:rsidR="00FB1CA5">
        <w:rPr>
          <w:rFonts w:eastAsiaTheme="minorHAnsi"/>
        </w:rPr>
        <w:t>x</w:t>
      </w:r>
      <w:r>
        <w:rPr>
          <w:rFonts w:eastAsiaTheme="minorHAnsi"/>
        </w:rPr>
        <w:t>M, and A10</w:t>
      </w:r>
      <w:r w:rsidR="00FB1CA5">
        <w:rPr>
          <w:rFonts w:eastAsiaTheme="minorHAnsi"/>
        </w:rPr>
        <w:t>x</w:t>
      </w:r>
      <w:r>
        <w:rPr>
          <w:rFonts w:eastAsiaTheme="minorHAnsi"/>
        </w:rPr>
        <w:t xml:space="preserve">AS all had significant maternal effects and significant positive SCA values. Across all traits except </w:t>
      </w:r>
      <w:r w:rsidR="0095454C">
        <w:rPr>
          <w:rFonts w:eastAsiaTheme="minorHAnsi"/>
        </w:rPr>
        <w:t>predicted ethanol yield</w:t>
      </w:r>
      <w:r>
        <w:rPr>
          <w:rFonts w:eastAsiaTheme="minorHAnsi"/>
        </w:rPr>
        <w:t>, the cross T1</w:t>
      </w:r>
      <w:r w:rsidR="00FB1CA5">
        <w:rPr>
          <w:rFonts w:eastAsiaTheme="minorHAnsi"/>
        </w:rPr>
        <w:t>x</w:t>
      </w:r>
      <w:r>
        <w:rPr>
          <w:rFonts w:eastAsiaTheme="minorHAnsi"/>
        </w:rPr>
        <w:t xml:space="preserve">M had a significant positive SCA value and showed a significant maternal effect. </w:t>
      </w:r>
      <w:r w:rsidR="001361A7">
        <w:rPr>
          <w:rFonts w:eastAsiaTheme="minorHAnsi"/>
        </w:rPr>
        <w:t>T</w:t>
      </w:r>
      <w:r>
        <w:rPr>
          <w:rFonts w:eastAsiaTheme="minorHAnsi"/>
        </w:rPr>
        <w:t>his cross did have a positive</w:t>
      </w:r>
      <w:r w:rsidR="001361A7">
        <w:rPr>
          <w:rFonts w:eastAsiaTheme="minorHAnsi"/>
        </w:rPr>
        <w:t>, though not significant,</w:t>
      </w:r>
      <w:r>
        <w:rPr>
          <w:rFonts w:eastAsiaTheme="minorHAnsi"/>
        </w:rPr>
        <w:t xml:space="preserve"> SCA value for </w:t>
      </w:r>
      <w:r w:rsidR="0095454C">
        <w:rPr>
          <w:rFonts w:eastAsiaTheme="minorHAnsi"/>
        </w:rPr>
        <w:t>predicted ethanol yield</w:t>
      </w:r>
      <w:r>
        <w:rPr>
          <w:rFonts w:eastAsiaTheme="minorHAnsi"/>
        </w:rPr>
        <w:t xml:space="preserve"> as well</w:t>
      </w:r>
      <w:r w:rsidR="00954DB7">
        <w:rPr>
          <w:rFonts w:eastAsiaTheme="minorHAnsi"/>
        </w:rPr>
        <w:t xml:space="preserve">. </w:t>
      </w:r>
      <w:r>
        <w:rPr>
          <w:rFonts w:eastAsiaTheme="minorHAnsi"/>
        </w:rPr>
        <w:t xml:space="preserve">  </w:t>
      </w:r>
    </w:p>
    <w:p w14:paraId="2C9C31E0" w14:textId="77777777" w:rsidR="00596A40" w:rsidRDefault="00596A40" w:rsidP="00596A40">
      <w:pPr>
        <w:pStyle w:val="Heading3"/>
        <w:rPr>
          <w:rFonts w:eastAsiaTheme="minorHAnsi" w:cs="Times New Roman"/>
        </w:rPr>
      </w:pPr>
      <w:bookmarkStart w:id="68" w:name="_Toc404069845"/>
      <w:r w:rsidRPr="00BA3F3D">
        <w:rPr>
          <w:rFonts w:eastAsiaTheme="minorHAnsi" w:cs="Times New Roman"/>
        </w:rPr>
        <w:t>Heterosis</w:t>
      </w:r>
      <w:r w:rsidR="00D5280E">
        <w:rPr>
          <w:rFonts w:eastAsiaTheme="minorHAnsi" w:cs="Times New Roman"/>
        </w:rPr>
        <w:t xml:space="preserve"> of Measured Traits</w:t>
      </w:r>
      <w:bookmarkEnd w:id="68"/>
    </w:p>
    <w:p w14:paraId="7F3236DD" w14:textId="578C5B09" w:rsidR="00596A40" w:rsidRDefault="00AC6CA0" w:rsidP="00596A40">
      <w:pPr>
        <w:ind w:firstLine="720"/>
        <w:rPr>
          <w:rFonts w:eastAsiaTheme="minorHAnsi"/>
        </w:rPr>
      </w:pPr>
      <w:r>
        <w:rPr>
          <w:rFonts w:eastAsiaTheme="minorHAnsi"/>
        </w:rPr>
        <w:t>Because of poor</w:t>
      </w:r>
      <w:r w:rsidR="009511D5">
        <w:rPr>
          <w:rFonts w:eastAsiaTheme="minorHAnsi"/>
        </w:rPr>
        <w:t xml:space="preserve"> biomass yield</w:t>
      </w:r>
      <w:r>
        <w:rPr>
          <w:rFonts w:eastAsiaTheme="minorHAnsi"/>
        </w:rPr>
        <w:t xml:space="preserve"> performance of the parent clonal propagules at both </w:t>
      </w:r>
      <w:r w:rsidR="009511D5">
        <w:rPr>
          <w:rFonts w:eastAsiaTheme="minorHAnsi"/>
        </w:rPr>
        <w:t xml:space="preserve">locations, heterosis values are </w:t>
      </w:r>
      <w:r>
        <w:rPr>
          <w:rFonts w:eastAsiaTheme="minorHAnsi"/>
        </w:rPr>
        <w:t xml:space="preserve">likely biased </w:t>
      </w:r>
      <w:r w:rsidR="009511D5">
        <w:rPr>
          <w:rFonts w:eastAsiaTheme="minorHAnsi"/>
        </w:rPr>
        <w:t xml:space="preserve">for this trait </w:t>
      </w:r>
      <w:r>
        <w:rPr>
          <w:rFonts w:eastAsiaTheme="minorHAnsi"/>
        </w:rPr>
        <w:t>and are excluded from this dissertation.</w:t>
      </w:r>
      <w:r w:rsidR="009511D5">
        <w:rPr>
          <w:rFonts w:eastAsiaTheme="minorHAnsi"/>
        </w:rPr>
        <w:t xml:space="preserve"> </w:t>
      </w:r>
      <w:r w:rsidR="001361A7">
        <w:rPr>
          <w:rFonts w:eastAsiaTheme="minorHAnsi"/>
        </w:rPr>
        <w:t>P</w:t>
      </w:r>
      <w:r w:rsidR="009511D5">
        <w:rPr>
          <w:rFonts w:eastAsiaTheme="minorHAnsi"/>
        </w:rPr>
        <w:t xml:space="preserve">oor parent performance was also observed for some of the traits correlated to biomass yield, including fall and spring height and tiller number, although not the extent </w:t>
      </w:r>
      <w:r w:rsidR="001361A7">
        <w:rPr>
          <w:rFonts w:eastAsiaTheme="minorHAnsi"/>
        </w:rPr>
        <w:t>observed</w:t>
      </w:r>
      <w:r w:rsidR="009511D5">
        <w:rPr>
          <w:rFonts w:eastAsiaTheme="minorHAnsi"/>
        </w:rPr>
        <w:t xml:space="preserve"> for the trait biomass yield</w:t>
      </w:r>
      <w:r w:rsidR="00954DB7">
        <w:rPr>
          <w:rFonts w:eastAsiaTheme="minorHAnsi"/>
        </w:rPr>
        <w:t xml:space="preserve">. </w:t>
      </w:r>
      <w:r w:rsidR="009511D5">
        <w:rPr>
          <w:rFonts w:eastAsiaTheme="minorHAnsi"/>
        </w:rPr>
        <w:t xml:space="preserve">These traits are included in the analysis for heterosis but the reader is advised to </w:t>
      </w:r>
      <w:r w:rsidR="009511D5">
        <w:rPr>
          <w:rFonts w:eastAsiaTheme="minorHAnsi"/>
        </w:rPr>
        <w:lastRenderedPageBreak/>
        <w:t>consider the potential bias of heterosis estimates for these traits</w:t>
      </w:r>
      <w:r w:rsidR="00954DB7">
        <w:rPr>
          <w:rFonts w:eastAsiaTheme="minorHAnsi"/>
        </w:rPr>
        <w:t xml:space="preserve">. </w:t>
      </w:r>
      <w:r w:rsidR="009511D5">
        <w:rPr>
          <w:rFonts w:eastAsiaTheme="minorHAnsi"/>
        </w:rPr>
        <w:t xml:space="preserve">Ethanol yield, tiller diameter, and </w:t>
      </w:r>
      <w:r w:rsidR="00B8390A">
        <w:rPr>
          <w:rFonts w:eastAsiaTheme="minorHAnsi"/>
        </w:rPr>
        <w:t>leaf width</w:t>
      </w:r>
      <w:r w:rsidR="009511D5">
        <w:rPr>
          <w:rFonts w:eastAsiaTheme="minorHAnsi"/>
        </w:rPr>
        <w:t xml:space="preserve"> values did not appear to be affected by the poor establishment and parent values were similar to those observed in F1 populations. </w:t>
      </w:r>
    </w:p>
    <w:p w14:paraId="446FA9FB" w14:textId="100B74B3" w:rsidR="00596A40" w:rsidRDefault="00596A40" w:rsidP="00596A40">
      <w:pPr>
        <w:rPr>
          <w:rFonts w:eastAsiaTheme="minorHAnsi"/>
        </w:rPr>
      </w:pPr>
      <w:r>
        <w:rPr>
          <w:rFonts w:eastAsiaTheme="minorHAnsi"/>
        </w:rPr>
        <w:tab/>
        <w:t xml:space="preserve">In 2012, no crosses exhibited significant high parent heterosis for </w:t>
      </w:r>
      <w:r w:rsidR="0095454C">
        <w:rPr>
          <w:rFonts w:eastAsiaTheme="minorHAnsi"/>
        </w:rPr>
        <w:t>predicted ethanol yield</w:t>
      </w:r>
      <w:r>
        <w:rPr>
          <w:rFonts w:eastAsiaTheme="minorHAnsi"/>
        </w:rPr>
        <w:t xml:space="preserve"> (</w:t>
      </w:r>
      <w:r w:rsidR="009511D5">
        <w:rPr>
          <w:rFonts w:eastAsiaTheme="minorHAnsi"/>
        </w:rPr>
        <w:t>Figure</w:t>
      </w:r>
      <w:r w:rsidR="00DA510B">
        <w:rPr>
          <w:rFonts w:eastAsiaTheme="minorHAnsi"/>
        </w:rPr>
        <w:t xml:space="preserve"> 2-4 A</w:t>
      </w:r>
      <w:r>
        <w:rPr>
          <w:rFonts w:eastAsiaTheme="minorHAnsi"/>
        </w:rPr>
        <w:t>). In 2013, four crosses exhibited significant</w:t>
      </w:r>
      <w:r w:rsidR="00B051FD">
        <w:rPr>
          <w:rFonts w:eastAsiaTheme="minorHAnsi"/>
        </w:rPr>
        <w:t xml:space="preserve"> (</w:t>
      </w:r>
      <w:r w:rsidR="00B7572A">
        <w:rPr>
          <w:rFonts w:eastAsiaTheme="minorHAnsi"/>
        </w:rPr>
        <w:t xml:space="preserve">P </w:t>
      </w:r>
      <w:r w:rsidR="009021A8">
        <w:rPr>
          <w:rFonts w:eastAsiaTheme="minorHAnsi"/>
        </w:rPr>
        <w:t xml:space="preserve">&lt; </w:t>
      </w:r>
      <w:r w:rsidR="00B051FD">
        <w:rPr>
          <w:rFonts w:eastAsiaTheme="minorHAnsi"/>
        </w:rPr>
        <w:t>0.05)</w:t>
      </w:r>
      <w:r>
        <w:rPr>
          <w:rFonts w:eastAsiaTheme="minorHAnsi"/>
        </w:rPr>
        <w:t xml:space="preserve"> high parent heterosis, two Alamo by Kanlow combinations and two Alamo by Miami combinations</w:t>
      </w:r>
      <w:r w:rsidR="00FD0C6A">
        <w:rPr>
          <w:rFonts w:eastAsiaTheme="minorHAnsi"/>
        </w:rPr>
        <w:t xml:space="preserve"> (Figure 2-4 B)</w:t>
      </w:r>
      <w:r>
        <w:rPr>
          <w:rFonts w:eastAsiaTheme="minorHAnsi"/>
        </w:rPr>
        <w:t xml:space="preserve">. Out of the total number of combinations of each cultivar for </w:t>
      </w:r>
      <w:r w:rsidR="0095454C">
        <w:rPr>
          <w:rFonts w:eastAsiaTheme="minorHAnsi"/>
        </w:rPr>
        <w:t>predicted ethanol yield</w:t>
      </w:r>
      <w:r>
        <w:rPr>
          <w:rFonts w:eastAsiaTheme="minorHAnsi"/>
        </w:rPr>
        <w:t>, these represent 17% of Alamo by Alamo combinations and 33% of Alamo by Miami combinations.</w:t>
      </w:r>
    </w:p>
    <w:p w14:paraId="0AD8D907" w14:textId="4F69D899" w:rsidR="00596A40" w:rsidRDefault="009511D5" w:rsidP="00596A40">
      <w:pPr>
        <w:rPr>
          <w:rFonts w:eastAsiaTheme="minorHAnsi"/>
        </w:rPr>
      </w:pPr>
      <w:r>
        <w:rPr>
          <w:rFonts w:eastAsiaTheme="minorHAnsi"/>
        </w:rPr>
        <w:tab/>
        <w:t>For the trait f</w:t>
      </w:r>
      <w:r w:rsidR="00596A40">
        <w:rPr>
          <w:rFonts w:eastAsiaTheme="minorHAnsi"/>
        </w:rPr>
        <w:t>a</w:t>
      </w:r>
      <w:r>
        <w:rPr>
          <w:rFonts w:eastAsiaTheme="minorHAnsi"/>
        </w:rPr>
        <w:t>ll h</w:t>
      </w:r>
      <w:r w:rsidR="00596A40">
        <w:rPr>
          <w:rFonts w:eastAsiaTheme="minorHAnsi"/>
        </w:rPr>
        <w:t>eight, 19 crosses exhibited significant</w:t>
      </w:r>
      <w:r w:rsidR="00B051FD">
        <w:rPr>
          <w:rFonts w:eastAsiaTheme="minorHAnsi"/>
        </w:rPr>
        <w:t xml:space="preserve"> (</w:t>
      </w:r>
      <w:r w:rsidR="00B7572A">
        <w:rPr>
          <w:rFonts w:eastAsiaTheme="minorHAnsi"/>
        </w:rPr>
        <w:t xml:space="preserve">P </w:t>
      </w:r>
      <w:r w:rsidR="009021A8">
        <w:rPr>
          <w:rFonts w:eastAsiaTheme="minorHAnsi"/>
        </w:rPr>
        <w:t xml:space="preserve">&lt; </w:t>
      </w:r>
      <w:r w:rsidR="00B051FD">
        <w:rPr>
          <w:rFonts w:eastAsiaTheme="minorHAnsi"/>
        </w:rPr>
        <w:t>0.05)</w:t>
      </w:r>
      <w:r w:rsidR="00596A40">
        <w:rPr>
          <w:rFonts w:eastAsiaTheme="minorHAnsi"/>
        </w:rPr>
        <w:t xml:space="preserve"> high parent heterosis in 2012 (</w:t>
      </w:r>
      <w:r>
        <w:rPr>
          <w:rFonts w:eastAsiaTheme="minorHAnsi"/>
        </w:rPr>
        <w:t>Figure</w:t>
      </w:r>
      <w:r w:rsidR="00FD0C6A">
        <w:rPr>
          <w:rFonts w:eastAsiaTheme="minorHAnsi"/>
        </w:rPr>
        <w:t xml:space="preserve"> 2-4 C</w:t>
      </w:r>
      <w:r w:rsidR="00596A40">
        <w:rPr>
          <w:rFonts w:eastAsiaTheme="minorHAnsi"/>
        </w:rPr>
        <w:t>). Of these crosses, 10 were Alamo by Alamo combinations, five were Alamo by Kanlow combinations, and four wer</w:t>
      </w:r>
      <w:r>
        <w:rPr>
          <w:rFonts w:eastAsiaTheme="minorHAnsi"/>
        </w:rPr>
        <w:t>e Alamo by Miami combinations. T</w:t>
      </w:r>
      <w:r w:rsidR="00596A40">
        <w:rPr>
          <w:rFonts w:eastAsiaTheme="minorHAnsi"/>
        </w:rPr>
        <w:t>hese represent 50% of Alamo by Alamo combinations, 25% of Alamo by Kanlow combinations, and 40% of Alamo by Miami combinations. In 2013, 31 crosses exhibited significant high parent heterosis</w:t>
      </w:r>
      <w:r>
        <w:rPr>
          <w:rFonts w:eastAsiaTheme="minorHAnsi"/>
        </w:rPr>
        <w:t xml:space="preserve"> for fall height (Figure</w:t>
      </w:r>
      <w:r w:rsidR="00FD0C6A">
        <w:rPr>
          <w:rFonts w:eastAsiaTheme="minorHAnsi"/>
        </w:rPr>
        <w:t xml:space="preserve"> 2-4 D</w:t>
      </w:r>
      <w:r>
        <w:rPr>
          <w:rFonts w:eastAsiaTheme="minorHAnsi"/>
        </w:rPr>
        <w:t>)</w:t>
      </w:r>
      <w:r w:rsidR="00596A40">
        <w:rPr>
          <w:rFonts w:eastAsiaTheme="minorHAnsi"/>
        </w:rPr>
        <w:t xml:space="preserve">. Of these crosses, 13 were Alamo by Alamo combinations, 11 were Alamo by Kanlow combinations, six were Alamo by Miami combinations, and one was a Kanlow by Miami combination. </w:t>
      </w:r>
      <w:r w:rsidR="0047269C">
        <w:rPr>
          <w:rFonts w:eastAsiaTheme="minorHAnsi"/>
        </w:rPr>
        <w:t>Th</w:t>
      </w:r>
      <w:r w:rsidR="00596A40">
        <w:rPr>
          <w:rFonts w:eastAsiaTheme="minorHAnsi"/>
        </w:rPr>
        <w:t xml:space="preserve">ese represent 65% of Alamo by Alamo combinations, 55% of Alamo by Kanlow combinations, 60% of Alamo by Miami combinations, and 25% of Kanlow by Miami combinations. Eighteen of the crosses showed significant high parent heterosis for fall height in both 2012 and 2013. Of these 18 crosses, nine were Alamo by Alamo combinations, five were Alamo by Kanlow combinations, and four were Alamo by Miami combinations. </w:t>
      </w:r>
      <w:r w:rsidR="00FD0C6A">
        <w:rPr>
          <w:rFonts w:eastAsiaTheme="minorHAnsi"/>
        </w:rPr>
        <w:t>These represent</w:t>
      </w:r>
      <w:r w:rsidR="00596A40">
        <w:rPr>
          <w:rFonts w:eastAsiaTheme="minorHAnsi"/>
        </w:rPr>
        <w:t xml:space="preserve"> 45%, 25%, and 40%</w:t>
      </w:r>
      <w:r w:rsidR="00FD0C6A">
        <w:rPr>
          <w:rFonts w:eastAsiaTheme="minorHAnsi"/>
        </w:rPr>
        <w:t xml:space="preserve"> of</w:t>
      </w:r>
      <w:r w:rsidR="00596A40">
        <w:rPr>
          <w:rFonts w:eastAsiaTheme="minorHAnsi"/>
        </w:rPr>
        <w:t xml:space="preserve"> Alamo by Alamo combinations, Alamo by Kanlow combinations, and Alamo by Miami combinations, respectively</w:t>
      </w:r>
      <w:r w:rsidR="00954DB7">
        <w:rPr>
          <w:rFonts w:eastAsiaTheme="minorHAnsi"/>
        </w:rPr>
        <w:t xml:space="preserve">. </w:t>
      </w:r>
      <w:r w:rsidR="00596A40">
        <w:rPr>
          <w:rFonts w:eastAsiaTheme="minorHAnsi"/>
        </w:rPr>
        <w:t xml:space="preserve">    </w:t>
      </w:r>
    </w:p>
    <w:p w14:paraId="3C0AA906" w14:textId="6D83A08B" w:rsidR="00596A40" w:rsidRDefault="0047269C" w:rsidP="00596A40">
      <w:pPr>
        <w:rPr>
          <w:rFonts w:eastAsiaTheme="minorHAnsi"/>
        </w:rPr>
      </w:pPr>
      <w:r>
        <w:rPr>
          <w:rFonts w:eastAsiaTheme="minorHAnsi"/>
        </w:rPr>
        <w:lastRenderedPageBreak/>
        <w:tab/>
        <w:t>Twenty-four</w:t>
      </w:r>
      <w:r w:rsidR="00596A40">
        <w:rPr>
          <w:rFonts w:eastAsiaTheme="minorHAnsi"/>
        </w:rPr>
        <w:t xml:space="preserve"> crosses exhibited significant </w:t>
      </w:r>
      <w:r w:rsidR="00B051FD">
        <w:rPr>
          <w:rFonts w:eastAsiaTheme="minorHAnsi"/>
        </w:rPr>
        <w:t>(</w:t>
      </w:r>
      <w:r w:rsidR="00B7572A">
        <w:rPr>
          <w:rFonts w:eastAsiaTheme="minorHAnsi"/>
        </w:rPr>
        <w:t xml:space="preserve">P </w:t>
      </w:r>
      <w:r w:rsidR="009021A8">
        <w:rPr>
          <w:rFonts w:eastAsiaTheme="minorHAnsi"/>
        </w:rPr>
        <w:t xml:space="preserve">&lt; </w:t>
      </w:r>
      <w:r w:rsidR="00B051FD">
        <w:rPr>
          <w:rFonts w:eastAsiaTheme="minorHAnsi"/>
        </w:rPr>
        <w:t xml:space="preserve">0.05) </w:t>
      </w:r>
      <w:r w:rsidR="00596A40">
        <w:rPr>
          <w:rFonts w:eastAsiaTheme="minorHAnsi"/>
        </w:rPr>
        <w:t xml:space="preserve">high parent heterosis </w:t>
      </w:r>
      <w:r>
        <w:rPr>
          <w:rFonts w:eastAsiaTheme="minorHAnsi"/>
        </w:rPr>
        <w:t xml:space="preserve">for spring height </w:t>
      </w:r>
      <w:r w:rsidR="00596A40">
        <w:rPr>
          <w:rFonts w:eastAsiaTheme="minorHAnsi"/>
        </w:rPr>
        <w:t>in 2013 (</w:t>
      </w:r>
      <w:r>
        <w:rPr>
          <w:rFonts w:eastAsiaTheme="minorHAnsi"/>
        </w:rPr>
        <w:t>Figure</w:t>
      </w:r>
      <w:r w:rsidR="00FD0C6A">
        <w:rPr>
          <w:rFonts w:eastAsiaTheme="minorHAnsi"/>
        </w:rPr>
        <w:t xml:space="preserve"> 2-4 E</w:t>
      </w:r>
      <w:r w:rsidR="00596A40">
        <w:rPr>
          <w:rFonts w:eastAsiaTheme="minorHAnsi"/>
        </w:rPr>
        <w:t xml:space="preserve">). Of these crosses, 12 were Alamo by Alamo combinations, eight were Alamo by Kanlow combinations, and four were Alamo by Miami combinations. </w:t>
      </w:r>
      <w:r>
        <w:rPr>
          <w:rFonts w:eastAsiaTheme="minorHAnsi"/>
        </w:rPr>
        <w:t>T</w:t>
      </w:r>
      <w:r w:rsidR="00596A40">
        <w:rPr>
          <w:rFonts w:eastAsiaTheme="minorHAnsi"/>
        </w:rPr>
        <w:t>hese represent 60% of Alamo by Alamo combinations, 40% of Alamo by Kanlow combinations, and 40% of Alamo by Miami combinations. In 2014, only seven crosses exhibited significant high parent heterosis</w:t>
      </w:r>
      <w:r>
        <w:rPr>
          <w:rFonts w:eastAsiaTheme="minorHAnsi"/>
        </w:rPr>
        <w:t xml:space="preserve"> for spring height (Figure</w:t>
      </w:r>
      <w:r w:rsidR="00FD0C6A">
        <w:rPr>
          <w:rFonts w:eastAsiaTheme="minorHAnsi"/>
        </w:rPr>
        <w:t xml:space="preserve"> 2-4 F</w:t>
      </w:r>
      <w:r>
        <w:rPr>
          <w:rFonts w:eastAsiaTheme="minorHAnsi"/>
        </w:rPr>
        <w:t>)</w:t>
      </w:r>
      <w:r w:rsidR="00596A40">
        <w:rPr>
          <w:rFonts w:eastAsiaTheme="minorHAnsi"/>
        </w:rPr>
        <w:t>. Of these crosses, six were Alamo by Kanlow combinations and one was an Alamo by Miami combination.</w:t>
      </w:r>
      <w:r>
        <w:rPr>
          <w:rFonts w:eastAsiaTheme="minorHAnsi"/>
        </w:rPr>
        <w:t xml:space="preserve"> T</w:t>
      </w:r>
      <w:r w:rsidR="00596A40">
        <w:rPr>
          <w:rFonts w:eastAsiaTheme="minorHAnsi"/>
        </w:rPr>
        <w:t>hese represent 30% of Alamo by Alamo combinations and 10% of Alamo by Miami combinations. Six of the crosses showed significant high parent heterosis for spring height in both 2013 a</w:t>
      </w:r>
      <w:r w:rsidR="00FD0C6A">
        <w:rPr>
          <w:rFonts w:eastAsiaTheme="minorHAnsi"/>
        </w:rPr>
        <w:t>nd 2014. F</w:t>
      </w:r>
      <w:r w:rsidR="00596A40">
        <w:rPr>
          <w:rFonts w:eastAsiaTheme="minorHAnsi"/>
        </w:rPr>
        <w:t>ive were Alamo by Alamo combinations and one was Alamo by Miami represent</w:t>
      </w:r>
      <w:r w:rsidR="00FD0C6A">
        <w:rPr>
          <w:rFonts w:eastAsiaTheme="minorHAnsi"/>
        </w:rPr>
        <w:t>ing</w:t>
      </w:r>
      <w:r w:rsidR="00596A40">
        <w:rPr>
          <w:rFonts w:eastAsiaTheme="minorHAnsi"/>
        </w:rPr>
        <w:t xml:space="preserve"> 25% of Alamo by Alamo combinations and 10% of Alamo by Miami combinations.</w:t>
      </w:r>
      <w:r w:rsidR="00FD0C6A">
        <w:rPr>
          <w:rFonts w:eastAsiaTheme="minorHAnsi"/>
        </w:rPr>
        <w:t xml:space="preserve"> Twenty crosses exhibited high parent heterosis for both fall and spring height</w:t>
      </w:r>
      <w:r w:rsidR="00954DB7">
        <w:rPr>
          <w:rFonts w:eastAsiaTheme="minorHAnsi"/>
        </w:rPr>
        <w:t xml:space="preserve">. </w:t>
      </w:r>
      <w:r w:rsidR="00596A40">
        <w:rPr>
          <w:rFonts w:eastAsiaTheme="minorHAnsi"/>
        </w:rPr>
        <w:t xml:space="preserve"> </w:t>
      </w:r>
    </w:p>
    <w:p w14:paraId="00032FF6" w14:textId="3D48C01F" w:rsidR="00B051FD" w:rsidRDefault="00B051FD" w:rsidP="00B051FD">
      <w:pPr>
        <w:ind w:firstLine="720"/>
        <w:rPr>
          <w:rFonts w:eastAsiaTheme="minorHAnsi"/>
        </w:rPr>
      </w:pPr>
      <w:r>
        <w:rPr>
          <w:rFonts w:eastAsiaTheme="minorHAnsi"/>
        </w:rPr>
        <w:t>For the trait tiller number, 40 crosses exhibited significant (</w:t>
      </w:r>
      <w:r w:rsidR="00B7572A">
        <w:rPr>
          <w:rFonts w:eastAsiaTheme="minorHAnsi"/>
        </w:rPr>
        <w:t xml:space="preserve">P </w:t>
      </w:r>
      <w:r w:rsidR="009021A8">
        <w:rPr>
          <w:rFonts w:eastAsiaTheme="minorHAnsi"/>
        </w:rPr>
        <w:t xml:space="preserve">&lt; </w:t>
      </w:r>
      <w:r>
        <w:rPr>
          <w:rFonts w:eastAsiaTheme="minorHAnsi"/>
        </w:rPr>
        <w:t xml:space="preserve">0.05) high parent heterosis in 2013 (Figure 2-4 G). Of these crosses, 18 were Alamo by Alamo combinations, 17 were Alamo by Kanlow combinations, and 5 were Alamo by Miami combinations. Out of the total number of combinations of each cultivar, these represent 90% of Alamo by Alamo combinations, 85% of Alamo by Kanlow combinations, and 50% of Alamo by Miami combinations. In 2014, 36 crosses exhibited significant high parent heterosis (Figure 2-4 H). Of these crosses, 16 were Alamo by Alamo combinations, 16 were Alamo by Kanlow combinations and four were Alamo by Miami combinations. Out of the total number of combinations of each cultivar, these represent 80% of Alamo by Alamo combinations, 80% of Alamo by Kanlow combinations, and 40% of Alamo by Miami combinations. The 36 crosses identified in 2014 were significant for high parent heterosis in both years. </w:t>
      </w:r>
    </w:p>
    <w:p w14:paraId="1553AF9C" w14:textId="1E18EF20" w:rsidR="00596A40" w:rsidRDefault="00596A40" w:rsidP="00596A40">
      <w:pPr>
        <w:rPr>
          <w:rFonts w:eastAsiaTheme="minorHAnsi"/>
        </w:rPr>
      </w:pPr>
      <w:r>
        <w:rPr>
          <w:rFonts w:eastAsiaTheme="minorHAnsi"/>
        </w:rPr>
        <w:lastRenderedPageBreak/>
        <w:tab/>
      </w:r>
      <w:r w:rsidR="00B051FD">
        <w:rPr>
          <w:rFonts w:eastAsiaTheme="minorHAnsi"/>
        </w:rPr>
        <w:t>Significant (</w:t>
      </w:r>
      <w:r w:rsidR="00B7572A">
        <w:rPr>
          <w:rFonts w:eastAsiaTheme="minorHAnsi"/>
        </w:rPr>
        <w:t xml:space="preserve">P </w:t>
      </w:r>
      <w:r w:rsidR="009021A8">
        <w:rPr>
          <w:rFonts w:eastAsiaTheme="minorHAnsi"/>
        </w:rPr>
        <w:t xml:space="preserve">&lt; </w:t>
      </w:r>
      <w:r w:rsidR="00B051FD">
        <w:rPr>
          <w:rFonts w:eastAsiaTheme="minorHAnsi"/>
        </w:rPr>
        <w:t>0.05) high parent heterosis was observed in 12 crosses for the trait tiller diameter in 2013 (Figure 2-4 I</w:t>
      </w:r>
      <w:r>
        <w:rPr>
          <w:rFonts w:eastAsiaTheme="minorHAnsi"/>
        </w:rPr>
        <w:t xml:space="preserve">). Of these crosses, seven were Alamo by Alamo combinations, three were Alamo by Kanlow combinations, and two were Alamo by Miami combinations. Out of the total number of combinations of each cultivar, these represent 35% of Alamo by Alamo combinations, 15% of Alamo by Kanlow combinations, and 20% of Alamo by Miami combinations. </w:t>
      </w:r>
      <w:r w:rsidR="00FD0C6A">
        <w:rPr>
          <w:rFonts w:eastAsiaTheme="minorHAnsi"/>
        </w:rPr>
        <w:t>However, i</w:t>
      </w:r>
      <w:r>
        <w:rPr>
          <w:rFonts w:eastAsiaTheme="minorHAnsi"/>
        </w:rPr>
        <w:t>n 2014, only three crosses exhibited significant high parent heterosis. Of these crosses, one was an Alamo by Alamo combination, one was an Alamo by Kanlow combinations and one was an Alamo by Miami combination. Out of the total number of combinations of each cultivar, these represent 5% of Alamo by Alamo combinations, 5% of Alamo by Kanlow combinations, and 10% of Alamo by Miami combinations. The three crosses identified in 2013 were significant for high parent heterosis across both years</w:t>
      </w:r>
      <w:r w:rsidR="00B051FD">
        <w:rPr>
          <w:rFonts w:eastAsiaTheme="minorHAnsi"/>
        </w:rPr>
        <w:t xml:space="preserve"> (Figure 2-4 I-J)</w:t>
      </w:r>
      <w:r>
        <w:rPr>
          <w:rFonts w:eastAsiaTheme="minorHAnsi"/>
        </w:rPr>
        <w:t xml:space="preserve">. </w:t>
      </w:r>
    </w:p>
    <w:p w14:paraId="4684B2D6" w14:textId="7CB79954" w:rsidR="00596A40" w:rsidRDefault="00B051FD" w:rsidP="00596A40">
      <w:pPr>
        <w:ind w:firstLine="720"/>
        <w:rPr>
          <w:rFonts w:eastAsiaTheme="minorHAnsi"/>
        </w:rPr>
      </w:pPr>
      <w:r>
        <w:rPr>
          <w:rFonts w:eastAsiaTheme="minorHAnsi"/>
        </w:rPr>
        <w:t>Eleven</w:t>
      </w:r>
      <w:r w:rsidR="00596A40">
        <w:rPr>
          <w:rFonts w:eastAsiaTheme="minorHAnsi"/>
        </w:rPr>
        <w:t xml:space="preserve"> crosses exhibited significant </w:t>
      </w:r>
      <w:r>
        <w:rPr>
          <w:rFonts w:eastAsiaTheme="minorHAnsi"/>
        </w:rPr>
        <w:t>(</w:t>
      </w:r>
      <w:r w:rsidR="00B7572A">
        <w:rPr>
          <w:rFonts w:eastAsiaTheme="minorHAnsi"/>
        </w:rPr>
        <w:t xml:space="preserve">P </w:t>
      </w:r>
      <w:r w:rsidR="009021A8">
        <w:rPr>
          <w:rFonts w:eastAsiaTheme="minorHAnsi"/>
        </w:rPr>
        <w:t xml:space="preserve">&lt; </w:t>
      </w:r>
      <w:r>
        <w:rPr>
          <w:rFonts w:eastAsiaTheme="minorHAnsi"/>
        </w:rPr>
        <w:t xml:space="preserve">0.05) </w:t>
      </w:r>
      <w:r w:rsidR="00596A40">
        <w:rPr>
          <w:rFonts w:eastAsiaTheme="minorHAnsi"/>
        </w:rPr>
        <w:t xml:space="preserve">high parent heterosis in 2012 </w:t>
      </w:r>
      <w:r>
        <w:rPr>
          <w:rFonts w:eastAsiaTheme="minorHAnsi"/>
        </w:rPr>
        <w:t xml:space="preserve">for </w:t>
      </w:r>
      <w:r w:rsidR="00B8390A">
        <w:rPr>
          <w:rFonts w:eastAsiaTheme="minorHAnsi"/>
        </w:rPr>
        <w:t>leaf width</w:t>
      </w:r>
      <w:r>
        <w:rPr>
          <w:rFonts w:eastAsiaTheme="minorHAnsi"/>
        </w:rPr>
        <w:t xml:space="preserve"> </w:t>
      </w:r>
      <w:r w:rsidR="00596A40">
        <w:rPr>
          <w:rFonts w:eastAsiaTheme="minorHAnsi"/>
        </w:rPr>
        <w:t>(</w:t>
      </w:r>
      <w:r>
        <w:rPr>
          <w:rFonts w:eastAsiaTheme="minorHAnsi"/>
        </w:rPr>
        <w:t>Figure 2-4 K</w:t>
      </w:r>
      <w:r w:rsidR="00596A40">
        <w:rPr>
          <w:rFonts w:eastAsiaTheme="minorHAnsi"/>
        </w:rPr>
        <w:t>). Of these crosses, five were Alamo by Alamo combinations, four were Alamo by Kanlow combinations, one was a Kan</w:t>
      </w:r>
      <w:r>
        <w:rPr>
          <w:rFonts w:eastAsiaTheme="minorHAnsi"/>
        </w:rPr>
        <w:t>low by Kanlow combination, and one</w:t>
      </w:r>
      <w:r w:rsidR="00596A40">
        <w:rPr>
          <w:rFonts w:eastAsiaTheme="minorHAnsi"/>
        </w:rPr>
        <w:t xml:space="preserve"> was an Alamo by Miami combination. Out of the total number of combinations of each cultivar, these represent 25% of Alamo by Alamo combinations, 20% of Alamo by Kanlow combinations, 50% of Kanlow by Kanlow combinations, and 10% of Alamo by Miami combinations. In 2014, only four crosses exhibited significant high parent heterosis. Of these crosses, one was an Alamo by Alamo combination and three were Alamo by Miami combinations. Out of the total number of combinations of each cultivar, these represent 5% of Alamo by Alamo combinations and 30% of Alamo by Miami combinations. Across both years, only one cross, an Alamo by Miami combination, exhibited high parent heterosis. </w:t>
      </w:r>
    </w:p>
    <w:p w14:paraId="6BCDA820" w14:textId="266076F1" w:rsidR="00596A40" w:rsidRDefault="00596A40" w:rsidP="00596A40">
      <w:pPr>
        <w:rPr>
          <w:rFonts w:eastAsiaTheme="minorHAnsi"/>
        </w:rPr>
      </w:pPr>
      <w:r>
        <w:rPr>
          <w:rFonts w:eastAsiaTheme="minorHAnsi"/>
        </w:rPr>
        <w:lastRenderedPageBreak/>
        <w:tab/>
        <w:t xml:space="preserve">For the majority of traits analyzed, in proportion to the number of each combinations evaluated, Alamo by Alamo, Alamo by Kanlow, and Alamo by Miami combinations had the most crosses exhibiting high parent heterosis. Based on RAPD  marker work done by </w:t>
      </w:r>
      <w:hyperlink w:anchor="_ENREF_42" w:tooltip="Gunter, 1996 #311" w:history="1">
        <w:r w:rsidR="00FB5014">
          <w:rPr>
            <w:rFonts w:eastAsiaTheme="minorHAnsi"/>
          </w:rPr>
          <w:fldChar w:fldCharType="begin"/>
        </w:r>
        <w:r w:rsidR="00FB5014">
          <w:rPr>
            <w:rFonts w:eastAsiaTheme="minorHAnsi"/>
          </w:rPr>
          <w:instrText xml:space="preserve"> ADDIN EN.CITE &lt;EndNote&gt;&lt;Cite AuthorYear="1"&gt;&lt;Author&gt;Gunter&lt;/Author&gt;&lt;Year&gt;1996&lt;/Year&gt;&lt;RecNum&gt;311&lt;/RecNum&gt;&lt;DisplayText&gt;Gunter et al. (1996)&lt;/DisplayText&gt;&lt;record&gt;&lt;rec-number&gt;311&lt;/rec-number&gt;&lt;foreign-keys&gt;&lt;key app="EN" db-id="9zfxt259rawwvce0pfa5efeuatdw0pz5va5z" timestamp="1411679154"&gt;311&lt;/key&gt;&lt;/foreign-keys&gt;&lt;ref-type name="Journal Article"&gt;17&lt;/ref-type&gt;&lt;contributors&gt;&lt;authors&gt;&lt;author&gt;Gunter, L.E.&lt;/author&gt;&lt;author&gt;Tuskan, G.A.&lt;/author&gt;&lt;author&gt;Wullschleger, S.D.&lt;/author&gt;&lt;/authors&gt;&lt;/contributors&gt;&lt;titles&gt;&lt;title&gt;Diversity among populations of switchgrass based on RAPD markers&lt;/title&gt;&lt;secondary-title&gt;Crop Sci.&lt;/secondary-title&gt;&lt;/titles&gt;&lt;periodical&gt;&lt;full-title&gt;Crop Sci.&lt;/full-title&gt;&lt;/periodical&gt;&lt;pages&gt;1017-1022&lt;/pages&gt;&lt;volume&gt;36&lt;/volume&gt;&lt;section&gt;1017&lt;/section&gt;&lt;dates&gt;&lt;year&gt;1996&lt;/year&gt;&lt;/dates&gt;&lt;urls&gt;&lt;/urls&gt;&lt;/record&gt;&lt;/Cite&gt;&lt;/EndNote&gt;</w:instrText>
        </w:r>
        <w:r w:rsidR="00FB5014">
          <w:rPr>
            <w:rFonts w:eastAsiaTheme="minorHAnsi"/>
          </w:rPr>
          <w:fldChar w:fldCharType="separate"/>
        </w:r>
        <w:r w:rsidR="00FB5014">
          <w:rPr>
            <w:rFonts w:eastAsiaTheme="minorHAnsi"/>
            <w:noProof/>
          </w:rPr>
          <w:t>Gunter et al. (1996)</w:t>
        </w:r>
        <w:r w:rsidR="00FB5014">
          <w:rPr>
            <w:rFonts w:eastAsiaTheme="minorHAnsi"/>
          </w:rPr>
          <w:fldChar w:fldCharType="end"/>
        </w:r>
      </w:hyperlink>
      <w:r>
        <w:rPr>
          <w:rFonts w:eastAsiaTheme="minorHAnsi"/>
        </w:rPr>
        <w:t xml:space="preserve">, the genetic similarity within the cultivar Alamo is 0.7617 and the genetic similarity within the cultivar Kanlow is 0.8785. The similarity between the cultivar Alamo and the cultivar Kanlow is 0.7512. The concordance in genetic similarity values within Alamo and between Alamo and Kanlow could explain the similarity in proportional numbers of crosses found exhibiting high parent heterosis for the various traits evaluated. Significant mid-parent and high-parent heterosis has been reported in combinations of upland and lowland switchgrass </w:t>
      </w:r>
      <w:r w:rsidR="00301182">
        <w:rPr>
          <w:rFonts w:eastAsiaTheme="minorHAnsi"/>
        </w:rPr>
        <w:fldChar w:fldCharType="begin"/>
      </w:r>
      <w:r w:rsidR="00B7572A">
        <w:rPr>
          <w:rFonts w:eastAsiaTheme="minorHAnsi"/>
        </w:rPr>
        <w:instrText xml:space="preserve"> ADDIN EN.CITE &lt;EndNote&gt;&lt;Cite&gt;&lt;Author&gt;casler&lt;/Author&gt;&lt;Year&gt;2014&lt;/Year&gt;&lt;RecNum&gt;317&lt;/RecNum&gt;&lt;DisplayText&gt;(Casler and Vogel, 2014; Martinez-Reyna and Vogel, 2008)&lt;/DisplayText&gt;&lt;record&gt;&lt;rec-number&gt;317&lt;/rec-number&gt;&lt;foreign-keys&gt;&lt;key app="EN" db-id="9zfxt259rawwvce0pfa5efeuatdw0pz5va5z" timestamp="1411765631"&gt;317&lt;/key&gt;&lt;/foreign-keys&gt;&lt;ref-type name="Journal Article"&gt;17&lt;/ref-type&gt;&lt;contributors&gt;&lt;authors&gt;&lt;author&gt;Casler, M. D.&lt;/author&gt;&lt;author&gt;Vogel, K.P.&lt;/author&gt;&lt;/authors&gt;&lt;/contributors&gt;&lt;titles&gt;&lt;title&gt;Selection for biomass yield in upland, lowland, and hybrid switchgrass&lt;/title&gt;&lt;secondary-title&gt;Crop Sci.&lt;/secondary-title&gt;&lt;/titles&gt;&lt;periodical&gt;&lt;full-title&gt;Crop Sci.&lt;/full-title&gt;&lt;/periodical&gt;&lt;pages&gt;626-636&lt;/pages&gt;&lt;volume&gt;54&lt;/volume&gt;&lt;dates&gt;&lt;year&gt;2014&lt;/year&gt;&lt;/dates&gt;&lt;urls&gt;&lt;/urls&gt;&lt;/record&gt;&lt;/Cite&gt;&lt;Cite&gt;&lt;Author&gt;Martinez-Reyna&lt;/Author&gt;&lt;Year&gt;2008&lt;/Year&gt;&lt;RecNum&gt;259&lt;/RecNum&gt;&lt;record&gt;&lt;rec-number&gt;259&lt;/rec-number&gt;&lt;foreign-keys&gt;&lt;key app="EN" db-id="9zfxt259rawwvce0pfa5efeuatdw0pz5va5z" timestamp="1323887732"&gt;259&lt;/key&gt;&lt;/foreign-keys&gt;&lt;ref-type name="Journal Article"&gt;17&lt;/ref-type&gt;&lt;contributors&gt;&lt;authors&gt;&lt;author&gt;Martinez-Reyna, J.M.&lt;/author&gt;&lt;author&gt;Vogel, K.P.&lt;/author&gt;&lt;/authors&gt;&lt;/contributors&gt;&lt;titles&gt;&lt;title&gt;Heterosis in switchgrass:  Spaced plants&lt;/title&gt;&lt;secondary-title&gt;Crop Sci.&lt;/secondary-title&gt;&lt;/titles&gt;&lt;periodical&gt;&lt;full-title&gt;Crop Sci.&lt;/full-title&gt;&lt;/periodical&gt;&lt;pages&gt;1312-1320&lt;/pages&gt;&lt;volume&gt;48&lt;/volume&gt;&lt;section&gt;1312&lt;/section&gt;&lt;dates&gt;&lt;year&gt;2008&lt;/year&gt;&lt;/dates&gt;&lt;urls&gt;&lt;/urls&gt;&lt;/record&gt;&lt;/Cite&gt;&lt;/EndNote&gt;</w:instrText>
      </w:r>
      <w:r w:rsidR="00301182">
        <w:rPr>
          <w:rFonts w:eastAsiaTheme="minorHAnsi"/>
        </w:rPr>
        <w:fldChar w:fldCharType="separate"/>
      </w:r>
      <w:r w:rsidR="00B7572A">
        <w:rPr>
          <w:rFonts w:eastAsiaTheme="minorHAnsi"/>
          <w:noProof/>
        </w:rPr>
        <w:t>(</w:t>
      </w:r>
      <w:hyperlink w:anchor="_ENREF_22" w:tooltip="Casler, 2014 #317" w:history="1">
        <w:r w:rsidR="00FB5014">
          <w:rPr>
            <w:rFonts w:eastAsiaTheme="minorHAnsi"/>
            <w:noProof/>
          </w:rPr>
          <w:t>Casler and Vogel, 2014</w:t>
        </w:r>
      </w:hyperlink>
      <w:r w:rsidR="00B7572A">
        <w:rPr>
          <w:rFonts w:eastAsiaTheme="minorHAnsi"/>
          <w:noProof/>
        </w:rPr>
        <w:t xml:space="preserve">; </w:t>
      </w:r>
      <w:hyperlink w:anchor="_ENREF_68" w:tooltip="Martinez-Reyna, 2008 #259" w:history="1">
        <w:r w:rsidR="00FB5014">
          <w:rPr>
            <w:rFonts w:eastAsiaTheme="minorHAnsi"/>
            <w:noProof/>
          </w:rPr>
          <w:t>Martinez-Reyna and Vogel, 2008</w:t>
        </w:r>
      </w:hyperlink>
      <w:r w:rsidR="00B7572A">
        <w:rPr>
          <w:rFonts w:eastAsiaTheme="minorHAnsi"/>
          <w:noProof/>
        </w:rPr>
        <w:t>)</w:t>
      </w:r>
      <w:r w:rsidR="00301182">
        <w:rPr>
          <w:rFonts w:eastAsiaTheme="minorHAnsi"/>
        </w:rPr>
        <w:fldChar w:fldCharType="end"/>
      </w:r>
      <w:r w:rsidR="000822E8">
        <w:rPr>
          <w:rFonts w:eastAsiaTheme="minorHAnsi"/>
        </w:rPr>
        <w:t>.</w:t>
      </w:r>
      <w:r>
        <w:rPr>
          <w:rFonts w:eastAsiaTheme="minorHAnsi"/>
        </w:rPr>
        <w:t xml:space="preserve"> While it has been suggested that the most obvious heterotic groups are geographically separated populations or separated subspecies, such as upland and lowland populations of switchgrass, the large amount of genetic diversity that remains within cultivars of lowland switchgrass appears to indicate that heterotic groups </w:t>
      </w:r>
      <w:r w:rsidR="00E5230C">
        <w:rPr>
          <w:rFonts w:eastAsiaTheme="minorHAnsi"/>
        </w:rPr>
        <w:t>might</w:t>
      </w:r>
      <w:r>
        <w:rPr>
          <w:rFonts w:eastAsiaTheme="minorHAnsi"/>
        </w:rPr>
        <w:t xml:space="preserve"> be found within these cultivars as well </w:t>
      </w:r>
      <w:r w:rsidR="00301182">
        <w:rPr>
          <w:rFonts w:eastAsiaTheme="minorHAnsi"/>
        </w:rPr>
        <w:fldChar w:fldCharType="begin"/>
      </w:r>
      <w:r w:rsidR="000822E8">
        <w:rPr>
          <w:rFonts w:eastAsiaTheme="minorHAnsi"/>
        </w:rPr>
        <w:instrText xml:space="preserve"> ADDIN EN.CITE &lt;EndNote&gt;&lt;Cite&gt;&lt;Author&gt;Brummer&lt;/Author&gt;&lt;Year&gt;1999&lt;/Year&gt;&lt;RecNum&gt;329&lt;/RecNum&gt;&lt;DisplayText&gt;(Brummer, 1999)&lt;/DisplayText&gt;&lt;record&gt;&lt;rec-number&gt;329&lt;/rec-number&gt;&lt;foreign-keys&gt;&lt;key app="EN" db-id="9zfxt259rawwvce0pfa5efeuatdw0pz5va5z" timestamp="1412270683"&gt;329&lt;/key&gt;&lt;/foreign-keys&gt;&lt;ref-type name="Journal Article"&gt;17&lt;/ref-type&gt;&lt;contributors&gt;&lt;authors&gt;&lt;author&gt;Brummer, E.C.&lt;/author&gt;&lt;/authors&gt;&lt;/contributors&gt;&lt;titles&gt;&lt;title&gt;Capturing heterosis in forage crop cultivar development&lt;/title&gt;&lt;secondary-title&gt;Crop Sci.&lt;/secondary-title&gt;&lt;/titles&gt;&lt;periodical&gt;&lt;full-title&gt;Crop Sci.&lt;/full-title&gt;&lt;/periodical&gt;&lt;pages&gt;943-954&lt;/pages&gt;&lt;volume&gt;39&lt;/volume&gt;&lt;section&gt;943&lt;/section&gt;&lt;dates&gt;&lt;year&gt;1999&lt;/year&gt;&lt;/dates&gt;&lt;urls&gt;&lt;/urls&gt;&lt;/record&gt;&lt;/Cite&gt;&lt;/EndNote&gt;</w:instrText>
      </w:r>
      <w:r w:rsidR="00301182">
        <w:rPr>
          <w:rFonts w:eastAsiaTheme="minorHAnsi"/>
        </w:rPr>
        <w:fldChar w:fldCharType="separate"/>
      </w:r>
      <w:r w:rsidR="000822E8">
        <w:rPr>
          <w:rFonts w:eastAsiaTheme="minorHAnsi"/>
          <w:noProof/>
        </w:rPr>
        <w:t>(</w:t>
      </w:r>
      <w:hyperlink w:anchor="_ENREF_15" w:tooltip="Brummer, 1999 #329" w:history="1">
        <w:r w:rsidR="00FB5014">
          <w:rPr>
            <w:rFonts w:eastAsiaTheme="minorHAnsi"/>
            <w:noProof/>
          </w:rPr>
          <w:t>Brummer, 1999</w:t>
        </w:r>
      </w:hyperlink>
      <w:r w:rsidR="000822E8">
        <w:rPr>
          <w:rFonts w:eastAsiaTheme="minorHAnsi"/>
          <w:noProof/>
        </w:rPr>
        <w:t>)</w:t>
      </w:r>
      <w:r w:rsidR="00301182">
        <w:rPr>
          <w:rFonts w:eastAsiaTheme="minorHAnsi"/>
        </w:rPr>
        <w:fldChar w:fldCharType="end"/>
      </w:r>
      <w:r w:rsidR="000822E8">
        <w:rPr>
          <w:rFonts w:eastAsiaTheme="minorHAnsi"/>
        </w:rPr>
        <w:t>.</w:t>
      </w:r>
      <w:r w:rsidR="00E5230C">
        <w:rPr>
          <w:rFonts w:eastAsiaTheme="minorHAnsi"/>
        </w:rPr>
        <w:t xml:space="preserve"> The magnitude of dominance variation previously described in these results also supports this idea</w:t>
      </w:r>
      <w:r w:rsidR="00954DB7">
        <w:rPr>
          <w:rFonts w:eastAsiaTheme="minorHAnsi"/>
        </w:rPr>
        <w:t xml:space="preserve">. </w:t>
      </w:r>
    </w:p>
    <w:p w14:paraId="4BB7B6D4" w14:textId="7CD91151" w:rsidR="00596A40" w:rsidRDefault="00596A40" w:rsidP="00596A40">
      <w:pPr>
        <w:ind w:firstLine="720"/>
        <w:rPr>
          <w:rFonts w:eastAsiaTheme="minorHAnsi"/>
        </w:rPr>
      </w:pPr>
      <w:r>
        <w:rPr>
          <w:rFonts w:eastAsiaTheme="minorHAnsi"/>
        </w:rPr>
        <w:t xml:space="preserve">Only one combination of Kanlow by Kanlow was found to have high parent </w:t>
      </w:r>
      <w:r w:rsidR="00E5230C">
        <w:rPr>
          <w:rFonts w:eastAsiaTheme="minorHAnsi"/>
        </w:rPr>
        <w:t xml:space="preserve">heterosis, and this was for </w:t>
      </w:r>
      <w:r w:rsidR="00B8390A">
        <w:rPr>
          <w:rFonts w:eastAsiaTheme="minorHAnsi"/>
        </w:rPr>
        <w:t>leaf width</w:t>
      </w:r>
      <w:r>
        <w:rPr>
          <w:rFonts w:eastAsiaTheme="minorHAnsi"/>
        </w:rPr>
        <w:t xml:space="preserve">. From the results observed here, it appears as though Kanlow by Kanlow combinations may have low heterotic potential due to the higher within cultivar similarity; however, further examination of a larger number of genotypes would be necessary before stating anything conclusive. Only two Kanlow by Kanlow combinations were evaluated while 20 combinations each of Alamo by Alamo and Alamo by Kanlow were evaluated. Proportionally, the number of Alamo by Miami combinations exhibiting high parent heterosis was similar to numbers observed for Alamo by Alamo combinations and Alamo by Kanlow </w:t>
      </w:r>
      <w:r>
        <w:rPr>
          <w:rFonts w:eastAsiaTheme="minorHAnsi"/>
        </w:rPr>
        <w:lastRenderedPageBreak/>
        <w:t xml:space="preserve">combinations for all traits except tiller number and </w:t>
      </w:r>
      <w:r w:rsidR="00B8390A">
        <w:rPr>
          <w:rFonts w:eastAsiaTheme="minorHAnsi"/>
        </w:rPr>
        <w:t>leaf width</w:t>
      </w:r>
      <w:r>
        <w:rPr>
          <w:rFonts w:eastAsiaTheme="minorHAnsi"/>
        </w:rPr>
        <w:t>. For these traits, the proportional number of heterotic combinations found was about half as many as the other two combinations. No</w:t>
      </w:r>
      <w:r w:rsidR="00E5230C">
        <w:rPr>
          <w:rFonts w:eastAsiaTheme="minorHAnsi"/>
        </w:rPr>
        <w:t>ne of the</w:t>
      </w:r>
      <w:r>
        <w:rPr>
          <w:rFonts w:eastAsiaTheme="minorHAnsi"/>
        </w:rPr>
        <w:t xml:space="preserve"> Kanlow by Miami combinations </w:t>
      </w:r>
      <w:r w:rsidR="00E5230C">
        <w:rPr>
          <w:rFonts w:eastAsiaTheme="minorHAnsi"/>
        </w:rPr>
        <w:t>exhibited</w:t>
      </w:r>
      <w:r>
        <w:rPr>
          <w:rFonts w:eastAsiaTheme="minorHAnsi"/>
        </w:rPr>
        <w:t xml:space="preserve"> </w:t>
      </w:r>
      <w:r w:rsidR="00E5230C">
        <w:rPr>
          <w:rFonts w:eastAsiaTheme="minorHAnsi"/>
        </w:rPr>
        <w:t>high parent heterosis</w:t>
      </w:r>
      <w:r>
        <w:rPr>
          <w:rFonts w:eastAsiaTheme="minorHAnsi"/>
        </w:rPr>
        <w:t xml:space="preserve">. These results suggest the genetic similarity between Alamo and Miami may be lower than that between Kanlow and Miami and that the cultivar Miami may offer genetic </w:t>
      </w:r>
      <w:r w:rsidR="00E5230C">
        <w:rPr>
          <w:rFonts w:eastAsiaTheme="minorHAnsi"/>
        </w:rPr>
        <w:t>variation</w:t>
      </w:r>
      <w:r>
        <w:rPr>
          <w:rFonts w:eastAsiaTheme="minorHAnsi"/>
        </w:rPr>
        <w:t xml:space="preserve"> that will allow for exploitation of heterotic potential when combined with genotypes from within the cultivar Alamo</w:t>
      </w:r>
      <w:r w:rsidR="00954DB7">
        <w:rPr>
          <w:rFonts w:eastAsiaTheme="minorHAnsi"/>
        </w:rPr>
        <w:t xml:space="preserve">. </w:t>
      </w:r>
      <w:r>
        <w:rPr>
          <w:rFonts w:eastAsiaTheme="minorHAnsi"/>
        </w:rPr>
        <w:t xml:space="preserve">  </w:t>
      </w:r>
    </w:p>
    <w:p w14:paraId="61EDCFBC" w14:textId="77777777" w:rsidR="00596A40" w:rsidRDefault="00596A40" w:rsidP="00596A40">
      <w:pPr>
        <w:pStyle w:val="Heading3"/>
        <w:rPr>
          <w:rFonts w:eastAsiaTheme="minorHAnsi"/>
        </w:rPr>
      </w:pPr>
      <w:bookmarkStart w:id="69" w:name="_Toc404069846"/>
      <w:r>
        <w:rPr>
          <w:rFonts w:eastAsiaTheme="minorHAnsi"/>
        </w:rPr>
        <w:t>Early Selection</w:t>
      </w:r>
      <w:r w:rsidR="00D5280E">
        <w:rPr>
          <w:rFonts w:eastAsiaTheme="minorHAnsi"/>
        </w:rPr>
        <w:t xml:space="preserve"> for Biomass Yield and Ethanol Yield</w:t>
      </w:r>
      <w:bookmarkEnd w:id="69"/>
    </w:p>
    <w:p w14:paraId="093190E9" w14:textId="240E5E8C" w:rsidR="00197B57" w:rsidRDefault="00806CA8" w:rsidP="00596A40">
      <w:pPr>
        <w:ind w:firstLine="720"/>
      </w:pPr>
      <w:r>
        <w:t>The top yielding 3</w:t>
      </w:r>
      <w:r w:rsidR="00596A40" w:rsidRPr="00BB185F">
        <w:t xml:space="preserve">0% of </w:t>
      </w:r>
      <w:r w:rsidR="00E5230C">
        <w:t>F1 populations</w:t>
      </w:r>
      <w:r w:rsidR="00596A40" w:rsidRPr="00BB185F">
        <w:t xml:space="preserve"> </w:t>
      </w:r>
      <w:r w:rsidR="00E5230C">
        <w:t xml:space="preserve">by parental line and by cross </w:t>
      </w:r>
      <w:r w:rsidR="00596A40" w:rsidRPr="00BB185F">
        <w:t>were selected within each year and matched to corresponding second year</w:t>
      </w:r>
      <w:r w:rsidR="00596A40">
        <w:t xml:space="preserve"> (2013)</w:t>
      </w:r>
      <w:r w:rsidR="00596A40" w:rsidRPr="00BB185F">
        <w:t xml:space="preserve"> biomass</w:t>
      </w:r>
      <w:r w:rsidR="00596A40">
        <w:t xml:space="preserve"> </w:t>
      </w:r>
      <w:r w:rsidR="00596A40" w:rsidRPr="00BB185F">
        <w:t xml:space="preserve">and ethanol values to compare the performance at maturity of each set of selections: </w:t>
      </w:r>
      <w:r w:rsidR="00E5230C">
        <w:t>juvenile (</w:t>
      </w:r>
      <w:r w:rsidR="00596A40">
        <w:t>8 week</w:t>
      </w:r>
      <w:r w:rsidR="00E5230C">
        <w:t>)</w:t>
      </w:r>
      <w:r w:rsidR="00596A40" w:rsidRPr="00BB185F">
        <w:t xml:space="preserve">, </w:t>
      </w:r>
      <w:r w:rsidR="00E5230C">
        <w:t>first year (</w:t>
      </w:r>
      <w:r w:rsidR="00596A40">
        <w:t>2012</w:t>
      </w:r>
      <w:r w:rsidR="00E5230C">
        <w:t>)</w:t>
      </w:r>
      <w:r w:rsidR="00596A40" w:rsidRPr="00BB185F">
        <w:t xml:space="preserve">, and </w:t>
      </w:r>
      <w:r w:rsidR="00E5230C">
        <w:t>second year (</w:t>
      </w:r>
      <w:r w:rsidR="00596A40">
        <w:t>2013</w:t>
      </w:r>
      <w:r w:rsidR="00E5230C">
        <w:t>)</w:t>
      </w:r>
      <w:r w:rsidR="00596A40" w:rsidRPr="00BB185F">
        <w:t>.</w:t>
      </w:r>
      <w:r w:rsidR="00596A40">
        <w:t xml:space="preserve"> </w:t>
      </w:r>
      <w:r w:rsidR="00596A40" w:rsidRPr="00BB185F">
        <w:t xml:space="preserve">Biomass </w:t>
      </w:r>
      <w:r w:rsidR="00E5230C">
        <w:t xml:space="preserve">yield </w:t>
      </w:r>
      <w:r w:rsidR="00596A40" w:rsidRPr="00BB185F">
        <w:t>differed significantly</w:t>
      </w:r>
      <w:r w:rsidR="00E5230C">
        <w:t xml:space="preserve"> (</w:t>
      </w:r>
      <w:r w:rsidR="00B7572A">
        <w:t xml:space="preserve">P </w:t>
      </w:r>
      <w:r w:rsidR="009021A8">
        <w:t xml:space="preserve">&lt; </w:t>
      </w:r>
      <w:r w:rsidR="00E5230C">
        <w:t>0.05)</w:t>
      </w:r>
      <w:r w:rsidR="00596A40" w:rsidRPr="00BB185F">
        <w:t xml:space="preserve"> by </w:t>
      </w:r>
      <w:r w:rsidR="00E5230C">
        <w:t xml:space="preserve">selection </w:t>
      </w:r>
      <w:r w:rsidR="00596A40" w:rsidRPr="00BB185F">
        <w:t>year (</w:t>
      </w:r>
      <w:r w:rsidR="00FA7CB0">
        <w:t xml:space="preserve">Juvenile </w:t>
      </w:r>
      <w:r w:rsidR="00596A40">
        <w:t>=</w:t>
      </w:r>
      <w:r w:rsidR="00E5230C">
        <w:t xml:space="preserve"> </w:t>
      </w:r>
      <w:r w:rsidR="00596A40">
        <w:t>0.38</w:t>
      </w:r>
      <w:r w:rsidR="00E5230C">
        <w:t xml:space="preserve"> </w:t>
      </w:r>
      <w:r w:rsidR="00596A40">
        <w:t>g</w:t>
      </w:r>
      <w:r w:rsidR="00E5230C">
        <w:t xml:space="preserve"> </w:t>
      </w:r>
      <w:r w:rsidR="00E5230C" w:rsidRPr="00BB185F">
        <w:t>plant</w:t>
      </w:r>
      <w:r w:rsidR="00E5230C" w:rsidRPr="00BB185F">
        <w:rPr>
          <w:vertAlign w:val="superscript"/>
        </w:rPr>
        <w:t>-1</w:t>
      </w:r>
      <w:r w:rsidR="00596A40">
        <w:t xml:space="preserve">, </w:t>
      </w:r>
      <w:r w:rsidR="00E5230C">
        <w:t xml:space="preserve">first year </w:t>
      </w:r>
      <w:r w:rsidR="00596A40">
        <w:t>=</w:t>
      </w:r>
      <w:r w:rsidR="00FB1CA5">
        <w:t xml:space="preserve"> </w:t>
      </w:r>
      <w:r w:rsidR="00596A40">
        <w:t>95</w:t>
      </w:r>
      <w:r w:rsidR="00E5230C">
        <w:t xml:space="preserve"> </w:t>
      </w:r>
      <w:r w:rsidR="00596A40">
        <w:t>g</w:t>
      </w:r>
      <w:r w:rsidR="00E5230C">
        <w:t xml:space="preserve"> </w:t>
      </w:r>
      <w:r w:rsidR="00E5230C" w:rsidRPr="00BB185F">
        <w:t>plant</w:t>
      </w:r>
      <w:r w:rsidR="00E5230C" w:rsidRPr="00BB185F">
        <w:rPr>
          <w:vertAlign w:val="superscript"/>
        </w:rPr>
        <w:t>-1</w:t>
      </w:r>
      <w:r w:rsidR="00596A40">
        <w:t xml:space="preserve">, </w:t>
      </w:r>
      <w:r w:rsidR="00E5230C">
        <w:t xml:space="preserve">second year </w:t>
      </w:r>
      <w:r w:rsidR="00596A40" w:rsidRPr="00BB185F">
        <w:t>=</w:t>
      </w:r>
      <w:r w:rsidR="00FB1CA5">
        <w:t xml:space="preserve"> </w:t>
      </w:r>
      <w:r w:rsidR="00596A40" w:rsidRPr="00BB185F">
        <w:t>10</w:t>
      </w:r>
      <w:r w:rsidR="00596A40">
        <w:t>59</w:t>
      </w:r>
      <w:r w:rsidR="00E5230C">
        <w:t xml:space="preserve"> </w:t>
      </w:r>
      <w:r w:rsidR="00596A40" w:rsidRPr="00BB185F">
        <w:t>g plant</w:t>
      </w:r>
      <w:r w:rsidR="00596A40" w:rsidRPr="00BB185F">
        <w:rPr>
          <w:vertAlign w:val="superscript"/>
        </w:rPr>
        <w:t>-1</w:t>
      </w:r>
      <w:r w:rsidR="00596A40" w:rsidRPr="00BB185F">
        <w:t>). Ethanol did not differ significantly by year (</w:t>
      </w:r>
      <w:r w:rsidR="00E5230C">
        <w:t>x</w:t>
      </w:r>
      <w:r w:rsidR="00E5230C">
        <w:rPr>
          <w:rFonts w:cs="Times New Roman"/>
        </w:rPr>
        <w:t>̅</w:t>
      </w:r>
      <w:r w:rsidR="00E5230C">
        <w:t xml:space="preserve"> </w:t>
      </w:r>
      <w:r w:rsidR="00596A40" w:rsidRPr="00BB185F">
        <w:t>=</w:t>
      </w:r>
      <w:r w:rsidR="00E5230C">
        <w:t xml:space="preserve"> </w:t>
      </w:r>
      <w:r w:rsidR="00596A40" w:rsidRPr="00BB185F">
        <w:t>64mg g</w:t>
      </w:r>
      <w:r w:rsidR="00596A40" w:rsidRPr="00BB185F">
        <w:rPr>
          <w:vertAlign w:val="superscript"/>
        </w:rPr>
        <w:t>-1</w:t>
      </w:r>
      <w:r w:rsidR="00596A40" w:rsidRPr="00BB185F">
        <w:t>)</w:t>
      </w:r>
      <w:r w:rsidR="00E5230C">
        <w:t xml:space="preserve"> (data not shown)</w:t>
      </w:r>
      <w:r w:rsidR="00596A40" w:rsidRPr="00BB185F">
        <w:t xml:space="preserve">. Biomass and ethanol </w:t>
      </w:r>
      <w:r w:rsidR="00E5230C">
        <w:t xml:space="preserve">parental </w:t>
      </w:r>
      <w:r w:rsidR="00596A40" w:rsidRPr="00BB185F">
        <w:t xml:space="preserve">line selections in </w:t>
      </w:r>
      <w:r w:rsidR="00FA7CB0">
        <w:t>the first and second year</w:t>
      </w:r>
      <w:r w:rsidR="00596A40" w:rsidRPr="00BB185F">
        <w:t xml:space="preserve"> were identical</w:t>
      </w:r>
      <w:r w:rsidR="00596A40">
        <w:t xml:space="preserve"> (Figure 2</w:t>
      </w:r>
      <w:r w:rsidR="00E5230C">
        <w:t xml:space="preserve">-5 </w:t>
      </w:r>
      <w:r w:rsidR="00596A40">
        <w:t>B</w:t>
      </w:r>
      <w:r w:rsidR="00E5230C">
        <w:t xml:space="preserve">- </w:t>
      </w:r>
      <w:r w:rsidR="00596A40">
        <w:t>C)</w:t>
      </w:r>
      <w:r w:rsidR="00596A40" w:rsidRPr="00BB185F">
        <w:t xml:space="preserve">. Biomass line selections </w:t>
      </w:r>
      <w:r w:rsidR="00FA7CB0">
        <w:t>at the juvenile stage</w:t>
      </w:r>
      <w:r w:rsidR="00596A40" w:rsidRPr="00BB185F">
        <w:t xml:space="preserve"> were the opposite of </w:t>
      </w:r>
      <w:r w:rsidR="00FA7CB0">
        <w:t xml:space="preserve">first and second year </w:t>
      </w:r>
      <w:r w:rsidR="00596A40" w:rsidRPr="00BB185F">
        <w:t xml:space="preserve">selections, with high biomass selections </w:t>
      </w:r>
      <w:r w:rsidR="00FA7CB0">
        <w:t>from the first and second year</w:t>
      </w:r>
      <w:r w:rsidR="00596A40" w:rsidRPr="00BB185F">
        <w:t xml:space="preserve"> corresponding to low biomass in </w:t>
      </w:r>
      <w:r w:rsidR="00FA7CB0">
        <w:t>juvenile selections</w:t>
      </w:r>
      <w:r w:rsidR="00596A40">
        <w:t xml:space="preserve"> (Figure 2</w:t>
      </w:r>
      <w:r w:rsidR="00E5230C">
        <w:t xml:space="preserve">-5 </w:t>
      </w:r>
      <w:r w:rsidR="00596A40">
        <w:t>A)</w:t>
      </w:r>
      <w:r w:rsidR="00596A40" w:rsidRPr="00BB185F">
        <w:t xml:space="preserve">. </w:t>
      </w:r>
      <w:r w:rsidR="00E5230C">
        <w:t>B</w:t>
      </w:r>
      <w:r w:rsidR="00596A40" w:rsidRPr="00BB185F">
        <w:t xml:space="preserve">iomass yield and </w:t>
      </w:r>
      <w:r w:rsidR="0095454C">
        <w:t>predicted ethanol yield</w:t>
      </w:r>
      <w:r w:rsidR="00596A40" w:rsidRPr="00BB185F">
        <w:t xml:space="preserve"> </w:t>
      </w:r>
      <w:r w:rsidR="00E5230C">
        <w:t xml:space="preserve">in </w:t>
      </w:r>
      <w:r w:rsidR="00FA7CB0">
        <w:t>the second year</w:t>
      </w:r>
      <w:r w:rsidR="00E5230C">
        <w:t xml:space="preserve"> </w:t>
      </w:r>
      <w:r w:rsidR="00596A40" w:rsidRPr="00BB185F">
        <w:t xml:space="preserve">did not differ </w:t>
      </w:r>
      <w:r w:rsidR="00E5230C">
        <w:t>among</w:t>
      </w:r>
      <w:r w:rsidR="00596A40" w:rsidRPr="00BB185F">
        <w:t xml:space="preserve"> crosses selected in </w:t>
      </w:r>
      <w:r w:rsidR="00FA7CB0">
        <w:t xml:space="preserve">the first and second year </w:t>
      </w:r>
      <w:r w:rsidR="00596A40">
        <w:t xml:space="preserve">(Figure </w:t>
      </w:r>
      <w:r w:rsidR="00FB1CA5">
        <w:t>2-6</w:t>
      </w:r>
      <w:r w:rsidR="00596A40">
        <w:t>)</w:t>
      </w:r>
      <w:r w:rsidR="00596A40" w:rsidRPr="00BB185F">
        <w:t xml:space="preserve">. </w:t>
      </w:r>
      <w:r>
        <w:t>Of the top 30% of crosses selected</w:t>
      </w:r>
      <w:r w:rsidR="00814511">
        <w:t xml:space="preserve"> </w:t>
      </w:r>
      <w:r>
        <w:t xml:space="preserve">in </w:t>
      </w:r>
      <w:r w:rsidR="00FA7CB0">
        <w:t>the first year</w:t>
      </w:r>
      <w:r>
        <w:t xml:space="preserve">, 70% of those crosses remained in the top 30% of crosses selected in </w:t>
      </w:r>
      <w:r w:rsidR="00FA7CB0">
        <w:t>the second year</w:t>
      </w:r>
      <w:r w:rsidR="00814511">
        <w:t xml:space="preserve"> for </w:t>
      </w:r>
      <w:r w:rsidR="000B7ED3">
        <w:t>biomass</w:t>
      </w:r>
      <w:r w:rsidR="00814511">
        <w:t xml:space="preserve"> yield, while only 30% of those crosses remained in the top 30% of crosses selected in </w:t>
      </w:r>
      <w:r w:rsidR="00FA7CB0">
        <w:t>the second year</w:t>
      </w:r>
      <w:r w:rsidR="00814511">
        <w:t xml:space="preserve"> for ethanol yield</w:t>
      </w:r>
      <w:r>
        <w:t>. Only 29% of the crosses selected at the juvenile stage were in the to</w:t>
      </w:r>
      <w:r w:rsidR="00814511">
        <w:t>p 30% of crosses for 2013</w:t>
      </w:r>
      <w:r>
        <w:t xml:space="preserve"> biomass yield. </w:t>
      </w:r>
      <w:r w:rsidR="00596A40">
        <w:t xml:space="preserve">For </w:t>
      </w:r>
      <w:r w:rsidR="00FA7CB0">
        <w:t>early selections</w:t>
      </w:r>
      <w:r w:rsidR="00596A40">
        <w:t xml:space="preserve">, an </w:t>
      </w:r>
      <w:r w:rsidR="00596A40">
        <w:lastRenderedPageBreak/>
        <w:t xml:space="preserve">increase in standard deviation was observed in both biomass and </w:t>
      </w:r>
      <w:r w:rsidR="0095454C">
        <w:t>predicted ethanol yield</w:t>
      </w:r>
      <w:r w:rsidR="00596A40">
        <w:t xml:space="preserve"> selections (Biomass yield: </w:t>
      </w:r>
      <w:r w:rsidR="00FA7CB0">
        <w:t>juvenile (8 weeks):</w:t>
      </w:r>
      <w:r w:rsidR="00596A40">
        <w:t xml:space="preserve"> s = 412, </w:t>
      </w:r>
      <w:r w:rsidR="00FA7CB0">
        <w:t>first year (</w:t>
      </w:r>
      <w:r w:rsidR="00596A40">
        <w:t>2012</w:t>
      </w:r>
      <w:r w:rsidR="00FA7CB0">
        <w:t>):</w:t>
      </w:r>
      <w:r w:rsidR="00596A40" w:rsidRPr="001B411A">
        <w:t xml:space="preserve"> </w:t>
      </w:r>
      <w:r w:rsidR="00596A40">
        <w:t>s</w:t>
      </w:r>
      <w:r w:rsidR="00596A40">
        <w:rPr>
          <w:vertAlign w:val="superscript"/>
        </w:rPr>
        <w:t xml:space="preserve"> </w:t>
      </w:r>
      <w:r w:rsidR="00596A40">
        <w:t xml:space="preserve">= 198, </w:t>
      </w:r>
      <w:r w:rsidR="00FA7CB0">
        <w:t>second year (</w:t>
      </w:r>
      <w:r w:rsidR="00596A40">
        <w:t>2013</w:t>
      </w:r>
      <w:r w:rsidR="00FA7CB0">
        <w:t>):</w:t>
      </w:r>
      <w:r w:rsidR="00596A40">
        <w:t xml:space="preserve"> s = 128, </w:t>
      </w:r>
      <w:r w:rsidR="0095454C">
        <w:t>Predicted ethanol yield</w:t>
      </w:r>
      <w:r w:rsidR="00596A40">
        <w:t xml:space="preserve">: 2012 s = 2.9, 2013 s = 1.2). Results from this study suggest that selection at a juvenile stage is not effective at identifying high biomass yielding </w:t>
      </w:r>
      <w:r w:rsidR="00DB2487">
        <w:t>F1 populations</w:t>
      </w:r>
      <w:r w:rsidR="00596A40">
        <w:t xml:space="preserve"> with significantly lower mean biomass yield in mature biomass yield from selections made at this stage compared to selections made at later stages of development. Results do indicate that selection of </w:t>
      </w:r>
      <w:r w:rsidR="00DB2487">
        <w:t>F1 populations</w:t>
      </w:r>
      <w:r w:rsidR="00596A40">
        <w:t xml:space="preserve"> during the establishment year is consistent with selections in the second year and that selections made during the establishment year do not differ significantly for biomass yield from selections made during the second year. </w:t>
      </w:r>
      <w:r w:rsidR="00FA7CB0">
        <w:t xml:space="preserve">The high consistency between selections made in the first and second year for both parental lines and from F1 populations also supports these observations. </w:t>
      </w:r>
    </w:p>
    <w:p w14:paraId="4E8FCFF7" w14:textId="77777777" w:rsidR="00197B57" w:rsidRDefault="00FA7CB0" w:rsidP="00596A40">
      <w:pPr>
        <w:ind w:firstLine="720"/>
      </w:pPr>
      <w:r>
        <w:t xml:space="preserve">Although mean ethanol yield did not differ between first and second year selections, a large number of F1 populations were discarded in the first year selections that were included in the second year selections. </w:t>
      </w:r>
      <w:r w:rsidR="00FC1206">
        <w:t xml:space="preserve">Because years did not differ significantly for mean predicted ethanol yield (Table 2-1 B), but a significant SCA by year interaction was observed (Table 2-3 A), a more appropriate evaluation of predicted ethanol yield may be to examine performance averaged across multiple years rather than making selections based on performance in a single year. </w:t>
      </w:r>
    </w:p>
    <w:p w14:paraId="7B474EA3" w14:textId="2378A91A" w:rsidR="00596A40" w:rsidRDefault="00596A40" w:rsidP="00596A40">
      <w:pPr>
        <w:ind w:firstLine="720"/>
      </w:pPr>
      <w:r>
        <w:t xml:space="preserve">In previous studies of early selection in switchgrass, the efficacy of early selection for tiller number in switchgrass at a juvenile stage was also not effective at improving traits under field conditions (Smart, 2003a, 2003b). A study by Casler (2003) did examine rankings in second year harvest and the subsequent three harvests and found no difference in ranking for switchgrass planted in drill plots. No other studies to date of switchgrass have compared the ranking of selections in the establishment year to selections at later dates. Results from this study </w:t>
      </w:r>
      <w:r>
        <w:lastRenderedPageBreak/>
        <w:t>suggest that selections for biomass yield could be made in the establishment year resulting in savings of time, labor, and space in switchgrass breeding endeavors</w:t>
      </w:r>
      <w:r w:rsidR="00954DB7">
        <w:t xml:space="preserve">. </w:t>
      </w:r>
      <w:r>
        <w:t xml:space="preserve">   </w:t>
      </w:r>
      <w:r w:rsidRPr="00BB185F">
        <w:t xml:space="preserve"> </w:t>
      </w:r>
    </w:p>
    <w:p w14:paraId="79A0C044" w14:textId="17E59DD7" w:rsidR="00596A40" w:rsidRDefault="00596A40" w:rsidP="009B24A0">
      <w:pPr>
        <w:pStyle w:val="Heading2"/>
      </w:pPr>
      <w:bookmarkStart w:id="70" w:name="_Toc404069847"/>
      <w:r>
        <w:t>Conclusion</w:t>
      </w:r>
      <w:bookmarkEnd w:id="70"/>
    </w:p>
    <w:p w14:paraId="26FCF70D" w14:textId="05ACF847" w:rsidR="00B00469" w:rsidRDefault="00B00469" w:rsidP="00596A40">
      <w:pPr>
        <w:ind w:firstLine="720"/>
        <w:rPr>
          <w:rFonts w:cs="Times New Roman"/>
        </w:rPr>
      </w:pPr>
      <w:r>
        <w:rPr>
          <w:rFonts w:cs="Times New Roman"/>
        </w:rPr>
        <w:t>Mean biomass yield and canopy showed significant (</w:t>
      </w:r>
      <w:r w:rsidR="00B7572A">
        <w:rPr>
          <w:rFonts w:cs="Times New Roman"/>
        </w:rPr>
        <w:t xml:space="preserve">P </w:t>
      </w:r>
      <w:r w:rsidR="009021A8">
        <w:rPr>
          <w:rFonts w:cs="Times New Roman"/>
        </w:rPr>
        <w:t xml:space="preserve">&lt; </w:t>
      </w:r>
      <w:r>
        <w:rPr>
          <w:rFonts w:cs="Times New Roman"/>
        </w:rPr>
        <w:t xml:space="preserve">0.05) differences by year, mean tiller diameter and rust severity 2013 showed significant differences between locations, and fall height, spring height, and </w:t>
      </w:r>
      <w:r w:rsidR="00B8390A">
        <w:rPr>
          <w:rFonts w:cs="Times New Roman"/>
        </w:rPr>
        <w:t>leaf width</w:t>
      </w:r>
      <w:r>
        <w:rPr>
          <w:rFonts w:cs="Times New Roman"/>
        </w:rPr>
        <w:t xml:space="preserve"> showed significant interaction between year and location</w:t>
      </w:r>
      <w:r w:rsidR="00954DB7">
        <w:rPr>
          <w:rFonts w:cs="Times New Roman"/>
        </w:rPr>
        <w:t xml:space="preserve">. </w:t>
      </w:r>
      <w:r>
        <w:rPr>
          <w:rFonts w:cs="Times New Roman"/>
        </w:rPr>
        <w:t xml:space="preserve">Ethanol yield did not differ significantly by year or location. The F1 populations exhibited a wide range of variation for all traits examined with a range of </w:t>
      </w:r>
      <w:r w:rsidR="009A578B">
        <w:rPr>
          <w:rFonts w:cs="Times New Roman"/>
        </w:rPr>
        <w:t>0.1 to 5138 g plant</w:t>
      </w:r>
      <w:r w:rsidR="009A578B" w:rsidRPr="009A578B">
        <w:rPr>
          <w:rFonts w:cs="Times New Roman"/>
          <w:vertAlign w:val="superscript"/>
        </w:rPr>
        <w:t>-1</w:t>
      </w:r>
      <w:r>
        <w:rPr>
          <w:rFonts w:cs="Times New Roman"/>
        </w:rPr>
        <w:t xml:space="preserve"> </w:t>
      </w:r>
      <w:r w:rsidR="009A578B">
        <w:rPr>
          <w:rFonts w:cs="Times New Roman"/>
        </w:rPr>
        <w:t>for biomass yield, 37.3 to 94.8 mg g</w:t>
      </w:r>
      <w:r w:rsidR="009A578B" w:rsidRPr="009A578B">
        <w:rPr>
          <w:rFonts w:cs="Times New Roman"/>
          <w:vertAlign w:val="superscript"/>
        </w:rPr>
        <w:t>-1</w:t>
      </w:r>
      <w:r w:rsidR="009A578B">
        <w:rPr>
          <w:rFonts w:cs="Times New Roman"/>
        </w:rPr>
        <w:t xml:space="preserve"> for predicted ethanol yield, 2.5 to 302 cm for fall height, 7.6 to 246 cm for spring height, 1 to 394 for tiller number, 0.8 to 14.7 mm for tiller diameter, 3.0 to 23.3 for </w:t>
      </w:r>
      <w:r w:rsidR="00B8390A">
        <w:rPr>
          <w:rFonts w:cs="Times New Roman"/>
        </w:rPr>
        <w:t>leaf width</w:t>
      </w:r>
      <w:r w:rsidR="009A578B">
        <w:rPr>
          <w:rFonts w:cs="Times New Roman"/>
        </w:rPr>
        <w:t>, and the full scale of each qualitative scale, including 1 to 9 for rust severity, 1 to 5 for canopy density, 1 to 3 for plant color, and 1 to 5 for leaf angle</w:t>
      </w:r>
      <w:r w:rsidR="00954DB7">
        <w:rPr>
          <w:rFonts w:cs="Times New Roman"/>
        </w:rPr>
        <w:t xml:space="preserve">. </w:t>
      </w:r>
      <w:r>
        <w:rPr>
          <w:rFonts w:cs="Times New Roman"/>
        </w:rPr>
        <w:t xml:space="preserve"> </w:t>
      </w:r>
    </w:p>
    <w:p w14:paraId="519E7B6C" w14:textId="34D8F7BC" w:rsidR="00596A40" w:rsidRDefault="00596A40" w:rsidP="00596A40">
      <w:pPr>
        <w:ind w:firstLine="720"/>
        <w:rPr>
          <w:rFonts w:cs="Times New Roman"/>
        </w:rPr>
      </w:pPr>
      <w:r w:rsidRPr="00ED44DE">
        <w:rPr>
          <w:rFonts w:cs="Times New Roman"/>
        </w:rPr>
        <w:t>Correlations of morphological traits to biomass yield indicate</w:t>
      </w:r>
      <w:r>
        <w:rPr>
          <w:rFonts w:cs="Times New Roman"/>
        </w:rPr>
        <w:t>d</w:t>
      </w:r>
      <w:r w:rsidR="00D354BA">
        <w:rPr>
          <w:rFonts w:cs="Times New Roman"/>
        </w:rPr>
        <w:t xml:space="preserve"> a</w:t>
      </w:r>
      <w:r w:rsidRPr="00ED44DE">
        <w:rPr>
          <w:rFonts w:cs="Times New Roman"/>
        </w:rPr>
        <w:t xml:space="preserve"> </w:t>
      </w:r>
      <w:r w:rsidR="00197B57">
        <w:rPr>
          <w:rFonts w:cs="Times New Roman"/>
        </w:rPr>
        <w:t xml:space="preserve">high biomass yielding </w:t>
      </w:r>
      <w:r w:rsidRPr="00ED44DE">
        <w:rPr>
          <w:rFonts w:cs="Times New Roman"/>
        </w:rPr>
        <w:t xml:space="preserve">ideotype of a tall plant with a high number of thick tillers, wide leaves, and an open </w:t>
      </w:r>
      <w:r w:rsidR="00DA675F">
        <w:rPr>
          <w:rFonts w:cs="Times New Roman"/>
        </w:rPr>
        <w:t>canopy density</w:t>
      </w:r>
      <w:r w:rsidRPr="00ED44DE">
        <w:rPr>
          <w:rFonts w:cs="Times New Roman"/>
        </w:rPr>
        <w:t xml:space="preserve">. Traits with the highest correlations to biomass year in the second year included fall height and biomass yield in the establishment year and tiller number and height in the </w:t>
      </w:r>
      <w:r>
        <w:rPr>
          <w:rFonts w:cs="Times New Roman"/>
        </w:rPr>
        <w:t xml:space="preserve">spring of the </w:t>
      </w:r>
      <w:r w:rsidRPr="00ED44DE">
        <w:rPr>
          <w:rFonts w:cs="Times New Roman"/>
        </w:rPr>
        <w:t xml:space="preserve">second year. These results indicate selection </w:t>
      </w:r>
      <w:r w:rsidR="00F42789">
        <w:rPr>
          <w:rFonts w:cs="Times New Roman"/>
        </w:rPr>
        <w:t xml:space="preserve">in the establishment year </w:t>
      </w:r>
      <w:r w:rsidRPr="00ED44DE">
        <w:rPr>
          <w:rFonts w:cs="Times New Roman"/>
        </w:rPr>
        <w:t xml:space="preserve">would be effective. Morphological traits that had </w:t>
      </w:r>
      <w:r w:rsidR="00F42789">
        <w:rPr>
          <w:rFonts w:cs="Times New Roman"/>
        </w:rPr>
        <w:t xml:space="preserve">significant </w:t>
      </w:r>
      <w:r w:rsidRPr="00ED44DE">
        <w:rPr>
          <w:rFonts w:cs="Times New Roman"/>
        </w:rPr>
        <w:t xml:space="preserve">high positive correlations to biomass yield had </w:t>
      </w:r>
      <w:r w:rsidR="00F42789">
        <w:rPr>
          <w:rFonts w:cs="Times New Roman"/>
        </w:rPr>
        <w:t xml:space="preserve">significant </w:t>
      </w:r>
      <w:r w:rsidRPr="00ED44DE">
        <w:rPr>
          <w:rFonts w:cs="Times New Roman"/>
        </w:rPr>
        <w:t xml:space="preserve">weak negative correlations to </w:t>
      </w:r>
      <w:r w:rsidR="0095454C">
        <w:rPr>
          <w:rFonts w:cs="Times New Roman"/>
        </w:rPr>
        <w:t>predicted ethanol yield</w:t>
      </w:r>
      <w:r w:rsidRPr="00ED44DE">
        <w:rPr>
          <w:rFonts w:cs="Times New Roman"/>
        </w:rPr>
        <w:t xml:space="preserve">, indicating it may be difficult to improve both traits simultaneously. </w:t>
      </w:r>
    </w:p>
    <w:p w14:paraId="47F1C5EF" w14:textId="0EC25EC7" w:rsidR="00596A40" w:rsidRDefault="00596A40" w:rsidP="00596A40">
      <w:pPr>
        <w:ind w:firstLine="720"/>
        <w:rPr>
          <w:rFonts w:cs="Times New Roman"/>
        </w:rPr>
      </w:pPr>
      <w:r w:rsidRPr="00ED44DE">
        <w:rPr>
          <w:rFonts w:cs="Times New Roman"/>
        </w:rPr>
        <w:t xml:space="preserve">In the variance component model, GCA was not significant for biomass yield, </w:t>
      </w:r>
      <w:r w:rsidR="0095454C">
        <w:rPr>
          <w:rFonts w:cs="Times New Roman"/>
        </w:rPr>
        <w:t>predicted ethanol yield</w:t>
      </w:r>
      <w:r w:rsidRPr="00ED44DE">
        <w:rPr>
          <w:rFonts w:cs="Times New Roman"/>
        </w:rPr>
        <w:t xml:space="preserve">, fall height, tiller number, </w:t>
      </w:r>
      <w:r w:rsidR="00B8390A">
        <w:rPr>
          <w:rFonts w:cs="Times New Roman"/>
        </w:rPr>
        <w:t>leaf width</w:t>
      </w:r>
      <w:r w:rsidRPr="00ED44DE">
        <w:rPr>
          <w:rFonts w:cs="Times New Roman"/>
        </w:rPr>
        <w:t xml:space="preserve">, or </w:t>
      </w:r>
      <w:r w:rsidR="00DA675F">
        <w:rPr>
          <w:rFonts w:cs="Times New Roman"/>
        </w:rPr>
        <w:t>canopy density</w:t>
      </w:r>
      <w:r w:rsidRPr="00ED44DE">
        <w:rPr>
          <w:rFonts w:cs="Times New Roman"/>
        </w:rPr>
        <w:t>,</w:t>
      </w:r>
      <w:r w:rsidR="00F42789">
        <w:rPr>
          <w:rFonts w:cs="Times New Roman"/>
        </w:rPr>
        <w:t xml:space="preserve"> indicating the variance </w:t>
      </w:r>
      <w:r w:rsidR="00F42789">
        <w:rPr>
          <w:rFonts w:cs="Times New Roman"/>
        </w:rPr>
        <w:lastRenderedPageBreak/>
        <w:t xml:space="preserve">contributed by these lines did not differ from zero. </w:t>
      </w:r>
      <w:r w:rsidR="000B7ED3">
        <w:rPr>
          <w:rFonts w:cs="Times New Roman"/>
        </w:rPr>
        <w:t>Specific</w:t>
      </w:r>
      <w:r w:rsidR="00F42789">
        <w:rPr>
          <w:rFonts w:cs="Times New Roman"/>
        </w:rPr>
        <w:t xml:space="preserve"> combining ability </w:t>
      </w:r>
      <w:r w:rsidRPr="00ED44DE">
        <w:rPr>
          <w:rFonts w:cs="Times New Roman"/>
        </w:rPr>
        <w:t xml:space="preserve">was significant, indicating a high amount of dominance variation relative to additive variation for the genes controlling these traits. This indicates hybrid development may be more effective at improving these traits as opposed to current breeding methods of recurrent selection to develop improved open-pollinated populations and synthetics. Significant GCA and SCA effects were shown for spring height, </w:t>
      </w:r>
      <w:r w:rsidR="00DB61CB">
        <w:rPr>
          <w:rFonts w:cs="Times New Roman"/>
        </w:rPr>
        <w:t>plant color</w:t>
      </w:r>
      <w:r w:rsidRPr="00ED44DE">
        <w:rPr>
          <w:rFonts w:cs="Times New Roman"/>
        </w:rPr>
        <w:t>, leaf angle, and tiller diameter. For these traits, additive variation accounted for a larger proportion of the total genetic variation, indicating current methods of cultivar development will be effective. The significant amount of dominance genetic variation for these traits indicates hybrid development would also be effective. Narrow sense heritability values for biomass yield</w:t>
      </w:r>
      <w:r w:rsidR="00DB61CB">
        <w:rPr>
          <w:rFonts w:cs="Times New Roman"/>
        </w:rPr>
        <w:t xml:space="preserve"> were low</w:t>
      </w:r>
      <w:r w:rsidRPr="00ED44DE">
        <w:rPr>
          <w:rFonts w:cs="Times New Roman"/>
        </w:rPr>
        <w:t xml:space="preserve">, which was expected based on results from previous studies. For traits where dominance variation accounted </w:t>
      </w:r>
      <w:r w:rsidRPr="00ED44DE">
        <w:rPr>
          <w:rFonts w:eastAsiaTheme="minorHAnsi" w:cs="Times New Roman"/>
        </w:rPr>
        <w:t xml:space="preserve">for a greater portion of the total genetic variation, including </w:t>
      </w:r>
      <w:r w:rsidR="0095454C">
        <w:rPr>
          <w:rFonts w:cs="Times New Roman"/>
        </w:rPr>
        <w:t>predicted ethanol yield</w:t>
      </w:r>
      <w:r w:rsidRPr="00ED44DE">
        <w:rPr>
          <w:rFonts w:cs="Times New Roman"/>
        </w:rPr>
        <w:t>, f</w:t>
      </w:r>
      <w:r w:rsidRPr="00ED44DE">
        <w:rPr>
          <w:rFonts w:eastAsiaTheme="minorHAnsi" w:cs="Times New Roman"/>
        </w:rPr>
        <w:t xml:space="preserve">all </w:t>
      </w:r>
      <w:r w:rsidRPr="00ED44DE">
        <w:rPr>
          <w:rFonts w:cs="Times New Roman"/>
        </w:rPr>
        <w:t>h</w:t>
      </w:r>
      <w:r w:rsidRPr="00ED44DE">
        <w:rPr>
          <w:rFonts w:eastAsiaTheme="minorHAnsi" w:cs="Times New Roman"/>
        </w:rPr>
        <w:t>eight</w:t>
      </w:r>
      <w:r w:rsidRPr="00ED44DE">
        <w:rPr>
          <w:rFonts w:cs="Times New Roman"/>
        </w:rPr>
        <w:t xml:space="preserve">, </w:t>
      </w:r>
      <w:r w:rsidR="00DA675F">
        <w:rPr>
          <w:rFonts w:cs="Times New Roman"/>
        </w:rPr>
        <w:t>canopy density</w:t>
      </w:r>
      <w:r w:rsidRPr="00ED44DE">
        <w:rPr>
          <w:rFonts w:cs="Times New Roman"/>
        </w:rPr>
        <w:t xml:space="preserve">, and tiller number, narrow sense heritability values were low, ranging from 0.13 to 0.21. For traits </w:t>
      </w:r>
      <w:r w:rsidRPr="00ED44DE">
        <w:rPr>
          <w:rFonts w:eastAsiaTheme="minorHAnsi" w:cs="Times New Roman"/>
        </w:rPr>
        <w:t xml:space="preserve">where additive variation accounted for a greater portion of the total genetic variation, including </w:t>
      </w:r>
      <w:r w:rsidRPr="00ED44DE">
        <w:rPr>
          <w:rFonts w:cs="Times New Roman"/>
        </w:rPr>
        <w:t>s</w:t>
      </w:r>
      <w:r w:rsidRPr="00ED44DE">
        <w:rPr>
          <w:rFonts w:eastAsiaTheme="minorHAnsi" w:cs="Times New Roman"/>
        </w:rPr>
        <w:t xml:space="preserve">pring </w:t>
      </w:r>
      <w:r w:rsidRPr="00ED44DE">
        <w:rPr>
          <w:rFonts w:cs="Times New Roman"/>
        </w:rPr>
        <w:t>h</w:t>
      </w:r>
      <w:r w:rsidRPr="00ED44DE">
        <w:rPr>
          <w:rFonts w:eastAsiaTheme="minorHAnsi" w:cs="Times New Roman"/>
        </w:rPr>
        <w:t xml:space="preserve">eight, </w:t>
      </w:r>
      <w:r w:rsidR="00DB61CB">
        <w:rPr>
          <w:rFonts w:eastAsiaTheme="minorHAnsi" w:cs="Times New Roman"/>
        </w:rPr>
        <w:t>plant color</w:t>
      </w:r>
      <w:r w:rsidRPr="00ED44DE">
        <w:rPr>
          <w:rFonts w:eastAsiaTheme="minorHAnsi" w:cs="Times New Roman"/>
        </w:rPr>
        <w:t xml:space="preserve">, </w:t>
      </w:r>
      <w:r w:rsidRPr="00ED44DE">
        <w:rPr>
          <w:rFonts w:cs="Times New Roman"/>
        </w:rPr>
        <w:t>l</w:t>
      </w:r>
      <w:r w:rsidRPr="00ED44DE">
        <w:rPr>
          <w:rFonts w:eastAsiaTheme="minorHAnsi" w:cs="Times New Roman"/>
        </w:rPr>
        <w:t xml:space="preserve">eaf </w:t>
      </w:r>
      <w:r w:rsidRPr="00ED44DE">
        <w:rPr>
          <w:rFonts w:cs="Times New Roman"/>
        </w:rPr>
        <w:t>a</w:t>
      </w:r>
      <w:r w:rsidRPr="00ED44DE">
        <w:rPr>
          <w:rFonts w:eastAsiaTheme="minorHAnsi" w:cs="Times New Roman"/>
        </w:rPr>
        <w:t xml:space="preserve">ngle, </w:t>
      </w:r>
      <w:r w:rsidR="009C1A48">
        <w:rPr>
          <w:rFonts w:cs="Times New Roman"/>
        </w:rPr>
        <w:t>rust severity</w:t>
      </w:r>
      <w:r w:rsidRPr="00ED44DE">
        <w:rPr>
          <w:rFonts w:cs="Times New Roman"/>
        </w:rPr>
        <w:t xml:space="preserve"> Aug., </w:t>
      </w:r>
      <w:r w:rsidR="009C1A48">
        <w:rPr>
          <w:rFonts w:cs="Times New Roman"/>
        </w:rPr>
        <w:t>rust severity</w:t>
      </w:r>
      <w:r w:rsidRPr="00ED44DE">
        <w:rPr>
          <w:rFonts w:cs="Times New Roman"/>
        </w:rPr>
        <w:t xml:space="preserve"> Oct., and tiller d</w:t>
      </w:r>
      <w:r w:rsidRPr="00ED44DE">
        <w:rPr>
          <w:rFonts w:eastAsiaTheme="minorHAnsi" w:cs="Times New Roman"/>
        </w:rPr>
        <w:t>iameter</w:t>
      </w:r>
      <w:r w:rsidRPr="00ED44DE">
        <w:rPr>
          <w:rFonts w:cs="Times New Roman"/>
        </w:rPr>
        <w:t>, narrow sense heritability values were higher, ranging from 0.22 to 0.50.</w:t>
      </w:r>
      <w:r w:rsidR="00DB61CB">
        <w:rPr>
          <w:rFonts w:cs="Times New Roman"/>
        </w:rPr>
        <w:t xml:space="preserve"> The ratio of additive to dominance variation varied widely across traits indicating methods of cultivar improvement may be tailored specifically to the traits a breeder wishes to focus on improving</w:t>
      </w:r>
      <w:r w:rsidR="00954DB7">
        <w:rPr>
          <w:rFonts w:cs="Times New Roman"/>
        </w:rPr>
        <w:t xml:space="preserve">. </w:t>
      </w:r>
    </w:p>
    <w:p w14:paraId="21434AA7" w14:textId="0E547F36" w:rsidR="00596A40" w:rsidRDefault="00596A40" w:rsidP="00596A40">
      <w:pPr>
        <w:ind w:firstLine="720"/>
        <w:rPr>
          <w:rFonts w:cs="Times New Roman"/>
        </w:rPr>
      </w:pPr>
      <w:r>
        <w:rPr>
          <w:rFonts w:cs="Times New Roman"/>
        </w:rPr>
        <w:t>Based on results for GCA values, a</w:t>
      </w:r>
      <w:r w:rsidRPr="00ED44DE">
        <w:rPr>
          <w:rFonts w:eastAsiaTheme="minorHAnsi" w:cs="Times New Roman"/>
        </w:rPr>
        <w:t xml:space="preserve">cross traits, the A1 and A10 </w:t>
      </w:r>
      <w:r w:rsidR="00DB61CB">
        <w:rPr>
          <w:rFonts w:eastAsiaTheme="minorHAnsi" w:cs="Times New Roman"/>
        </w:rPr>
        <w:t xml:space="preserve">parental </w:t>
      </w:r>
      <w:r w:rsidRPr="00ED44DE">
        <w:rPr>
          <w:rFonts w:eastAsiaTheme="minorHAnsi" w:cs="Times New Roman"/>
        </w:rPr>
        <w:t xml:space="preserve">lines were the most promising, with A1 exhibiting positive GCA values for biomass yield, fall height, spring height, tiller number, tiller diameter, and </w:t>
      </w:r>
      <w:r w:rsidR="00B8390A">
        <w:rPr>
          <w:rFonts w:eastAsiaTheme="minorHAnsi" w:cs="Times New Roman"/>
        </w:rPr>
        <w:t>leaf width</w:t>
      </w:r>
      <w:r w:rsidRPr="00ED44DE">
        <w:rPr>
          <w:rFonts w:eastAsiaTheme="minorHAnsi" w:cs="Times New Roman"/>
        </w:rPr>
        <w:t xml:space="preserve"> and negative GCA values for </w:t>
      </w:r>
      <w:r w:rsidR="009C1A48">
        <w:rPr>
          <w:rFonts w:eastAsiaTheme="minorHAnsi" w:cs="Times New Roman"/>
        </w:rPr>
        <w:t>rust severity</w:t>
      </w:r>
      <w:r w:rsidRPr="00ED44DE">
        <w:rPr>
          <w:rFonts w:eastAsiaTheme="minorHAnsi" w:cs="Times New Roman"/>
        </w:rPr>
        <w:t xml:space="preserve">. This line did have a negative GCA value for </w:t>
      </w:r>
      <w:r w:rsidR="0095454C">
        <w:rPr>
          <w:rFonts w:eastAsiaTheme="minorHAnsi" w:cs="Times New Roman"/>
        </w:rPr>
        <w:t>predicted ethanol yield</w:t>
      </w:r>
      <w:r w:rsidRPr="00ED44DE">
        <w:rPr>
          <w:rFonts w:eastAsiaTheme="minorHAnsi" w:cs="Times New Roman"/>
        </w:rPr>
        <w:t>, however. The A10</w:t>
      </w:r>
      <w:r w:rsidR="00DB61CB">
        <w:rPr>
          <w:rFonts w:eastAsiaTheme="minorHAnsi" w:cs="Times New Roman"/>
        </w:rPr>
        <w:t xml:space="preserve"> parental</w:t>
      </w:r>
      <w:r w:rsidRPr="00ED44DE">
        <w:rPr>
          <w:rFonts w:eastAsiaTheme="minorHAnsi" w:cs="Times New Roman"/>
        </w:rPr>
        <w:t xml:space="preserve"> line also had positive GCA values for biomass yield, fall height, spring height, tiller number, </w:t>
      </w:r>
      <w:r w:rsidR="00B8390A">
        <w:rPr>
          <w:rFonts w:eastAsiaTheme="minorHAnsi" w:cs="Times New Roman"/>
        </w:rPr>
        <w:t xml:space="preserve">leaf </w:t>
      </w:r>
      <w:r w:rsidR="00B8390A">
        <w:rPr>
          <w:rFonts w:eastAsiaTheme="minorHAnsi" w:cs="Times New Roman"/>
        </w:rPr>
        <w:lastRenderedPageBreak/>
        <w:t>width</w:t>
      </w:r>
      <w:r w:rsidRPr="00ED44DE">
        <w:rPr>
          <w:rFonts w:eastAsiaTheme="minorHAnsi" w:cs="Times New Roman"/>
        </w:rPr>
        <w:t xml:space="preserve">, and </w:t>
      </w:r>
      <w:r w:rsidR="00DA675F">
        <w:rPr>
          <w:rFonts w:eastAsiaTheme="minorHAnsi" w:cs="Times New Roman"/>
        </w:rPr>
        <w:t>canopy density</w:t>
      </w:r>
      <w:r w:rsidRPr="00ED44DE">
        <w:rPr>
          <w:rFonts w:eastAsiaTheme="minorHAnsi" w:cs="Times New Roman"/>
        </w:rPr>
        <w:t xml:space="preserve">. While it had a GCA value of 0 for </w:t>
      </w:r>
      <w:r w:rsidR="0095454C">
        <w:rPr>
          <w:rFonts w:eastAsiaTheme="minorHAnsi" w:cs="Times New Roman"/>
        </w:rPr>
        <w:t>predicted ethanol yield</w:t>
      </w:r>
      <w:r w:rsidRPr="00ED44DE">
        <w:rPr>
          <w:rFonts w:eastAsiaTheme="minorHAnsi" w:cs="Times New Roman"/>
        </w:rPr>
        <w:t>, it did have</w:t>
      </w:r>
      <w:r w:rsidR="00197B57">
        <w:rPr>
          <w:rFonts w:eastAsiaTheme="minorHAnsi" w:cs="Times New Roman"/>
        </w:rPr>
        <w:t xml:space="preserve"> significant</w:t>
      </w:r>
      <w:r w:rsidRPr="00ED44DE">
        <w:rPr>
          <w:rFonts w:eastAsiaTheme="minorHAnsi" w:cs="Times New Roman"/>
        </w:rPr>
        <w:t xml:space="preserve"> positive GCA values for </w:t>
      </w:r>
      <w:r w:rsidR="009C1A48">
        <w:rPr>
          <w:rFonts w:eastAsiaTheme="minorHAnsi" w:cs="Times New Roman"/>
        </w:rPr>
        <w:t>rust severity</w:t>
      </w:r>
      <w:r w:rsidR="00197B57">
        <w:rPr>
          <w:rFonts w:eastAsiaTheme="minorHAnsi" w:cs="Times New Roman"/>
        </w:rPr>
        <w:t xml:space="preserve"> in Aug. 2013</w:t>
      </w:r>
      <w:r w:rsidRPr="00ED44DE">
        <w:rPr>
          <w:rFonts w:eastAsiaTheme="minorHAnsi" w:cs="Times New Roman"/>
        </w:rPr>
        <w:t xml:space="preserve">, indicating higher than average </w:t>
      </w:r>
      <w:r w:rsidR="009C1A48">
        <w:rPr>
          <w:rFonts w:eastAsiaTheme="minorHAnsi" w:cs="Times New Roman"/>
        </w:rPr>
        <w:t>rust severity</w:t>
      </w:r>
      <w:r w:rsidRPr="00ED44DE">
        <w:rPr>
          <w:rFonts w:eastAsiaTheme="minorHAnsi" w:cs="Times New Roman"/>
        </w:rPr>
        <w:t xml:space="preserve"> on </w:t>
      </w:r>
      <w:r w:rsidR="00DB61CB">
        <w:rPr>
          <w:rFonts w:eastAsiaTheme="minorHAnsi" w:cs="Times New Roman"/>
        </w:rPr>
        <w:t>F1 populations</w:t>
      </w:r>
      <w:r w:rsidRPr="00ED44DE">
        <w:rPr>
          <w:rFonts w:eastAsiaTheme="minorHAnsi" w:cs="Times New Roman"/>
        </w:rPr>
        <w:t xml:space="preserve"> within this </w:t>
      </w:r>
      <w:r w:rsidR="00DB61CB">
        <w:rPr>
          <w:rFonts w:eastAsiaTheme="minorHAnsi" w:cs="Times New Roman"/>
        </w:rPr>
        <w:t xml:space="preserve">parental </w:t>
      </w:r>
      <w:r w:rsidRPr="00ED44DE">
        <w:rPr>
          <w:rFonts w:eastAsiaTheme="minorHAnsi" w:cs="Times New Roman"/>
        </w:rPr>
        <w:t xml:space="preserve">line. The Alamo </w:t>
      </w:r>
      <w:r w:rsidR="00DB61CB">
        <w:rPr>
          <w:rFonts w:eastAsiaTheme="minorHAnsi" w:cs="Times New Roman"/>
        </w:rPr>
        <w:t xml:space="preserve">parental </w:t>
      </w:r>
      <w:r w:rsidRPr="00ED44DE">
        <w:rPr>
          <w:rFonts w:eastAsiaTheme="minorHAnsi" w:cs="Times New Roman"/>
        </w:rPr>
        <w:t xml:space="preserve">line, T4, also showed promise with positive GCA values for biomass yield, fall height, tiller number and </w:t>
      </w:r>
      <w:r w:rsidR="00DA675F">
        <w:rPr>
          <w:rFonts w:eastAsiaTheme="minorHAnsi" w:cs="Times New Roman"/>
        </w:rPr>
        <w:t>canopy density</w:t>
      </w:r>
      <w:r w:rsidRPr="00ED44DE">
        <w:rPr>
          <w:rFonts w:eastAsiaTheme="minorHAnsi" w:cs="Times New Roman"/>
        </w:rPr>
        <w:t xml:space="preserve">. </w:t>
      </w:r>
      <w:r w:rsidR="0095454C">
        <w:rPr>
          <w:rFonts w:eastAsiaTheme="minorHAnsi" w:cs="Times New Roman"/>
        </w:rPr>
        <w:t>Predicted ethanol yield</w:t>
      </w:r>
      <w:r w:rsidRPr="00ED44DE">
        <w:rPr>
          <w:rFonts w:eastAsiaTheme="minorHAnsi" w:cs="Times New Roman"/>
        </w:rPr>
        <w:t xml:space="preserve"> was not evaluated for this line.</w:t>
      </w:r>
      <w:r>
        <w:rPr>
          <w:rFonts w:cs="Times New Roman"/>
        </w:rPr>
        <w:t xml:space="preserve"> Significant positive SCA values were identified for each trait evaluated, except </w:t>
      </w:r>
      <w:r w:rsidR="0095454C">
        <w:rPr>
          <w:rFonts w:cs="Times New Roman"/>
        </w:rPr>
        <w:t>predicted ethanol yield</w:t>
      </w:r>
      <w:r>
        <w:rPr>
          <w:rFonts w:cs="Times New Roman"/>
        </w:rPr>
        <w:t xml:space="preserve">, for which only a negative SCA value was identified. Significant maternal effects were also identified. </w:t>
      </w:r>
      <w:r w:rsidRPr="00ED44DE">
        <w:rPr>
          <w:rFonts w:cs="Times New Roman"/>
        </w:rPr>
        <w:t>For biomass yield and height, the crosses T1</w:t>
      </w:r>
      <w:r w:rsidR="00DB61CB">
        <w:rPr>
          <w:rFonts w:cs="Times New Roman"/>
        </w:rPr>
        <w:t>x</w:t>
      </w:r>
      <w:r w:rsidRPr="00ED44DE">
        <w:rPr>
          <w:rFonts w:cs="Times New Roman"/>
        </w:rPr>
        <w:t>M, K2</w:t>
      </w:r>
      <w:r w:rsidR="00DB61CB">
        <w:rPr>
          <w:rFonts w:cs="Times New Roman"/>
        </w:rPr>
        <w:t>x</w:t>
      </w:r>
      <w:r w:rsidRPr="00ED44DE">
        <w:rPr>
          <w:rFonts w:cs="Times New Roman"/>
        </w:rPr>
        <w:t>T1, A10</w:t>
      </w:r>
      <w:r w:rsidR="00DB61CB">
        <w:rPr>
          <w:rFonts w:cs="Times New Roman"/>
        </w:rPr>
        <w:t>x</w:t>
      </w:r>
      <w:r w:rsidRPr="00ED44DE">
        <w:rPr>
          <w:rFonts w:cs="Times New Roman"/>
        </w:rPr>
        <w:t>M, and A10</w:t>
      </w:r>
      <w:r w:rsidR="00DB61CB">
        <w:rPr>
          <w:rFonts w:cs="Times New Roman"/>
        </w:rPr>
        <w:t>x</w:t>
      </w:r>
      <w:r w:rsidRPr="00ED44DE">
        <w:rPr>
          <w:rFonts w:cs="Times New Roman"/>
        </w:rPr>
        <w:t xml:space="preserve">AS all had significant maternal effects and significant positive SCA values. Across all traits except </w:t>
      </w:r>
      <w:r w:rsidR="0095454C">
        <w:rPr>
          <w:rFonts w:cs="Times New Roman"/>
        </w:rPr>
        <w:t>predicted ethanol yield</w:t>
      </w:r>
      <w:r w:rsidRPr="00ED44DE">
        <w:rPr>
          <w:rFonts w:cs="Times New Roman"/>
        </w:rPr>
        <w:t>, the cross T1</w:t>
      </w:r>
      <w:r w:rsidR="00DB61CB">
        <w:rPr>
          <w:rFonts w:cs="Times New Roman"/>
        </w:rPr>
        <w:t>x</w:t>
      </w:r>
      <w:r w:rsidRPr="00ED44DE">
        <w:rPr>
          <w:rFonts w:cs="Times New Roman"/>
        </w:rPr>
        <w:t>M had a significant positive SCA value and showed a significant maternal effect</w:t>
      </w:r>
      <w:r w:rsidR="00DB61CB">
        <w:rPr>
          <w:rFonts w:cs="Times New Roman"/>
        </w:rPr>
        <w:t>, with T1 as the female res</w:t>
      </w:r>
      <w:r w:rsidR="00197B57">
        <w:rPr>
          <w:rFonts w:cs="Times New Roman"/>
        </w:rPr>
        <w:t>ulting in the highest SCA value</w:t>
      </w:r>
      <w:r w:rsidRPr="00ED44DE">
        <w:rPr>
          <w:rFonts w:cs="Times New Roman"/>
        </w:rPr>
        <w:t xml:space="preserve">. Although not exhibiting a significant positive SCA value, this cross did have a positive SCA value for </w:t>
      </w:r>
      <w:r w:rsidR="0095454C">
        <w:rPr>
          <w:rFonts w:cs="Times New Roman"/>
        </w:rPr>
        <w:t>predicted ethanol yield</w:t>
      </w:r>
      <w:r w:rsidRPr="00ED44DE">
        <w:rPr>
          <w:rFonts w:cs="Times New Roman"/>
        </w:rPr>
        <w:t xml:space="preserve"> as well.</w:t>
      </w:r>
      <w:r>
        <w:rPr>
          <w:rFonts w:cs="Times New Roman"/>
        </w:rPr>
        <w:t xml:space="preserve"> These results are important for identifying favorable nuclear genes and parents ideal for seed production. </w:t>
      </w:r>
    </w:p>
    <w:p w14:paraId="2D93A091" w14:textId="6B173DAC" w:rsidR="00596A40" w:rsidRDefault="00596A40" w:rsidP="00596A40">
      <w:pPr>
        <w:ind w:firstLine="720"/>
        <w:rPr>
          <w:rFonts w:cs="Times New Roman"/>
        </w:rPr>
      </w:pPr>
      <w:r>
        <w:rPr>
          <w:rFonts w:cs="Times New Roman"/>
        </w:rPr>
        <w:t xml:space="preserve">Within each trait evaluated, crosses were identified exhibiting high parent heterosis. Crosses exhibiting high parent heterosis across both years of evaluations included 25 </w:t>
      </w:r>
      <w:r w:rsidR="00AE274B">
        <w:rPr>
          <w:rFonts w:cs="Times New Roman"/>
        </w:rPr>
        <w:t xml:space="preserve">out of 56 </w:t>
      </w:r>
      <w:r>
        <w:rPr>
          <w:rFonts w:cs="Times New Roman"/>
        </w:rPr>
        <w:t xml:space="preserve">crosses for biomass yield, 18 crosses for fall height, six crosses for spring height, three crosses for tiller diameter, 36 crosses for tiller number, and one cross for </w:t>
      </w:r>
      <w:r w:rsidR="00B8390A">
        <w:rPr>
          <w:rFonts w:cs="Times New Roman"/>
        </w:rPr>
        <w:t>leaf width</w:t>
      </w:r>
      <w:r w:rsidR="00197B57">
        <w:rPr>
          <w:rFonts w:cs="Times New Roman"/>
        </w:rPr>
        <w:t xml:space="preserve">. </w:t>
      </w:r>
      <w:r w:rsidRPr="00435EE8">
        <w:rPr>
          <w:rFonts w:cs="Times New Roman"/>
        </w:rPr>
        <w:t>For the majority of traits analyzed, in proportion to the number of each combinations evaluated, Alamo by Alamo, Alamo by Kanlow, and Alamo by Miami combinations had the most crosses exhibiting high parent heterosis.</w:t>
      </w:r>
      <w:r>
        <w:rPr>
          <w:rFonts w:cs="Times New Roman"/>
        </w:rPr>
        <w:t xml:space="preserve"> These results suggest that the diversity within the cultivar Alamo and between the cultivars Alamo and Kanlow and Alamo and Miami may be sufficient to exploit for use in developing high yielding hybrid cultivars. </w:t>
      </w:r>
    </w:p>
    <w:p w14:paraId="1383A17C" w14:textId="7FBBA8FD" w:rsidR="00596A40" w:rsidRDefault="00596A40" w:rsidP="00596A40">
      <w:pPr>
        <w:ind w:firstLine="720"/>
        <w:rPr>
          <w:rFonts w:cs="Times New Roman"/>
        </w:rPr>
      </w:pPr>
      <w:r>
        <w:rPr>
          <w:rFonts w:cs="Times New Roman"/>
        </w:rPr>
        <w:lastRenderedPageBreak/>
        <w:t xml:space="preserve">Examination of early selection potential for biomass yield and </w:t>
      </w:r>
      <w:r w:rsidR="0095454C">
        <w:rPr>
          <w:rFonts w:cs="Times New Roman"/>
        </w:rPr>
        <w:t>predicted ethanol yield</w:t>
      </w:r>
      <w:r>
        <w:rPr>
          <w:rFonts w:cs="Times New Roman"/>
        </w:rPr>
        <w:t xml:space="preserve"> indicated juvenile selection at 8 weeks was not effective at selecting high biomass </w:t>
      </w:r>
      <w:r w:rsidR="00DB2487">
        <w:rPr>
          <w:rFonts w:cs="Times New Roman"/>
        </w:rPr>
        <w:t>F1 populations</w:t>
      </w:r>
      <w:r>
        <w:rPr>
          <w:rFonts w:cs="Times New Roman"/>
        </w:rPr>
        <w:t xml:space="preserve"> or crosses, however, selection in 2012, the establishment year was effective at selecting high biomass and high </w:t>
      </w:r>
      <w:r w:rsidR="0095454C">
        <w:rPr>
          <w:rFonts w:cs="Times New Roman"/>
        </w:rPr>
        <w:t>predicted ethanol yield</w:t>
      </w:r>
      <w:r>
        <w:rPr>
          <w:rFonts w:cs="Times New Roman"/>
        </w:rPr>
        <w:t xml:space="preserve">ing </w:t>
      </w:r>
      <w:r w:rsidR="00DB2487">
        <w:rPr>
          <w:rFonts w:cs="Times New Roman"/>
        </w:rPr>
        <w:t>F1 populations</w:t>
      </w:r>
      <w:r>
        <w:rPr>
          <w:rFonts w:cs="Times New Roman"/>
        </w:rPr>
        <w:t xml:space="preserve"> and crosses selected in the establishment year did not differ significantly in second year yield from crosses selected in the second year. </w:t>
      </w:r>
      <w:r w:rsidR="007362F5">
        <w:rPr>
          <w:rFonts w:cs="Times New Roman"/>
        </w:rPr>
        <w:t xml:space="preserve">70% of the crosses selected for biomass yield in the first year matched crosses selected in the second year, however, only 30% of crosses selected </w:t>
      </w:r>
      <w:r w:rsidR="000B7ED3">
        <w:rPr>
          <w:rFonts w:cs="Times New Roman"/>
        </w:rPr>
        <w:t>for</w:t>
      </w:r>
      <w:r w:rsidR="007362F5">
        <w:rPr>
          <w:rFonts w:cs="Times New Roman"/>
        </w:rPr>
        <w:t xml:space="preserve"> predicted ethanol yield remained the same in selection from the first and second year</w:t>
      </w:r>
      <w:r w:rsidR="00954DB7">
        <w:rPr>
          <w:rFonts w:cs="Times New Roman"/>
        </w:rPr>
        <w:t xml:space="preserve">. </w:t>
      </w:r>
      <w:r w:rsidR="007362F5">
        <w:rPr>
          <w:rFonts w:cs="Times New Roman"/>
        </w:rPr>
        <w:t>These results again indicate selection in the establishment year for biomass yield may be effective while selections for ethanol yield may be more effective when evaluated across multiple years. Selections for biomass yield in the</w:t>
      </w:r>
      <w:r w:rsidRPr="00435EE8">
        <w:rPr>
          <w:rFonts w:cs="Times New Roman"/>
        </w:rPr>
        <w:t xml:space="preserve"> establishment year </w:t>
      </w:r>
      <w:r w:rsidR="00CA2406">
        <w:rPr>
          <w:rFonts w:cs="Times New Roman"/>
        </w:rPr>
        <w:t>could result</w:t>
      </w:r>
      <w:r w:rsidRPr="00435EE8">
        <w:rPr>
          <w:rFonts w:cs="Times New Roman"/>
        </w:rPr>
        <w:t xml:space="preserve"> in savings of time, labor, and space in switchgrass breeding endeavors</w:t>
      </w:r>
      <w:r w:rsidR="00954DB7">
        <w:rPr>
          <w:rFonts w:cs="Times New Roman"/>
        </w:rPr>
        <w:t xml:space="preserve">. </w:t>
      </w:r>
      <w:r w:rsidRPr="00435EE8">
        <w:rPr>
          <w:rFonts w:cs="Times New Roman"/>
        </w:rPr>
        <w:t xml:space="preserve">    </w:t>
      </w:r>
    </w:p>
    <w:p w14:paraId="4FDB4EAD" w14:textId="60C01D36" w:rsidR="00596A40" w:rsidRPr="00197B57" w:rsidRDefault="00596A40" w:rsidP="00197B57">
      <w:pPr>
        <w:ind w:firstLine="720"/>
        <w:rPr>
          <w:rFonts w:cs="Times New Roman"/>
        </w:rPr>
      </w:pPr>
      <w:r>
        <w:rPr>
          <w:rFonts w:cs="Times New Roman"/>
        </w:rPr>
        <w:t>Overall, the results from this study provide switchgrass breeders with information that can make breeding efforts more efficient</w:t>
      </w:r>
      <w:r w:rsidR="00954DB7">
        <w:rPr>
          <w:rFonts w:cs="Times New Roman"/>
        </w:rPr>
        <w:t xml:space="preserve">. </w:t>
      </w:r>
      <w:r w:rsidR="00197B57">
        <w:rPr>
          <w:rFonts w:cs="Times New Roman"/>
        </w:rPr>
        <w:t>I</w:t>
      </w:r>
      <w:r>
        <w:rPr>
          <w:rFonts w:cs="Times New Roman"/>
        </w:rPr>
        <w:t xml:space="preserve">dentifying traits that are highly correlated to the primary traits of interest, biomass yield and </w:t>
      </w:r>
      <w:r w:rsidR="0095454C">
        <w:rPr>
          <w:rFonts w:cs="Times New Roman"/>
        </w:rPr>
        <w:t>predicted ethanol yield</w:t>
      </w:r>
      <w:r>
        <w:rPr>
          <w:rFonts w:cs="Times New Roman"/>
        </w:rPr>
        <w:t xml:space="preserve">, </w:t>
      </w:r>
      <w:r w:rsidR="00197B57">
        <w:rPr>
          <w:rFonts w:cs="Times New Roman"/>
        </w:rPr>
        <w:t xml:space="preserve">helps breeders identify indirect selectors for these </w:t>
      </w:r>
      <w:r w:rsidR="00CA2406">
        <w:rPr>
          <w:rFonts w:cs="Times New Roman"/>
        </w:rPr>
        <w:t>traits</w:t>
      </w:r>
      <w:r w:rsidR="00197B57">
        <w:rPr>
          <w:rFonts w:cs="Times New Roman"/>
        </w:rPr>
        <w:t>. C</w:t>
      </w:r>
      <w:r>
        <w:rPr>
          <w:rFonts w:cs="Times New Roman"/>
        </w:rPr>
        <w:t xml:space="preserve">alculating the proportion of additive and dominance </w:t>
      </w:r>
      <w:r w:rsidR="00197B57">
        <w:rPr>
          <w:rFonts w:cs="Times New Roman"/>
        </w:rPr>
        <w:t xml:space="preserve">variation for various traits allows </w:t>
      </w:r>
      <w:r>
        <w:rPr>
          <w:rFonts w:cs="Times New Roman"/>
        </w:rPr>
        <w:t xml:space="preserve">breeders </w:t>
      </w:r>
      <w:r w:rsidR="00197B57">
        <w:rPr>
          <w:rFonts w:cs="Times New Roman"/>
        </w:rPr>
        <w:t>to</w:t>
      </w:r>
      <w:r>
        <w:rPr>
          <w:rFonts w:cs="Times New Roman"/>
        </w:rPr>
        <w:t xml:space="preserve"> identify the method of cultivar development that will most effectively exploit the predominant type of g</w:t>
      </w:r>
      <w:r w:rsidR="00197B57">
        <w:rPr>
          <w:rFonts w:cs="Times New Roman"/>
        </w:rPr>
        <w:t>enetic variation for that trait. These results also i</w:t>
      </w:r>
      <w:r w:rsidR="00993E93">
        <w:rPr>
          <w:rFonts w:cs="Times New Roman"/>
        </w:rPr>
        <w:t>dentify</w:t>
      </w:r>
      <w:r>
        <w:rPr>
          <w:rFonts w:cs="Times New Roman"/>
        </w:rPr>
        <w:t xml:space="preserve"> parents with high general combining ability, crosses with high specific combining ability, and crosses for which maternal effects o</w:t>
      </w:r>
      <w:r w:rsidR="007362F5">
        <w:rPr>
          <w:rFonts w:cs="Times New Roman"/>
        </w:rPr>
        <w:t>r heterosis might be exploited. F</w:t>
      </w:r>
      <w:r>
        <w:rPr>
          <w:rFonts w:cs="Times New Roman"/>
        </w:rPr>
        <w:t xml:space="preserve">inally, identifying the efficacy of early selection </w:t>
      </w:r>
      <w:r w:rsidR="00197B57">
        <w:rPr>
          <w:rFonts w:cs="Times New Roman"/>
        </w:rPr>
        <w:t>can help</w:t>
      </w:r>
      <w:r w:rsidR="007362F5">
        <w:rPr>
          <w:rFonts w:cs="Times New Roman"/>
        </w:rPr>
        <w:t xml:space="preserve"> </w:t>
      </w:r>
      <w:r>
        <w:rPr>
          <w:rFonts w:cs="Times New Roman"/>
        </w:rPr>
        <w:t xml:space="preserve">save </w:t>
      </w:r>
      <w:r w:rsidR="000B7ED3">
        <w:rPr>
          <w:rFonts w:cs="Times New Roman"/>
        </w:rPr>
        <w:t>breeders’</w:t>
      </w:r>
      <w:r>
        <w:rPr>
          <w:rFonts w:cs="Times New Roman"/>
        </w:rPr>
        <w:t xml:space="preserve"> time, labor, and space when developing improved switchgrass cultivars</w:t>
      </w:r>
      <w:r w:rsidR="00954DB7">
        <w:rPr>
          <w:rFonts w:cs="Times New Roman"/>
        </w:rPr>
        <w:t xml:space="preserve">. </w:t>
      </w:r>
      <w:r>
        <w:rPr>
          <w:rFonts w:cs="Times New Roman"/>
        </w:rPr>
        <w:t xml:space="preserve"> </w:t>
      </w:r>
      <w:r w:rsidRPr="00435EE8">
        <w:rPr>
          <w:rFonts w:cs="Times New Roman"/>
        </w:rPr>
        <w:t xml:space="preserve"> </w:t>
      </w:r>
      <w:r>
        <w:rPr>
          <w:rFonts w:cs="Times New Roman"/>
        </w:rPr>
        <w:t xml:space="preserve"> </w:t>
      </w:r>
    </w:p>
    <w:p w14:paraId="2B661ABD" w14:textId="77777777" w:rsidR="00596A40" w:rsidRPr="00A9745B" w:rsidRDefault="00596A40" w:rsidP="00596A40">
      <w:pPr>
        <w:ind w:firstLine="720"/>
        <w:rPr>
          <w:rFonts w:eastAsiaTheme="minorHAnsi"/>
        </w:rPr>
      </w:pPr>
    </w:p>
    <w:p w14:paraId="071CA0FA" w14:textId="77777777" w:rsidR="00D07934" w:rsidRDefault="00D07934" w:rsidP="009B24A0">
      <w:pPr>
        <w:pStyle w:val="Heading2"/>
        <w:sectPr w:rsidR="00D07934" w:rsidSect="00794998">
          <w:pgSz w:w="12240" w:h="15840"/>
          <w:pgMar w:top="1440" w:right="1440" w:bottom="1440" w:left="1440" w:header="720" w:footer="720" w:gutter="0"/>
          <w:cols w:space="720"/>
          <w:docGrid w:linePitch="360"/>
        </w:sectPr>
      </w:pPr>
      <w:bookmarkStart w:id="71" w:name="_Toc289175832"/>
      <w:bookmarkStart w:id="72" w:name="_Toc290383542"/>
      <w:bookmarkEnd w:id="62"/>
    </w:p>
    <w:p w14:paraId="705841E7" w14:textId="7BECCAEB" w:rsidR="00A6510F" w:rsidRDefault="00596A40" w:rsidP="009B24A0">
      <w:pPr>
        <w:pStyle w:val="Heading2"/>
      </w:pPr>
      <w:bookmarkStart w:id="73" w:name="_Toc404069848"/>
      <w:r w:rsidRPr="009B24A0">
        <w:lastRenderedPageBreak/>
        <w:t>Appendix</w:t>
      </w:r>
      <w:bookmarkEnd w:id="71"/>
      <w:bookmarkEnd w:id="72"/>
      <w:r w:rsidRPr="009B24A0">
        <w:t xml:space="preserve"> II</w:t>
      </w:r>
      <w:bookmarkEnd w:id="73"/>
    </w:p>
    <w:p w14:paraId="24DE284D" w14:textId="77777777" w:rsidR="00560313" w:rsidRDefault="00A6510F" w:rsidP="00EC28CD">
      <w:pPr>
        <w:pStyle w:val="Heading4"/>
      </w:pPr>
      <w:r>
        <w:br w:type="page"/>
      </w:r>
      <w:bookmarkStart w:id="74" w:name="_Toc401001557"/>
      <w:bookmarkStart w:id="75" w:name="_Toc289175850"/>
      <w:bookmarkStart w:id="76" w:name="_Toc290382804"/>
    </w:p>
    <w:p w14:paraId="5DCB0206" w14:textId="77777777" w:rsidR="00560313" w:rsidRDefault="00560313" w:rsidP="00560313"/>
    <w:p w14:paraId="501990A5" w14:textId="77777777" w:rsidR="00560313" w:rsidRDefault="00560313" w:rsidP="00560313"/>
    <w:p w14:paraId="7FCEFC6E" w14:textId="77777777" w:rsidR="00560313" w:rsidRDefault="00560313" w:rsidP="00560313"/>
    <w:p w14:paraId="42B6F6C8" w14:textId="77777777" w:rsidR="00560313" w:rsidRDefault="00560313" w:rsidP="00560313"/>
    <w:p w14:paraId="0A21DB13" w14:textId="785F3679" w:rsidR="00560313" w:rsidRDefault="00560313" w:rsidP="00EC28CD">
      <w:pPr>
        <w:pStyle w:val="Heading4"/>
      </w:pPr>
      <w:bookmarkStart w:id="77" w:name="_Toc404070386"/>
      <w:r>
        <w:t xml:space="preserve">Figure 2-1: Means by location and year of F1 populations of lowland switchgrass derived from an eight parent diallel cross evaluated at two locations, the Holston unit of the East TN Research and Education Center in Knoxville, TN (HSP) and the Plateau Research and Education Center in Crossville, TN (CSP). Traits evaluated include biomass yield (A), predicted ethanol yield (B), and fall height (C) in 2012 and 2013 and spring height (D), tiller number (E), tiller diameter (F), </w:t>
      </w:r>
      <w:r w:rsidR="00B8390A">
        <w:t>leaf width</w:t>
      </w:r>
      <w:r>
        <w:t xml:space="preserve"> (G), canopy density (H), plant color (I), and leaf angle (J) in 2013 and 2014. Rust severity was evaluated in Oct. 2012 (K) and Aug. 2013 (L). Means were separated using Tukey’s HSD. Means followed by the same letter do not differ significantly (</w:t>
      </w:r>
      <w:r>
        <w:rPr>
          <w:rFonts w:cs="Times New Roman"/>
        </w:rPr>
        <w:t>α</w:t>
      </w:r>
      <w:r>
        <w:t xml:space="preserve"> = 0.05).</w:t>
      </w:r>
      <w:bookmarkEnd w:id="74"/>
      <w:bookmarkEnd w:id="77"/>
    </w:p>
    <w:p w14:paraId="50E4A3FE" w14:textId="77777777" w:rsidR="00560313" w:rsidRDefault="00560313">
      <w:pPr>
        <w:spacing w:line="240" w:lineRule="auto"/>
        <w:rPr>
          <w:rFonts w:eastAsiaTheme="majorEastAsia" w:cstheme="majorBidi"/>
          <w:b/>
          <w:bCs/>
          <w:iCs/>
        </w:rPr>
      </w:pPr>
      <w:r>
        <w:br w:type="page"/>
      </w:r>
    </w:p>
    <w:p w14:paraId="4FDE2C76" w14:textId="77777777" w:rsidR="00560313" w:rsidRDefault="00560313" w:rsidP="00560313">
      <w:pPr>
        <w:spacing w:line="240" w:lineRule="auto"/>
        <w:jc w:val="center"/>
      </w:pPr>
      <w:r>
        <w:rPr>
          <w:noProof/>
        </w:rPr>
        <w:lastRenderedPageBreak/>
        <w:drawing>
          <wp:inline distT="0" distB="0" distL="0" distR="0" wp14:anchorId="18EC8A21" wp14:editId="22C01C48">
            <wp:extent cx="4023360" cy="1371600"/>
            <wp:effectExtent l="0" t="0" r="0" b="0"/>
            <wp:docPr id="1987" name="Chart 19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noProof/>
        </w:rPr>
        <w:drawing>
          <wp:inline distT="0" distB="0" distL="0" distR="0" wp14:anchorId="38ED8E69" wp14:editId="27683A16">
            <wp:extent cx="4023360" cy="1371600"/>
            <wp:effectExtent l="0" t="0" r="0" b="0"/>
            <wp:docPr id="1988" name="Chart 19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95C8C6D" w14:textId="270239C9" w:rsidR="00560313" w:rsidRDefault="00560313" w:rsidP="00560313">
      <w:pPr>
        <w:spacing w:line="240" w:lineRule="auto"/>
        <w:jc w:val="center"/>
      </w:pPr>
      <w:r>
        <w:t>Figure 2-1 A</w:t>
      </w:r>
      <w:r w:rsidR="00954DB7">
        <w:t xml:space="preserve">. </w:t>
      </w:r>
      <w:r>
        <w:t xml:space="preserve">                                                                              Figure 2-1 B.</w:t>
      </w:r>
    </w:p>
    <w:p w14:paraId="03F9BA76" w14:textId="77777777" w:rsidR="00560313" w:rsidRDefault="00560313" w:rsidP="00560313">
      <w:pPr>
        <w:spacing w:line="240" w:lineRule="auto"/>
        <w:jc w:val="center"/>
      </w:pPr>
    </w:p>
    <w:p w14:paraId="2910E540" w14:textId="77777777" w:rsidR="00560313" w:rsidRDefault="00560313" w:rsidP="00560313">
      <w:pPr>
        <w:spacing w:line="240" w:lineRule="auto"/>
        <w:jc w:val="center"/>
      </w:pPr>
    </w:p>
    <w:p w14:paraId="0E83F81C" w14:textId="77777777" w:rsidR="00560313" w:rsidRDefault="00560313" w:rsidP="00560313">
      <w:pPr>
        <w:spacing w:line="240" w:lineRule="auto"/>
        <w:rPr>
          <w:noProof/>
        </w:rPr>
      </w:pPr>
      <w:r>
        <w:rPr>
          <w:noProof/>
        </w:rPr>
        <w:drawing>
          <wp:inline distT="0" distB="0" distL="0" distR="0" wp14:anchorId="398E8E66" wp14:editId="4A3A18D7">
            <wp:extent cx="4023360" cy="1371600"/>
            <wp:effectExtent l="0" t="0" r="0" b="0"/>
            <wp:docPr id="1989" name="Chart 19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D07934">
        <w:rPr>
          <w:noProof/>
        </w:rPr>
        <w:t xml:space="preserve"> </w:t>
      </w:r>
      <w:r>
        <w:rPr>
          <w:noProof/>
        </w:rPr>
        <w:drawing>
          <wp:inline distT="0" distB="0" distL="0" distR="0" wp14:anchorId="041A10A7" wp14:editId="6E9183E4">
            <wp:extent cx="4023360" cy="1371600"/>
            <wp:effectExtent l="0" t="0" r="0" b="0"/>
            <wp:docPr id="1990" name="Chart 19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7D1FAB9" w14:textId="2112974A" w:rsidR="00560313" w:rsidRDefault="00560313" w:rsidP="00560313">
      <w:pPr>
        <w:spacing w:line="240" w:lineRule="auto"/>
        <w:jc w:val="center"/>
      </w:pPr>
      <w:r>
        <w:t>Figure 2-1 C</w:t>
      </w:r>
      <w:r w:rsidR="00954DB7">
        <w:t xml:space="preserve">. </w:t>
      </w:r>
      <w:r>
        <w:t xml:space="preserve">                                                                              Figure 2-1 D.</w:t>
      </w:r>
    </w:p>
    <w:p w14:paraId="1E72FC10" w14:textId="77777777" w:rsidR="00560313" w:rsidRDefault="00560313" w:rsidP="00560313">
      <w:pPr>
        <w:jc w:val="center"/>
      </w:pPr>
    </w:p>
    <w:p w14:paraId="4D8C8005" w14:textId="77777777" w:rsidR="00560313" w:rsidRDefault="00560313" w:rsidP="00560313">
      <w:pPr>
        <w:spacing w:line="240" w:lineRule="auto"/>
        <w:rPr>
          <w:noProof/>
        </w:rPr>
      </w:pPr>
      <w:r>
        <w:rPr>
          <w:noProof/>
        </w:rPr>
        <w:drawing>
          <wp:inline distT="0" distB="0" distL="0" distR="0" wp14:anchorId="74CC8017" wp14:editId="72C2156F">
            <wp:extent cx="4023360" cy="1371600"/>
            <wp:effectExtent l="0" t="0" r="0" b="0"/>
            <wp:docPr id="1991" name="Chart 199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D07934">
        <w:rPr>
          <w:noProof/>
        </w:rPr>
        <w:t xml:space="preserve"> </w:t>
      </w:r>
      <w:r>
        <w:rPr>
          <w:noProof/>
        </w:rPr>
        <w:drawing>
          <wp:inline distT="0" distB="0" distL="0" distR="0" wp14:anchorId="0C8BD291" wp14:editId="0A52F3CA">
            <wp:extent cx="4023360" cy="1371600"/>
            <wp:effectExtent l="0" t="0" r="0" b="0"/>
            <wp:docPr id="1992" name="Chart 199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218208D" w14:textId="54C30C9C" w:rsidR="00560313" w:rsidRDefault="00560313" w:rsidP="00560313">
      <w:pPr>
        <w:spacing w:line="240" w:lineRule="auto"/>
        <w:jc w:val="center"/>
      </w:pPr>
      <w:r>
        <w:t>Figure 2-1 E</w:t>
      </w:r>
      <w:r w:rsidR="00954DB7">
        <w:t xml:space="preserve">. </w:t>
      </w:r>
      <w:r>
        <w:t xml:space="preserve">                                                                              Figure 2-1 F.</w:t>
      </w:r>
    </w:p>
    <w:p w14:paraId="4CFB66F4" w14:textId="77777777" w:rsidR="00560313" w:rsidRDefault="00560313" w:rsidP="00560313">
      <w:pPr>
        <w:jc w:val="center"/>
      </w:pPr>
    </w:p>
    <w:p w14:paraId="12A587CF" w14:textId="77777777" w:rsidR="00560313" w:rsidRDefault="00560313" w:rsidP="00560313">
      <w:pPr>
        <w:spacing w:line="240" w:lineRule="auto"/>
        <w:rPr>
          <w:noProof/>
        </w:rPr>
      </w:pPr>
      <w:r>
        <w:rPr>
          <w:noProof/>
        </w:rPr>
        <w:lastRenderedPageBreak/>
        <w:drawing>
          <wp:inline distT="0" distB="0" distL="0" distR="0" wp14:anchorId="55641A35" wp14:editId="3C0AA749">
            <wp:extent cx="4023360" cy="1371600"/>
            <wp:effectExtent l="0" t="0" r="0" b="0"/>
            <wp:docPr id="1993" name="Chart 199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D07934">
        <w:rPr>
          <w:noProof/>
        </w:rPr>
        <w:t xml:space="preserve"> </w:t>
      </w:r>
      <w:r>
        <w:rPr>
          <w:noProof/>
        </w:rPr>
        <w:drawing>
          <wp:inline distT="0" distB="0" distL="0" distR="0" wp14:anchorId="644AA832" wp14:editId="3BF90D9A">
            <wp:extent cx="4023360" cy="1371600"/>
            <wp:effectExtent l="0" t="0" r="0" b="0"/>
            <wp:docPr id="1994" name="Chart 199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357C7B8" w14:textId="5B4D1596" w:rsidR="00560313" w:rsidRDefault="00560313" w:rsidP="00560313">
      <w:pPr>
        <w:spacing w:line="240" w:lineRule="auto"/>
        <w:jc w:val="center"/>
      </w:pPr>
      <w:r>
        <w:t>Figure 2-1 G</w:t>
      </w:r>
      <w:r w:rsidR="00954DB7">
        <w:t xml:space="preserve">. </w:t>
      </w:r>
      <w:r>
        <w:t xml:space="preserve">                                                                              Figure 2-1 H.</w:t>
      </w:r>
    </w:p>
    <w:p w14:paraId="3F662460" w14:textId="77777777" w:rsidR="00560313" w:rsidRDefault="00560313" w:rsidP="00560313">
      <w:pPr>
        <w:spacing w:line="240" w:lineRule="auto"/>
        <w:jc w:val="center"/>
      </w:pPr>
    </w:p>
    <w:p w14:paraId="0995CE8A" w14:textId="77777777" w:rsidR="00560313" w:rsidRDefault="00560313" w:rsidP="00560313">
      <w:pPr>
        <w:spacing w:line="240" w:lineRule="auto"/>
        <w:jc w:val="center"/>
      </w:pPr>
    </w:p>
    <w:p w14:paraId="53213ECD" w14:textId="77777777" w:rsidR="00560313" w:rsidRDefault="00560313" w:rsidP="00560313">
      <w:pPr>
        <w:spacing w:line="240" w:lineRule="auto"/>
        <w:rPr>
          <w:noProof/>
        </w:rPr>
      </w:pPr>
      <w:r>
        <w:t xml:space="preserve">  </w:t>
      </w:r>
      <w:r>
        <w:rPr>
          <w:noProof/>
        </w:rPr>
        <w:drawing>
          <wp:inline distT="0" distB="0" distL="0" distR="0" wp14:anchorId="2BC7D0CB" wp14:editId="6455F976">
            <wp:extent cx="4023360" cy="1371600"/>
            <wp:effectExtent l="0" t="0" r="0" b="0"/>
            <wp:docPr id="1995" name="Chart 199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CC4719">
        <w:rPr>
          <w:noProof/>
        </w:rPr>
        <w:t xml:space="preserve"> </w:t>
      </w:r>
      <w:r>
        <w:rPr>
          <w:noProof/>
        </w:rPr>
        <w:drawing>
          <wp:inline distT="0" distB="0" distL="0" distR="0" wp14:anchorId="7A636EF9" wp14:editId="1F80BD28">
            <wp:extent cx="4023360" cy="1371600"/>
            <wp:effectExtent l="0" t="0" r="0" b="0"/>
            <wp:docPr id="1996" name="Chart 199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D7320EE" w14:textId="786D8F8C" w:rsidR="00560313" w:rsidRDefault="00560313" w:rsidP="00560313">
      <w:pPr>
        <w:spacing w:line="240" w:lineRule="auto"/>
        <w:jc w:val="center"/>
      </w:pPr>
      <w:r>
        <w:t>Figure 2-1 I</w:t>
      </w:r>
      <w:r w:rsidR="00954DB7">
        <w:t xml:space="preserve">. </w:t>
      </w:r>
      <w:r>
        <w:t xml:space="preserve">                                                                              Figure 2-1 J.</w:t>
      </w:r>
    </w:p>
    <w:p w14:paraId="4C8E555C" w14:textId="77777777" w:rsidR="00560313" w:rsidRDefault="00560313" w:rsidP="00560313">
      <w:pPr>
        <w:spacing w:line="240" w:lineRule="auto"/>
        <w:jc w:val="center"/>
      </w:pPr>
    </w:p>
    <w:p w14:paraId="04C317DE" w14:textId="77777777" w:rsidR="00560313" w:rsidRDefault="00560313" w:rsidP="00560313">
      <w:pPr>
        <w:spacing w:line="240" w:lineRule="auto"/>
        <w:rPr>
          <w:noProof/>
        </w:rPr>
      </w:pPr>
    </w:p>
    <w:p w14:paraId="4B77451D" w14:textId="77777777" w:rsidR="00560313" w:rsidRDefault="00560313" w:rsidP="00560313">
      <w:pPr>
        <w:spacing w:line="240" w:lineRule="auto"/>
      </w:pPr>
      <w:r>
        <w:rPr>
          <w:noProof/>
        </w:rPr>
        <w:drawing>
          <wp:inline distT="0" distB="0" distL="0" distR="0" wp14:anchorId="03A934C5" wp14:editId="51CDC0EF">
            <wp:extent cx="4023360" cy="1371600"/>
            <wp:effectExtent l="0" t="0" r="0" b="0"/>
            <wp:docPr id="1997" name="Chart 199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CC4719">
        <w:rPr>
          <w:noProof/>
        </w:rPr>
        <w:t xml:space="preserve"> </w:t>
      </w:r>
      <w:r>
        <w:rPr>
          <w:noProof/>
        </w:rPr>
        <w:drawing>
          <wp:inline distT="0" distB="0" distL="0" distR="0" wp14:anchorId="55AB9A12" wp14:editId="005C97B0">
            <wp:extent cx="4023360" cy="1371600"/>
            <wp:effectExtent l="0" t="0" r="0" b="0"/>
            <wp:docPr id="1998" name="Chart 199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t xml:space="preserve"> </w:t>
      </w:r>
    </w:p>
    <w:p w14:paraId="39A33C7B" w14:textId="23306E56" w:rsidR="00560313" w:rsidRDefault="00560313" w:rsidP="00560313">
      <w:pPr>
        <w:jc w:val="center"/>
      </w:pPr>
      <w:r>
        <w:t>Figure 2-1 K</w:t>
      </w:r>
      <w:r w:rsidR="00954DB7">
        <w:t xml:space="preserve">. </w:t>
      </w:r>
      <w:r>
        <w:t xml:space="preserve">                                                                              Figure 2-1 L.</w:t>
      </w:r>
    </w:p>
    <w:p w14:paraId="46541772" w14:textId="77777777" w:rsidR="00560313" w:rsidRPr="001520AF" w:rsidRDefault="00560313" w:rsidP="00560313"/>
    <w:p w14:paraId="1418DFC1" w14:textId="713B470E" w:rsidR="001520AF" w:rsidRDefault="001520AF" w:rsidP="00560313">
      <w:pPr>
        <w:spacing w:line="240" w:lineRule="auto"/>
        <w:sectPr w:rsidR="001520AF" w:rsidSect="00D07934">
          <w:pgSz w:w="15840" w:h="12240" w:orient="landscape"/>
          <w:pgMar w:top="1440" w:right="1440" w:bottom="1440" w:left="1440" w:header="720" w:footer="720" w:gutter="0"/>
          <w:cols w:space="720"/>
          <w:docGrid w:linePitch="360"/>
        </w:sectPr>
      </w:pPr>
    </w:p>
    <w:p w14:paraId="194CBA7E" w14:textId="78B2D9E9" w:rsidR="00596A40" w:rsidRPr="00BA3F3D" w:rsidRDefault="00596A40" w:rsidP="00596A40">
      <w:pPr>
        <w:pStyle w:val="Caption"/>
      </w:pPr>
      <w:bookmarkStart w:id="78" w:name="_Toc404070374"/>
      <w:r w:rsidRPr="00BA3F3D">
        <w:lastRenderedPageBreak/>
        <w:t xml:space="preserve">Table </w:t>
      </w:r>
      <w:r>
        <w:t>2-1</w:t>
      </w:r>
      <w:r w:rsidRPr="00BA3F3D">
        <w:t>:</w:t>
      </w:r>
      <w:r>
        <w:t xml:space="preserve"> Within year</w:t>
      </w:r>
      <w:r w:rsidRPr="00BA3F3D">
        <w:t xml:space="preserve"> </w:t>
      </w:r>
      <w:bookmarkEnd w:id="75"/>
      <w:bookmarkEnd w:id="76"/>
      <w:r w:rsidR="00B428AC">
        <w:t xml:space="preserve">Pearson </w:t>
      </w:r>
      <w:r>
        <w:t>c</w:t>
      </w:r>
      <w:r w:rsidR="00B428AC">
        <w:t>orrelation coefficients</w:t>
      </w:r>
      <w:r w:rsidRPr="00BA3F3D">
        <w:t xml:space="preserve"> between measured </w:t>
      </w:r>
      <w:r w:rsidR="00AE274B">
        <w:t xml:space="preserve">phenotypic </w:t>
      </w:r>
      <w:r w:rsidRPr="00BA3F3D">
        <w:t xml:space="preserve">traits and biomass </w:t>
      </w:r>
      <w:r>
        <w:t>yield and predicted ethanol yield</w:t>
      </w:r>
      <w:r w:rsidR="00B8588D">
        <w:t xml:space="preserve"> of F1 populations of lowland switchgrass derived from an eight parent diallel cross</w:t>
      </w:r>
      <w:r>
        <w:t>. Dark grey shading indicates strong correlations while light grey shading indicates moderate correlations.</w:t>
      </w:r>
      <w:bookmarkEnd w:id="78"/>
      <w:r>
        <w:t xml:space="preserve"> </w:t>
      </w:r>
    </w:p>
    <w:tbl>
      <w:tblPr>
        <w:tblW w:w="8800" w:type="dxa"/>
        <w:tblInd w:w="93" w:type="dxa"/>
        <w:tblLook w:val="04A0" w:firstRow="1" w:lastRow="0" w:firstColumn="1" w:lastColumn="0" w:noHBand="0" w:noVBand="1"/>
      </w:tblPr>
      <w:tblGrid>
        <w:gridCol w:w="2960"/>
        <w:gridCol w:w="841"/>
        <w:gridCol w:w="619"/>
        <w:gridCol w:w="841"/>
        <w:gridCol w:w="619"/>
        <w:gridCol w:w="841"/>
        <w:gridCol w:w="619"/>
        <w:gridCol w:w="841"/>
        <w:gridCol w:w="619"/>
      </w:tblGrid>
      <w:tr w:rsidR="0070472A" w:rsidRPr="0070472A" w14:paraId="261C2BC3" w14:textId="77777777" w:rsidTr="0070472A">
        <w:trPr>
          <w:trHeight w:val="315"/>
        </w:trPr>
        <w:tc>
          <w:tcPr>
            <w:tcW w:w="2960" w:type="dxa"/>
            <w:tcBorders>
              <w:top w:val="single" w:sz="8" w:space="0" w:color="auto"/>
              <w:left w:val="nil"/>
              <w:bottom w:val="nil"/>
              <w:right w:val="nil"/>
            </w:tcBorders>
            <w:shd w:val="clear" w:color="auto" w:fill="auto"/>
            <w:noWrap/>
            <w:vAlign w:val="bottom"/>
            <w:hideMark/>
          </w:tcPr>
          <w:p w14:paraId="2F9B4346" w14:textId="77777777" w:rsidR="0070472A" w:rsidRPr="0070472A" w:rsidRDefault="0070472A" w:rsidP="0070472A">
            <w:pPr>
              <w:spacing w:line="240" w:lineRule="auto"/>
              <w:rPr>
                <w:rFonts w:cs="Times New Roman"/>
                <w:color w:val="000000"/>
              </w:rPr>
            </w:pPr>
            <w:r w:rsidRPr="0070472A">
              <w:rPr>
                <w:rFonts w:cs="Times New Roman"/>
                <w:color w:val="000000"/>
              </w:rPr>
              <w:t> </w:t>
            </w:r>
          </w:p>
        </w:tc>
        <w:tc>
          <w:tcPr>
            <w:tcW w:w="2920" w:type="dxa"/>
            <w:gridSpan w:val="4"/>
            <w:tcBorders>
              <w:top w:val="single" w:sz="8" w:space="0" w:color="auto"/>
              <w:left w:val="nil"/>
              <w:bottom w:val="single" w:sz="4" w:space="0" w:color="auto"/>
              <w:right w:val="nil"/>
            </w:tcBorders>
            <w:shd w:val="clear" w:color="auto" w:fill="auto"/>
            <w:noWrap/>
            <w:vAlign w:val="bottom"/>
            <w:hideMark/>
          </w:tcPr>
          <w:p w14:paraId="19AC22CC" w14:textId="77777777" w:rsidR="00BA712C" w:rsidRPr="00BA712C" w:rsidRDefault="0070472A" w:rsidP="0070472A">
            <w:pPr>
              <w:spacing w:line="240" w:lineRule="auto"/>
              <w:jc w:val="center"/>
              <w:rPr>
                <w:rFonts w:cs="Times New Roman"/>
                <w:b/>
                <w:color w:val="000000"/>
              </w:rPr>
            </w:pPr>
            <w:r w:rsidRPr="00BA712C">
              <w:rPr>
                <w:rFonts w:cs="Times New Roman"/>
                <w:b/>
                <w:color w:val="000000"/>
              </w:rPr>
              <w:t>Biomass Yield</w:t>
            </w:r>
            <w:r w:rsidR="00BA712C" w:rsidRPr="00BA712C">
              <w:rPr>
                <w:rFonts w:cs="Times New Roman"/>
                <w:b/>
                <w:color w:val="000000"/>
              </w:rPr>
              <w:t xml:space="preserve"> </w:t>
            </w:r>
          </w:p>
          <w:p w14:paraId="7270A38D" w14:textId="7BBFAEB8" w:rsidR="0070472A" w:rsidRPr="00BA712C" w:rsidRDefault="00BA712C" w:rsidP="0070472A">
            <w:pPr>
              <w:spacing w:line="240" w:lineRule="auto"/>
              <w:jc w:val="center"/>
              <w:rPr>
                <w:rFonts w:cs="Times New Roman"/>
                <w:b/>
                <w:color w:val="000000"/>
              </w:rPr>
            </w:pPr>
            <w:r w:rsidRPr="00BA712C">
              <w:rPr>
                <w:rFonts w:cs="Times New Roman"/>
                <w:b/>
                <w:color w:val="000000"/>
              </w:rPr>
              <w:t>(g plant</w:t>
            </w:r>
            <w:r w:rsidRPr="00BA712C">
              <w:rPr>
                <w:rFonts w:cs="Times New Roman"/>
                <w:b/>
                <w:color w:val="000000"/>
                <w:vertAlign w:val="superscript"/>
              </w:rPr>
              <w:t>-1</w:t>
            </w:r>
            <w:r w:rsidRPr="00BA712C">
              <w:rPr>
                <w:rFonts w:cs="Times New Roman"/>
                <w:b/>
                <w:color w:val="000000"/>
              </w:rPr>
              <w:t>)</w:t>
            </w:r>
          </w:p>
        </w:tc>
        <w:tc>
          <w:tcPr>
            <w:tcW w:w="2920" w:type="dxa"/>
            <w:gridSpan w:val="4"/>
            <w:tcBorders>
              <w:top w:val="single" w:sz="8" w:space="0" w:color="auto"/>
              <w:left w:val="nil"/>
              <w:bottom w:val="single" w:sz="4" w:space="0" w:color="auto"/>
              <w:right w:val="nil"/>
            </w:tcBorders>
            <w:shd w:val="clear" w:color="auto" w:fill="auto"/>
            <w:noWrap/>
            <w:vAlign w:val="bottom"/>
            <w:hideMark/>
          </w:tcPr>
          <w:p w14:paraId="663F513B" w14:textId="04DCD56E" w:rsidR="0070472A" w:rsidRPr="00BA712C" w:rsidRDefault="0070472A" w:rsidP="0070472A">
            <w:pPr>
              <w:spacing w:line="240" w:lineRule="auto"/>
              <w:jc w:val="center"/>
              <w:rPr>
                <w:rFonts w:cs="Times New Roman"/>
                <w:b/>
                <w:color w:val="000000"/>
              </w:rPr>
            </w:pPr>
            <w:r w:rsidRPr="00BA712C">
              <w:rPr>
                <w:rFonts w:cs="Times New Roman"/>
                <w:b/>
                <w:color w:val="000000"/>
              </w:rPr>
              <w:t>Predicted Ethanol Yield</w:t>
            </w:r>
            <w:r w:rsidR="00BA712C" w:rsidRPr="00BA712C">
              <w:rPr>
                <w:rFonts w:cs="Times New Roman"/>
                <w:b/>
                <w:color w:val="000000"/>
              </w:rPr>
              <w:t xml:space="preserve"> (mg g</w:t>
            </w:r>
            <w:r w:rsidR="00BA712C" w:rsidRPr="00BA712C">
              <w:rPr>
                <w:rFonts w:cs="Times New Roman"/>
                <w:b/>
                <w:color w:val="000000"/>
                <w:vertAlign w:val="superscript"/>
              </w:rPr>
              <w:t>-1</w:t>
            </w:r>
            <w:r w:rsidR="00BA712C" w:rsidRPr="00BA712C">
              <w:rPr>
                <w:rFonts w:cs="Times New Roman"/>
                <w:b/>
                <w:color w:val="000000"/>
              </w:rPr>
              <w:t>)</w:t>
            </w:r>
          </w:p>
        </w:tc>
      </w:tr>
      <w:tr w:rsidR="0070472A" w:rsidRPr="0070472A" w14:paraId="4D92712E" w14:textId="77777777" w:rsidTr="0070472A">
        <w:trPr>
          <w:trHeight w:val="330"/>
        </w:trPr>
        <w:tc>
          <w:tcPr>
            <w:tcW w:w="2960" w:type="dxa"/>
            <w:tcBorders>
              <w:top w:val="nil"/>
              <w:left w:val="nil"/>
              <w:bottom w:val="single" w:sz="8" w:space="0" w:color="auto"/>
              <w:right w:val="nil"/>
            </w:tcBorders>
            <w:shd w:val="clear" w:color="auto" w:fill="auto"/>
            <w:noWrap/>
            <w:hideMark/>
          </w:tcPr>
          <w:p w14:paraId="21C79DD3" w14:textId="77777777" w:rsidR="0070472A" w:rsidRPr="0070472A" w:rsidRDefault="0070472A" w:rsidP="0070472A">
            <w:pPr>
              <w:spacing w:line="240" w:lineRule="auto"/>
              <w:rPr>
                <w:rFonts w:cs="Times New Roman"/>
                <w:b/>
                <w:bCs/>
                <w:color w:val="000000"/>
              </w:rPr>
            </w:pPr>
            <w:r w:rsidRPr="0070472A">
              <w:rPr>
                <w:rFonts w:cs="Times New Roman"/>
                <w:b/>
                <w:bCs/>
                <w:color w:val="000000"/>
              </w:rPr>
              <w:t> </w:t>
            </w:r>
          </w:p>
        </w:tc>
        <w:tc>
          <w:tcPr>
            <w:tcW w:w="1460" w:type="dxa"/>
            <w:gridSpan w:val="2"/>
            <w:tcBorders>
              <w:top w:val="single" w:sz="4" w:space="0" w:color="auto"/>
              <w:left w:val="nil"/>
              <w:bottom w:val="single" w:sz="8" w:space="0" w:color="auto"/>
              <w:right w:val="nil"/>
            </w:tcBorders>
            <w:shd w:val="clear" w:color="auto" w:fill="auto"/>
            <w:hideMark/>
          </w:tcPr>
          <w:p w14:paraId="01FE7429" w14:textId="77777777" w:rsidR="0070472A" w:rsidRPr="0070472A" w:rsidRDefault="0070472A" w:rsidP="0070472A">
            <w:pPr>
              <w:spacing w:line="240" w:lineRule="auto"/>
              <w:jc w:val="center"/>
              <w:rPr>
                <w:rFonts w:cs="Times New Roman"/>
                <w:b/>
                <w:bCs/>
                <w:color w:val="000000"/>
              </w:rPr>
            </w:pPr>
            <w:r w:rsidRPr="0070472A">
              <w:rPr>
                <w:rFonts w:cs="Times New Roman"/>
                <w:b/>
                <w:bCs/>
                <w:color w:val="000000"/>
              </w:rPr>
              <w:t>2012</w:t>
            </w:r>
          </w:p>
        </w:tc>
        <w:tc>
          <w:tcPr>
            <w:tcW w:w="1460" w:type="dxa"/>
            <w:gridSpan w:val="2"/>
            <w:tcBorders>
              <w:top w:val="single" w:sz="4" w:space="0" w:color="auto"/>
              <w:left w:val="nil"/>
              <w:bottom w:val="single" w:sz="8" w:space="0" w:color="auto"/>
              <w:right w:val="nil"/>
            </w:tcBorders>
            <w:shd w:val="clear" w:color="auto" w:fill="auto"/>
            <w:hideMark/>
          </w:tcPr>
          <w:p w14:paraId="19BAE778" w14:textId="77777777" w:rsidR="0070472A" w:rsidRPr="0070472A" w:rsidRDefault="0070472A" w:rsidP="0070472A">
            <w:pPr>
              <w:spacing w:line="240" w:lineRule="auto"/>
              <w:jc w:val="center"/>
              <w:rPr>
                <w:rFonts w:cs="Times New Roman"/>
                <w:b/>
                <w:bCs/>
                <w:color w:val="000000"/>
              </w:rPr>
            </w:pPr>
            <w:r w:rsidRPr="0070472A">
              <w:rPr>
                <w:rFonts w:cs="Times New Roman"/>
                <w:b/>
                <w:bCs/>
                <w:color w:val="000000"/>
              </w:rPr>
              <w:t>2013</w:t>
            </w:r>
          </w:p>
        </w:tc>
        <w:tc>
          <w:tcPr>
            <w:tcW w:w="1460" w:type="dxa"/>
            <w:gridSpan w:val="2"/>
            <w:tcBorders>
              <w:top w:val="single" w:sz="4" w:space="0" w:color="auto"/>
              <w:left w:val="nil"/>
              <w:bottom w:val="single" w:sz="8" w:space="0" w:color="auto"/>
              <w:right w:val="nil"/>
            </w:tcBorders>
            <w:shd w:val="clear" w:color="auto" w:fill="auto"/>
            <w:hideMark/>
          </w:tcPr>
          <w:p w14:paraId="324E9E45" w14:textId="77777777" w:rsidR="0070472A" w:rsidRPr="0070472A" w:rsidRDefault="0070472A" w:rsidP="0070472A">
            <w:pPr>
              <w:spacing w:line="240" w:lineRule="auto"/>
              <w:jc w:val="center"/>
              <w:rPr>
                <w:rFonts w:cs="Times New Roman"/>
                <w:b/>
                <w:bCs/>
                <w:color w:val="000000"/>
              </w:rPr>
            </w:pPr>
            <w:r w:rsidRPr="0070472A">
              <w:rPr>
                <w:rFonts w:cs="Times New Roman"/>
                <w:b/>
                <w:bCs/>
                <w:color w:val="000000"/>
              </w:rPr>
              <w:t>2012</w:t>
            </w:r>
          </w:p>
        </w:tc>
        <w:tc>
          <w:tcPr>
            <w:tcW w:w="1460" w:type="dxa"/>
            <w:gridSpan w:val="2"/>
            <w:tcBorders>
              <w:top w:val="single" w:sz="4" w:space="0" w:color="auto"/>
              <w:left w:val="nil"/>
              <w:bottom w:val="single" w:sz="8" w:space="0" w:color="auto"/>
              <w:right w:val="nil"/>
            </w:tcBorders>
            <w:shd w:val="clear" w:color="auto" w:fill="auto"/>
            <w:hideMark/>
          </w:tcPr>
          <w:p w14:paraId="0D1A85FA" w14:textId="77777777" w:rsidR="0070472A" w:rsidRPr="0070472A" w:rsidRDefault="0070472A" w:rsidP="0070472A">
            <w:pPr>
              <w:spacing w:line="240" w:lineRule="auto"/>
              <w:jc w:val="center"/>
              <w:rPr>
                <w:rFonts w:cs="Times New Roman"/>
                <w:b/>
                <w:bCs/>
                <w:color w:val="000000"/>
              </w:rPr>
            </w:pPr>
            <w:r w:rsidRPr="0070472A">
              <w:rPr>
                <w:rFonts w:cs="Times New Roman"/>
                <w:b/>
                <w:bCs/>
                <w:color w:val="000000"/>
              </w:rPr>
              <w:t>2013</w:t>
            </w:r>
          </w:p>
        </w:tc>
      </w:tr>
      <w:tr w:rsidR="0070472A" w:rsidRPr="0070472A" w14:paraId="04137B13" w14:textId="77777777" w:rsidTr="0070472A">
        <w:trPr>
          <w:trHeight w:val="375"/>
        </w:trPr>
        <w:tc>
          <w:tcPr>
            <w:tcW w:w="2960" w:type="dxa"/>
            <w:tcBorders>
              <w:top w:val="nil"/>
              <w:left w:val="nil"/>
              <w:bottom w:val="nil"/>
              <w:right w:val="nil"/>
            </w:tcBorders>
            <w:shd w:val="clear" w:color="auto" w:fill="auto"/>
            <w:noWrap/>
            <w:vAlign w:val="bottom"/>
            <w:hideMark/>
          </w:tcPr>
          <w:p w14:paraId="060CD5BE" w14:textId="60F8AD7F" w:rsidR="0070472A" w:rsidRPr="0070472A" w:rsidRDefault="00B8390A" w:rsidP="0070472A">
            <w:pPr>
              <w:spacing w:line="240" w:lineRule="auto"/>
              <w:rPr>
                <w:rFonts w:cs="Times New Roman"/>
                <w:b/>
                <w:bCs/>
              </w:rPr>
            </w:pPr>
            <w:r>
              <w:rPr>
                <w:rFonts w:cs="Times New Roman"/>
                <w:b/>
                <w:bCs/>
              </w:rPr>
              <w:t>Rust S</w:t>
            </w:r>
            <w:r w:rsidR="009C1A48">
              <w:rPr>
                <w:rFonts w:cs="Times New Roman"/>
                <w:b/>
                <w:bCs/>
              </w:rPr>
              <w:t>everity</w:t>
            </w:r>
            <w:r w:rsidR="0070472A" w:rsidRPr="0070472A">
              <w:rPr>
                <w:rFonts w:cs="Times New Roman"/>
                <w:b/>
                <w:bCs/>
              </w:rPr>
              <w:t xml:space="preserve"> Aug. 2012</w:t>
            </w:r>
            <w:r w:rsidR="0070472A" w:rsidRPr="0070472A">
              <w:rPr>
                <w:rFonts w:cs="Times New Roman"/>
                <w:b/>
                <w:bCs/>
                <w:vertAlign w:val="superscript"/>
              </w:rPr>
              <w:t xml:space="preserve">† </w:t>
            </w:r>
          </w:p>
        </w:tc>
        <w:tc>
          <w:tcPr>
            <w:tcW w:w="841" w:type="dxa"/>
            <w:tcBorders>
              <w:top w:val="nil"/>
              <w:left w:val="nil"/>
              <w:bottom w:val="nil"/>
              <w:right w:val="nil"/>
            </w:tcBorders>
            <w:shd w:val="clear" w:color="auto" w:fill="auto"/>
            <w:noWrap/>
            <w:vAlign w:val="bottom"/>
            <w:hideMark/>
          </w:tcPr>
          <w:p w14:paraId="3570A04F" w14:textId="77777777" w:rsidR="0070472A" w:rsidRPr="0070472A" w:rsidRDefault="0070472A" w:rsidP="0070472A">
            <w:pPr>
              <w:spacing w:line="240" w:lineRule="auto"/>
              <w:rPr>
                <w:rFonts w:cs="Times New Roman"/>
                <w:color w:val="000000"/>
              </w:rPr>
            </w:pPr>
          </w:p>
        </w:tc>
        <w:tc>
          <w:tcPr>
            <w:tcW w:w="619" w:type="dxa"/>
            <w:tcBorders>
              <w:top w:val="nil"/>
              <w:left w:val="nil"/>
              <w:bottom w:val="nil"/>
              <w:right w:val="nil"/>
            </w:tcBorders>
            <w:shd w:val="clear" w:color="auto" w:fill="auto"/>
            <w:noWrap/>
            <w:vAlign w:val="bottom"/>
            <w:hideMark/>
          </w:tcPr>
          <w:p w14:paraId="3CC2B8B6" w14:textId="77777777" w:rsidR="0070472A" w:rsidRPr="0070472A" w:rsidRDefault="0070472A" w:rsidP="0070472A">
            <w:pPr>
              <w:spacing w:line="240" w:lineRule="auto"/>
              <w:rPr>
                <w:rFonts w:cs="Times New Roman"/>
                <w:color w:val="000000"/>
              </w:rPr>
            </w:pPr>
          </w:p>
        </w:tc>
        <w:tc>
          <w:tcPr>
            <w:tcW w:w="841" w:type="dxa"/>
            <w:tcBorders>
              <w:top w:val="nil"/>
              <w:left w:val="nil"/>
              <w:bottom w:val="nil"/>
              <w:right w:val="nil"/>
            </w:tcBorders>
            <w:shd w:val="clear" w:color="auto" w:fill="auto"/>
            <w:noWrap/>
            <w:vAlign w:val="bottom"/>
            <w:hideMark/>
          </w:tcPr>
          <w:p w14:paraId="1534F8EF" w14:textId="77777777" w:rsidR="0070472A" w:rsidRPr="0070472A" w:rsidRDefault="0070472A" w:rsidP="0070472A">
            <w:pPr>
              <w:spacing w:line="240" w:lineRule="auto"/>
              <w:jc w:val="right"/>
              <w:rPr>
                <w:rFonts w:cs="Times New Roman"/>
                <w:color w:val="000000"/>
              </w:rPr>
            </w:pPr>
            <w:r w:rsidRPr="0070472A">
              <w:rPr>
                <w:rFonts w:cs="Times New Roman"/>
                <w:color w:val="000000"/>
              </w:rPr>
              <w:t>0.12</w:t>
            </w:r>
          </w:p>
        </w:tc>
        <w:tc>
          <w:tcPr>
            <w:tcW w:w="619" w:type="dxa"/>
            <w:tcBorders>
              <w:top w:val="nil"/>
              <w:left w:val="nil"/>
              <w:bottom w:val="nil"/>
              <w:right w:val="nil"/>
            </w:tcBorders>
            <w:shd w:val="clear" w:color="auto" w:fill="auto"/>
            <w:noWrap/>
            <w:vAlign w:val="bottom"/>
            <w:hideMark/>
          </w:tcPr>
          <w:p w14:paraId="2C3EA1FF" w14:textId="77777777" w:rsidR="0070472A" w:rsidRPr="0070472A" w:rsidRDefault="0070472A" w:rsidP="0070472A">
            <w:pPr>
              <w:spacing w:line="240" w:lineRule="auto"/>
              <w:rPr>
                <w:rFonts w:cs="Times New Roman"/>
                <w:color w:val="000000"/>
              </w:rPr>
            </w:pPr>
            <w:r w:rsidRPr="0070472A">
              <w:rPr>
                <w:rFonts w:cs="Times New Roman"/>
                <w:color w:val="000000"/>
              </w:rPr>
              <w:t>***</w:t>
            </w:r>
          </w:p>
        </w:tc>
        <w:tc>
          <w:tcPr>
            <w:tcW w:w="841" w:type="dxa"/>
            <w:tcBorders>
              <w:top w:val="nil"/>
              <w:left w:val="nil"/>
              <w:bottom w:val="nil"/>
              <w:right w:val="nil"/>
            </w:tcBorders>
            <w:shd w:val="clear" w:color="auto" w:fill="auto"/>
            <w:noWrap/>
            <w:vAlign w:val="bottom"/>
            <w:hideMark/>
          </w:tcPr>
          <w:p w14:paraId="79D97DD0" w14:textId="77777777" w:rsidR="0070472A" w:rsidRPr="0070472A" w:rsidRDefault="0070472A" w:rsidP="0070472A">
            <w:pPr>
              <w:spacing w:line="240" w:lineRule="auto"/>
              <w:rPr>
                <w:rFonts w:cs="Times New Roman"/>
                <w:color w:val="000000"/>
              </w:rPr>
            </w:pPr>
          </w:p>
        </w:tc>
        <w:tc>
          <w:tcPr>
            <w:tcW w:w="619" w:type="dxa"/>
            <w:tcBorders>
              <w:top w:val="nil"/>
              <w:left w:val="nil"/>
              <w:bottom w:val="nil"/>
              <w:right w:val="nil"/>
            </w:tcBorders>
            <w:shd w:val="clear" w:color="auto" w:fill="auto"/>
            <w:noWrap/>
            <w:vAlign w:val="bottom"/>
            <w:hideMark/>
          </w:tcPr>
          <w:p w14:paraId="27BC8E06" w14:textId="77777777" w:rsidR="0070472A" w:rsidRPr="0070472A" w:rsidRDefault="0070472A" w:rsidP="0070472A">
            <w:pPr>
              <w:spacing w:line="240" w:lineRule="auto"/>
              <w:rPr>
                <w:rFonts w:cs="Times New Roman"/>
                <w:color w:val="000000"/>
              </w:rPr>
            </w:pPr>
          </w:p>
        </w:tc>
        <w:tc>
          <w:tcPr>
            <w:tcW w:w="841" w:type="dxa"/>
            <w:tcBorders>
              <w:top w:val="nil"/>
              <w:left w:val="nil"/>
              <w:bottom w:val="nil"/>
              <w:right w:val="nil"/>
            </w:tcBorders>
            <w:shd w:val="clear" w:color="auto" w:fill="auto"/>
            <w:noWrap/>
            <w:vAlign w:val="bottom"/>
            <w:hideMark/>
          </w:tcPr>
          <w:p w14:paraId="07A14098" w14:textId="77777777" w:rsidR="0070472A" w:rsidRPr="0070472A" w:rsidRDefault="0070472A" w:rsidP="0070472A">
            <w:pPr>
              <w:spacing w:line="240" w:lineRule="auto"/>
              <w:jc w:val="right"/>
              <w:rPr>
                <w:rFonts w:cs="Times New Roman"/>
                <w:color w:val="000000"/>
              </w:rPr>
            </w:pPr>
            <w:r w:rsidRPr="0070472A">
              <w:rPr>
                <w:rFonts w:cs="Times New Roman"/>
                <w:color w:val="000000"/>
              </w:rPr>
              <w:t>-0.12</w:t>
            </w:r>
          </w:p>
        </w:tc>
        <w:tc>
          <w:tcPr>
            <w:tcW w:w="619" w:type="dxa"/>
            <w:tcBorders>
              <w:top w:val="nil"/>
              <w:left w:val="nil"/>
              <w:bottom w:val="nil"/>
              <w:right w:val="nil"/>
            </w:tcBorders>
            <w:shd w:val="clear" w:color="auto" w:fill="auto"/>
            <w:noWrap/>
            <w:vAlign w:val="bottom"/>
            <w:hideMark/>
          </w:tcPr>
          <w:p w14:paraId="5037B47A" w14:textId="77777777" w:rsidR="0070472A" w:rsidRPr="0070472A" w:rsidRDefault="0070472A" w:rsidP="0070472A">
            <w:pPr>
              <w:spacing w:line="240" w:lineRule="auto"/>
              <w:rPr>
                <w:rFonts w:cs="Times New Roman"/>
                <w:color w:val="000000"/>
              </w:rPr>
            </w:pPr>
            <w:r w:rsidRPr="0070472A">
              <w:rPr>
                <w:rFonts w:cs="Times New Roman"/>
                <w:color w:val="000000"/>
              </w:rPr>
              <w:t>***</w:t>
            </w:r>
          </w:p>
        </w:tc>
      </w:tr>
      <w:tr w:rsidR="0070472A" w:rsidRPr="0070472A" w14:paraId="29B674AB" w14:textId="77777777" w:rsidTr="0070472A">
        <w:trPr>
          <w:trHeight w:val="375"/>
        </w:trPr>
        <w:tc>
          <w:tcPr>
            <w:tcW w:w="2960" w:type="dxa"/>
            <w:tcBorders>
              <w:top w:val="nil"/>
              <w:left w:val="nil"/>
              <w:bottom w:val="nil"/>
              <w:right w:val="nil"/>
            </w:tcBorders>
            <w:shd w:val="clear" w:color="auto" w:fill="auto"/>
            <w:noWrap/>
            <w:vAlign w:val="bottom"/>
            <w:hideMark/>
          </w:tcPr>
          <w:p w14:paraId="7A6537B4" w14:textId="0133E2D4" w:rsidR="0070472A" w:rsidRPr="0070472A" w:rsidRDefault="00B8390A" w:rsidP="0070472A">
            <w:pPr>
              <w:spacing w:line="240" w:lineRule="auto"/>
              <w:rPr>
                <w:rFonts w:cs="Times New Roman"/>
                <w:b/>
                <w:bCs/>
              </w:rPr>
            </w:pPr>
            <w:r>
              <w:rPr>
                <w:rFonts w:cs="Times New Roman"/>
                <w:b/>
                <w:bCs/>
              </w:rPr>
              <w:t>Rust S</w:t>
            </w:r>
            <w:r w:rsidR="009C1A48">
              <w:rPr>
                <w:rFonts w:cs="Times New Roman"/>
                <w:b/>
                <w:bCs/>
              </w:rPr>
              <w:t>everity</w:t>
            </w:r>
            <w:r w:rsidR="0070472A" w:rsidRPr="0070472A">
              <w:rPr>
                <w:rFonts w:cs="Times New Roman"/>
                <w:b/>
                <w:bCs/>
              </w:rPr>
              <w:t xml:space="preserve"> Oct. 2013</w:t>
            </w:r>
            <w:r w:rsidR="0070472A" w:rsidRPr="0070472A">
              <w:rPr>
                <w:rFonts w:cs="Times New Roman"/>
                <w:b/>
                <w:bCs/>
                <w:vertAlign w:val="superscript"/>
              </w:rPr>
              <w:t>†</w:t>
            </w:r>
            <w:r w:rsidR="0070472A" w:rsidRPr="0070472A">
              <w:rPr>
                <w:rFonts w:cs="Times New Roman"/>
                <w:b/>
                <w:bCs/>
              </w:rPr>
              <w:t xml:space="preserve"> </w:t>
            </w:r>
          </w:p>
        </w:tc>
        <w:tc>
          <w:tcPr>
            <w:tcW w:w="841" w:type="dxa"/>
            <w:tcBorders>
              <w:top w:val="nil"/>
              <w:left w:val="nil"/>
              <w:bottom w:val="nil"/>
              <w:right w:val="nil"/>
            </w:tcBorders>
            <w:shd w:val="clear" w:color="auto" w:fill="auto"/>
            <w:noWrap/>
            <w:vAlign w:val="bottom"/>
            <w:hideMark/>
          </w:tcPr>
          <w:p w14:paraId="1816F040" w14:textId="77777777" w:rsidR="0070472A" w:rsidRPr="0070472A" w:rsidRDefault="0070472A" w:rsidP="0070472A">
            <w:pPr>
              <w:spacing w:line="240" w:lineRule="auto"/>
              <w:jc w:val="right"/>
              <w:rPr>
                <w:rFonts w:cs="Times New Roman"/>
                <w:color w:val="000000"/>
              </w:rPr>
            </w:pPr>
            <w:r w:rsidRPr="0070472A">
              <w:rPr>
                <w:rFonts w:cs="Times New Roman"/>
                <w:color w:val="000000"/>
              </w:rPr>
              <w:t>-0.27</w:t>
            </w:r>
          </w:p>
        </w:tc>
        <w:tc>
          <w:tcPr>
            <w:tcW w:w="619" w:type="dxa"/>
            <w:tcBorders>
              <w:top w:val="nil"/>
              <w:left w:val="nil"/>
              <w:bottom w:val="nil"/>
              <w:right w:val="nil"/>
            </w:tcBorders>
            <w:shd w:val="clear" w:color="auto" w:fill="auto"/>
            <w:noWrap/>
            <w:vAlign w:val="bottom"/>
            <w:hideMark/>
          </w:tcPr>
          <w:p w14:paraId="430B8477" w14:textId="77777777" w:rsidR="0070472A" w:rsidRPr="0070472A" w:rsidRDefault="0070472A" w:rsidP="0070472A">
            <w:pPr>
              <w:spacing w:line="240" w:lineRule="auto"/>
              <w:rPr>
                <w:rFonts w:cs="Times New Roman"/>
                <w:color w:val="000000"/>
              </w:rPr>
            </w:pPr>
            <w:r w:rsidRPr="0070472A">
              <w:rPr>
                <w:rFonts w:cs="Times New Roman"/>
                <w:color w:val="000000"/>
              </w:rPr>
              <w:t>***</w:t>
            </w:r>
          </w:p>
        </w:tc>
        <w:tc>
          <w:tcPr>
            <w:tcW w:w="841" w:type="dxa"/>
            <w:tcBorders>
              <w:top w:val="nil"/>
              <w:left w:val="nil"/>
              <w:bottom w:val="nil"/>
              <w:right w:val="nil"/>
            </w:tcBorders>
            <w:shd w:val="clear" w:color="auto" w:fill="auto"/>
            <w:noWrap/>
            <w:vAlign w:val="bottom"/>
            <w:hideMark/>
          </w:tcPr>
          <w:p w14:paraId="2BE5B26E" w14:textId="77777777" w:rsidR="0070472A" w:rsidRPr="0070472A" w:rsidRDefault="0070472A" w:rsidP="0070472A">
            <w:pPr>
              <w:spacing w:line="240" w:lineRule="auto"/>
              <w:rPr>
                <w:rFonts w:cs="Times New Roman"/>
                <w:color w:val="000000"/>
              </w:rPr>
            </w:pPr>
          </w:p>
        </w:tc>
        <w:tc>
          <w:tcPr>
            <w:tcW w:w="619" w:type="dxa"/>
            <w:tcBorders>
              <w:top w:val="nil"/>
              <w:left w:val="nil"/>
              <w:bottom w:val="nil"/>
              <w:right w:val="nil"/>
            </w:tcBorders>
            <w:shd w:val="clear" w:color="auto" w:fill="auto"/>
            <w:noWrap/>
            <w:vAlign w:val="bottom"/>
            <w:hideMark/>
          </w:tcPr>
          <w:p w14:paraId="25FB00B3" w14:textId="77777777" w:rsidR="0070472A" w:rsidRPr="0070472A" w:rsidRDefault="0070472A" w:rsidP="0070472A">
            <w:pPr>
              <w:spacing w:line="240" w:lineRule="auto"/>
              <w:rPr>
                <w:rFonts w:cs="Times New Roman"/>
                <w:color w:val="000000"/>
              </w:rPr>
            </w:pPr>
          </w:p>
        </w:tc>
        <w:tc>
          <w:tcPr>
            <w:tcW w:w="841" w:type="dxa"/>
            <w:tcBorders>
              <w:top w:val="nil"/>
              <w:left w:val="nil"/>
              <w:bottom w:val="nil"/>
              <w:right w:val="nil"/>
            </w:tcBorders>
            <w:shd w:val="clear" w:color="auto" w:fill="auto"/>
            <w:noWrap/>
            <w:vAlign w:val="bottom"/>
            <w:hideMark/>
          </w:tcPr>
          <w:p w14:paraId="2956AB98" w14:textId="77777777" w:rsidR="0070472A" w:rsidRPr="0070472A" w:rsidRDefault="0070472A" w:rsidP="0070472A">
            <w:pPr>
              <w:spacing w:line="240" w:lineRule="auto"/>
              <w:jc w:val="right"/>
              <w:rPr>
                <w:rFonts w:cs="Times New Roman"/>
                <w:color w:val="000000"/>
              </w:rPr>
            </w:pPr>
            <w:r w:rsidRPr="0070472A">
              <w:rPr>
                <w:rFonts w:cs="Times New Roman"/>
                <w:color w:val="000000"/>
              </w:rPr>
              <w:t>-0.01</w:t>
            </w:r>
          </w:p>
        </w:tc>
        <w:tc>
          <w:tcPr>
            <w:tcW w:w="619" w:type="dxa"/>
            <w:tcBorders>
              <w:top w:val="nil"/>
              <w:left w:val="nil"/>
              <w:bottom w:val="nil"/>
              <w:right w:val="nil"/>
            </w:tcBorders>
            <w:shd w:val="clear" w:color="auto" w:fill="auto"/>
            <w:noWrap/>
            <w:vAlign w:val="bottom"/>
            <w:hideMark/>
          </w:tcPr>
          <w:p w14:paraId="7D01B484" w14:textId="77777777" w:rsidR="0070472A" w:rsidRPr="0070472A" w:rsidRDefault="0070472A" w:rsidP="0070472A">
            <w:pPr>
              <w:spacing w:line="240" w:lineRule="auto"/>
              <w:rPr>
                <w:rFonts w:cs="Times New Roman"/>
                <w:color w:val="000000"/>
              </w:rPr>
            </w:pPr>
          </w:p>
        </w:tc>
        <w:tc>
          <w:tcPr>
            <w:tcW w:w="841" w:type="dxa"/>
            <w:tcBorders>
              <w:top w:val="nil"/>
              <w:left w:val="nil"/>
              <w:bottom w:val="nil"/>
              <w:right w:val="nil"/>
            </w:tcBorders>
            <w:shd w:val="clear" w:color="auto" w:fill="auto"/>
            <w:noWrap/>
            <w:vAlign w:val="bottom"/>
            <w:hideMark/>
          </w:tcPr>
          <w:p w14:paraId="4577250A" w14:textId="77777777" w:rsidR="0070472A" w:rsidRPr="0070472A" w:rsidRDefault="0070472A" w:rsidP="0070472A">
            <w:pPr>
              <w:spacing w:line="240" w:lineRule="auto"/>
              <w:rPr>
                <w:rFonts w:cs="Times New Roman"/>
                <w:color w:val="000000"/>
              </w:rPr>
            </w:pPr>
          </w:p>
        </w:tc>
        <w:tc>
          <w:tcPr>
            <w:tcW w:w="619" w:type="dxa"/>
            <w:tcBorders>
              <w:top w:val="nil"/>
              <w:left w:val="nil"/>
              <w:bottom w:val="nil"/>
              <w:right w:val="nil"/>
            </w:tcBorders>
            <w:shd w:val="clear" w:color="auto" w:fill="auto"/>
            <w:noWrap/>
            <w:vAlign w:val="bottom"/>
            <w:hideMark/>
          </w:tcPr>
          <w:p w14:paraId="06D4B87E" w14:textId="77777777" w:rsidR="0070472A" w:rsidRPr="0070472A" w:rsidRDefault="0070472A" w:rsidP="0070472A">
            <w:pPr>
              <w:spacing w:line="240" w:lineRule="auto"/>
              <w:rPr>
                <w:rFonts w:cs="Times New Roman"/>
                <w:color w:val="000000"/>
              </w:rPr>
            </w:pPr>
          </w:p>
        </w:tc>
      </w:tr>
      <w:tr w:rsidR="0070472A" w:rsidRPr="0070472A" w14:paraId="03BEF315" w14:textId="77777777" w:rsidTr="0070472A">
        <w:trPr>
          <w:trHeight w:val="315"/>
        </w:trPr>
        <w:tc>
          <w:tcPr>
            <w:tcW w:w="2960" w:type="dxa"/>
            <w:tcBorders>
              <w:top w:val="nil"/>
              <w:left w:val="nil"/>
              <w:bottom w:val="nil"/>
              <w:right w:val="nil"/>
            </w:tcBorders>
            <w:shd w:val="clear" w:color="auto" w:fill="auto"/>
            <w:noWrap/>
            <w:vAlign w:val="bottom"/>
            <w:hideMark/>
          </w:tcPr>
          <w:p w14:paraId="57A6951E" w14:textId="77777777" w:rsidR="0070472A" w:rsidRPr="0070472A" w:rsidRDefault="0070472A" w:rsidP="0070472A">
            <w:pPr>
              <w:spacing w:line="240" w:lineRule="auto"/>
              <w:rPr>
                <w:rFonts w:cs="Times New Roman"/>
                <w:b/>
                <w:bCs/>
              </w:rPr>
            </w:pPr>
            <w:r w:rsidRPr="0070472A">
              <w:rPr>
                <w:rFonts w:cs="Times New Roman"/>
                <w:b/>
                <w:bCs/>
              </w:rPr>
              <w:t>Height Fall (in)</w:t>
            </w:r>
          </w:p>
        </w:tc>
        <w:tc>
          <w:tcPr>
            <w:tcW w:w="841" w:type="dxa"/>
            <w:tcBorders>
              <w:top w:val="nil"/>
              <w:left w:val="nil"/>
              <w:bottom w:val="nil"/>
              <w:right w:val="nil"/>
            </w:tcBorders>
            <w:shd w:val="clear" w:color="000000" w:fill="808080"/>
            <w:noWrap/>
            <w:vAlign w:val="bottom"/>
            <w:hideMark/>
          </w:tcPr>
          <w:p w14:paraId="2CB3874D" w14:textId="77777777" w:rsidR="0070472A" w:rsidRPr="0070472A" w:rsidRDefault="0070472A" w:rsidP="0070472A">
            <w:pPr>
              <w:spacing w:line="240" w:lineRule="auto"/>
              <w:jc w:val="right"/>
              <w:rPr>
                <w:rFonts w:cs="Times New Roman"/>
                <w:color w:val="000000"/>
              </w:rPr>
            </w:pPr>
            <w:r w:rsidRPr="0070472A">
              <w:rPr>
                <w:rFonts w:cs="Times New Roman"/>
                <w:color w:val="000000"/>
              </w:rPr>
              <w:t>0.73</w:t>
            </w:r>
          </w:p>
        </w:tc>
        <w:tc>
          <w:tcPr>
            <w:tcW w:w="619" w:type="dxa"/>
            <w:tcBorders>
              <w:top w:val="nil"/>
              <w:left w:val="nil"/>
              <w:bottom w:val="nil"/>
              <w:right w:val="nil"/>
            </w:tcBorders>
            <w:shd w:val="clear" w:color="000000" w:fill="808080"/>
            <w:noWrap/>
            <w:vAlign w:val="bottom"/>
            <w:hideMark/>
          </w:tcPr>
          <w:p w14:paraId="7E5A61EC" w14:textId="77777777" w:rsidR="0070472A" w:rsidRPr="0070472A" w:rsidRDefault="0070472A" w:rsidP="0070472A">
            <w:pPr>
              <w:spacing w:line="240" w:lineRule="auto"/>
              <w:rPr>
                <w:rFonts w:cs="Times New Roman"/>
                <w:color w:val="000000"/>
              </w:rPr>
            </w:pPr>
            <w:r w:rsidRPr="0070472A">
              <w:rPr>
                <w:rFonts w:cs="Times New Roman"/>
                <w:color w:val="000000"/>
              </w:rPr>
              <w:t>***</w:t>
            </w:r>
          </w:p>
        </w:tc>
        <w:tc>
          <w:tcPr>
            <w:tcW w:w="841" w:type="dxa"/>
            <w:tcBorders>
              <w:top w:val="nil"/>
              <w:left w:val="nil"/>
              <w:bottom w:val="nil"/>
              <w:right w:val="nil"/>
            </w:tcBorders>
            <w:shd w:val="clear" w:color="000000" w:fill="808080"/>
            <w:noWrap/>
            <w:vAlign w:val="bottom"/>
            <w:hideMark/>
          </w:tcPr>
          <w:p w14:paraId="6C6B897A" w14:textId="77777777" w:rsidR="0070472A" w:rsidRPr="0070472A" w:rsidRDefault="0070472A" w:rsidP="0070472A">
            <w:pPr>
              <w:spacing w:line="240" w:lineRule="auto"/>
              <w:jc w:val="right"/>
              <w:rPr>
                <w:rFonts w:cs="Times New Roman"/>
                <w:color w:val="000000"/>
              </w:rPr>
            </w:pPr>
            <w:r w:rsidRPr="0070472A">
              <w:rPr>
                <w:rFonts w:cs="Times New Roman"/>
                <w:color w:val="000000"/>
              </w:rPr>
              <w:t>0.70</w:t>
            </w:r>
          </w:p>
        </w:tc>
        <w:tc>
          <w:tcPr>
            <w:tcW w:w="619" w:type="dxa"/>
            <w:tcBorders>
              <w:top w:val="nil"/>
              <w:left w:val="nil"/>
              <w:bottom w:val="nil"/>
              <w:right w:val="nil"/>
            </w:tcBorders>
            <w:shd w:val="clear" w:color="000000" w:fill="808080"/>
            <w:noWrap/>
            <w:vAlign w:val="bottom"/>
            <w:hideMark/>
          </w:tcPr>
          <w:p w14:paraId="7485F924" w14:textId="77777777" w:rsidR="0070472A" w:rsidRPr="0070472A" w:rsidRDefault="0070472A" w:rsidP="0070472A">
            <w:pPr>
              <w:spacing w:line="240" w:lineRule="auto"/>
              <w:rPr>
                <w:rFonts w:cs="Times New Roman"/>
                <w:color w:val="000000"/>
              </w:rPr>
            </w:pPr>
            <w:r w:rsidRPr="0070472A">
              <w:rPr>
                <w:rFonts w:cs="Times New Roman"/>
                <w:color w:val="000000"/>
              </w:rPr>
              <w:t>***</w:t>
            </w:r>
          </w:p>
        </w:tc>
        <w:tc>
          <w:tcPr>
            <w:tcW w:w="841" w:type="dxa"/>
            <w:tcBorders>
              <w:top w:val="nil"/>
              <w:left w:val="nil"/>
              <w:bottom w:val="nil"/>
              <w:right w:val="nil"/>
            </w:tcBorders>
            <w:shd w:val="clear" w:color="000000" w:fill="BFBFBF"/>
            <w:noWrap/>
            <w:vAlign w:val="bottom"/>
            <w:hideMark/>
          </w:tcPr>
          <w:p w14:paraId="52B3C29A" w14:textId="77777777" w:rsidR="0070472A" w:rsidRPr="0070472A" w:rsidRDefault="0070472A" w:rsidP="0070472A">
            <w:pPr>
              <w:spacing w:line="240" w:lineRule="auto"/>
              <w:jc w:val="right"/>
              <w:rPr>
                <w:rFonts w:cs="Times New Roman"/>
                <w:color w:val="000000"/>
              </w:rPr>
            </w:pPr>
            <w:r w:rsidRPr="0070472A">
              <w:rPr>
                <w:rFonts w:cs="Times New Roman"/>
                <w:color w:val="000000"/>
              </w:rPr>
              <w:t>-0.55</w:t>
            </w:r>
          </w:p>
        </w:tc>
        <w:tc>
          <w:tcPr>
            <w:tcW w:w="619" w:type="dxa"/>
            <w:tcBorders>
              <w:top w:val="nil"/>
              <w:left w:val="nil"/>
              <w:bottom w:val="nil"/>
              <w:right w:val="nil"/>
            </w:tcBorders>
            <w:shd w:val="clear" w:color="000000" w:fill="BFBFBF"/>
            <w:noWrap/>
            <w:vAlign w:val="bottom"/>
            <w:hideMark/>
          </w:tcPr>
          <w:p w14:paraId="553D76C5" w14:textId="77777777" w:rsidR="0070472A" w:rsidRPr="0070472A" w:rsidRDefault="0070472A" w:rsidP="0070472A">
            <w:pPr>
              <w:spacing w:line="240" w:lineRule="auto"/>
              <w:rPr>
                <w:rFonts w:cs="Times New Roman"/>
                <w:color w:val="000000"/>
              </w:rPr>
            </w:pPr>
            <w:r w:rsidRPr="0070472A">
              <w:rPr>
                <w:rFonts w:cs="Times New Roman"/>
                <w:color w:val="000000"/>
              </w:rPr>
              <w:t>***</w:t>
            </w:r>
          </w:p>
        </w:tc>
        <w:tc>
          <w:tcPr>
            <w:tcW w:w="841" w:type="dxa"/>
            <w:tcBorders>
              <w:top w:val="nil"/>
              <w:left w:val="nil"/>
              <w:bottom w:val="nil"/>
              <w:right w:val="nil"/>
            </w:tcBorders>
            <w:shd w:val="clear" w:color="000000" w:fill="BFBFBF"/>
            <w:noWrap/>
            <w:vAlign w:val="bottom"/>
            <w:hideMark/>
          </w:tcPr>
          <w:p w14:paraId="320241D4" w14:textId="77777777" w:rsidR="0070472A" w:rsidRPr="0070472A" w:rsidRDefault="0070472A" w:rsidP="0070472A">
            <w:pPr>
              <w:spacing w:line="240" w:lineRule="auto"/>
              <w:jc w:val="right"/>
              <w:rPr>
                <w:rFonts w:cs="Times New Roman"/>
                <w:color w:val="000000"/>
              </w:rPr>
            </w:pPr>
            <w:r w:rsidRPr="0070472A">
              <w:rPr>
                <w:rFonts w:cs="Times New Roman"/>
                <w:color w:val="000000"/>
              </w:rPr>
              <w:t>-0.32</w:t>
            </w:r>
          </w:p>
        </w:tc>
        <w:tc>
          <w:tcPr>
            <w:tcW w:w="619" w:type="dxa"/>
            <w:tcBorders>
              <w:top w:val="nil"/>
              <w:left w:val="nil"/>
              <w:bottom w:val="nil"/>
              <w:right w:val="nil"/>
            </w:tcBorders>
            <w:shd w:val="clear" w:color="000000" w:fill="BFBFBF"/>
            <w:noWrap/>
            <w:vAlign w:val="bottom"/>
            <w:hideMark/>
          </w:tcPr>
          <w:p w14:paraId="1BA428D3" w14:textId="77777777" w:rsidR="0070472A" w:rsidRPr="0070472A" w:rsidRDefault="0070472A" w:rsidP="0070472A">
            <w:pPr>
              <w:spacing w:line="240" w:lineRule="auto"/>
              <w:rPr>
                <w:rFonts w:cs="Times New Roman"/>
                <w:color w:val="000000"/>
              </w:rPr>
            </w:pPr>
            <w:r w:rsidRPr="0070472A">
              <w:rPr>
                <w:rFonts w:cs="Times New Roman"/>
                <w:color w:val="000000"/>
              </w:rPr>
              <w:t>***</w:t>
            </w:r>
          </w:p>
        </w:tc>
      </w:tr>
      <w:tr w:rsidR="0070472A" w:rsidRPr="0070472A" w14:paraId="79FD18B1" w14:textId="77777777" w:rsidTr="0070472A">
        <w:trPr>
          <w:trHeight w:val="315"/>
        </w:trPr>
        <w:tc>
          <w:tcPr>
            <w:tcW w:w="2960" w:type="dxa"/>
            <w:tcBorders>
              <w:top w:val="nil"/>
              <w:left w:val="nil"/>
              <w:bottom w:val="nil"/>
              <w:right w:val="nil"/>
            </w:tcBorders>
            <w:shd w:val="clear" w:color="auto" w:fill="auto"/>
            <w:noWrap/>
            <w:vAlign w:val="bottom"/>
            <w:hideMark/>
          </w:tcPr>
          <w:p w14:paraId="4F802A98" w14:textId="77777777" w:rsidR="0070472A" w:rsidRPr="0070472A" w:rsidRDefault="0070472A" w:rsidP="0070472A">
            <w:pPr>
              <w:spacing w:line="240" w:lineRule="auto"/>
              <w:rPr>
                <w:rFonts w:cs="Times New Roman"/>
                <w:b/>
                <w:bCs/>
              </w:rPr>
            </w:pPr>
            <w:r w:rsidRPr="0070472A">
              <w:rPr>
                <w:rFonts w:cs="Times New Roman"/>
                <w:b/>
                <w:bCs/>
              </w:rPr>
              <w:t>Height Spring (in)</w:t>
            </w:r>
          </w:p>
        </w:tc>
        <w:tc>
          <w:tcPr>
            <w:tcW w:w="841" w:type="dxa"/>
            <w:tcBorders>
              <w:top w:val="nil"/>
              <w:left w:val="nil"/>
              <w:bottom w:val="nil"/>
              <w:right w:val="nil"/>
            </w:tcBorders>
            <w:shd w:val="clear" w:color="auto" w:fill="auto"/>
            <w:noWrap/>
            <w:vAlign w:val="bottom"/>
            <w:hideMark/>
          </w:tcPr>
          <w:p w14:paraId="02EEEB61" w14:textId="77777777" w:rsidR="0070472A" w:rsidRPr="0070472A" w:rsidRDefault="0070472A" w:rsidP="0070472A">
            <w:pPr>
              <w:spacing w:line="240" w:lineRule="auto"/>
              <w:rPr>
                <w:rFonts w:cs="Times New Roman"/>
                <w:color w:val="000000"/>
              </w:rPr>
            </w:pPr>
          </w:p>
        </w:tc>
        <w:tc>
          <w:tcPr>
            <w:tcW w:w="619" w:type="dxa"/>
            <w:tcBorders>
              <w:top w:val="nil"/>
              <w:left w:val="nil"/>
              <w:bottom w:val="nil"/>
              <w:right w:val="nil"/>
            </w:tcBorders>
            <w:shd w:val="clear" w:color="auto" w:fill="auto"/>
            <w:noWrap/>
            <w:vAlign w:val="bottom"/>
            <w:hideMark/>
          </w:tcPr>
          <w:p w14:paraId="22C899C5" w14:textId="77777777" w:rsidR="0070472A" w:rsidRPr="0070472A" w:rsidRDefault="0070472A" w:rsidP="0070472A">
            <w:pPr>
              <w:spacing w:line="240" w:lineRule="auto"/>
              <w:rPr>
                <w:rFonts w:cs="Times New Roman"/>
                <w:color w:val="000000"/>
              </w:rPr>
            </w:pPr>
          </w:p>
        </w:tc>
        <w:tc>
          <w:tcPr>
            <w:tcW w:w="841" w:type="dxa"/>
            <w:tcBorders>
              <w:top w:val="nil"/>
              <w:left w:val="nil"/>
              <w:bottom w:val="nil"/>
              <w:right w:val="nil"/>
            </w:tcBorders>
            <w:shd w:val="clear" w:color="000000" w:fill="BFBFBF"/>
            <w:noWrap/>
            <w:vAlign w:val="bottom"/>
            <w:hideMark/>
          </w:tcPr>
          <w:p w14:paraId="04BFD085" w14:textId="77777777" w:rsidR="0070472A" w:rsidRPr="0070472A" w:rsidRDefault="0070472A" w:rsidP="0070472A">
            <w:pPr>
              <w:spacing w:line="240" w:lineRule="auto"/>
              <w:jc w:val="right"/>
              <w:rPr>
                <w:rFonts w:cs="Times New Roman"/>
                <w:color w:val="000000"/>
              </w:rPr>
            </w:pPr>
            <w:r w:rsidRPr="0070472A">
              <w:rPr>
                <w:rFonts w:cs="Times New Roman"/>
                <w:color w:val="000000"/>
              </w:rPr>
              <w:t>0.58</w:t>
            </w:r>
          </w:p>
        </w:tc>
        <w:tc>
          <w:tcPr>
            <w:tcW w:w="619" w:type="dxa"/>
            <w:tcBorders>
              <w:top w:val="nil"/>
              <w:left w:val="nil"/>
              <w:bottom w:val="nil"/>
              <w:right w:val="nil"/>
            </w:tcBorders>
            <w:shd w:val="clear" w:color="000000" w:fill="BFBFBF"/>
            <w:noWrap/>
            <w:vAlign w:val="bottom"/>
            <w:hideMark/>
          </w:tcPr>
          <w:p w14:paraId="4DAF4067" w14:textId="77777777" w:rsidR="0070472A" w:rsidRPr="0070472A" w:rsidRDefault="0070472A" w:rsidP="0070472A">
            <w:pPr>
              <w:spacing w:line="240" w:lineRule="auto"/>
              <w:rPr>
                <w:rFonts w:cs="Times New Roman"/>
                <w:color w:val="000000"/>
              </w:rPr>
            </w:pPr>
            <w:r w:rsidRPr="0070472A">
              <w:rPr>
                <w:rFonts w:cs="Times New Roman"/>
                <w:color w:val="000000"/>
              </w:rPr>
              <w:t>***</w:t>
            </w:r>
          </w:p>
        </w:tc>
        <w:tc>
          <w:tcPr>
            <w:tcW w:w="841" w:type="dxa"/>
            <w:tcBorders>
              <w:top w:val="nil"/>
              <w:left w:val="nil"/>
              <w:bottom w:val="nil"/>
              <w:right w:val="nil"/>
            </w:tcBorders>
            <w:shd w:val="clear" w:color="auto" w:fill="auto"/>
            <w:noWrap/>
            <w:vAlign w:val="bottom"/>
            <w:hideMark/>
          </w:tcPr>
          <w:p w14:paraId="57469133" w14:textId="77777777" w:rsidR="0070472A" w:rsidRPr="0070472A" w:rsidRDefault="0070472A" w:rsidP="0070472A">
            <w:pPr>
              <w:spacing w:line="240" w:lineRule="auto"/>
              <w:rPr>
                <w:rFonts w:cs="Times New Roman"/>
                <w:color w:val="000000"/>
              </w:rPr>
            </w:pPr>
          </w:p>
        </w:tc>
        <w:tc>
          <w:tcPr>
            <w:tcW w:w="619" w:type="dxa"/>
            <w:tcBorders>
              <w:top w:val="nil"/>
              <w:left w:val="nil"/>
              <w:bottom w:val="nil"/>
              <w:right w:val="nil"/>
            </w:tcBorders>
            <w:shd w:val="clear" w:color="auto" w:fill="auto"/>
            <w:noWrap/>
            <w:vAlign w:val="bottom"/>
            <w:hideMark/>
          </w:tcPr>
          <w:p w14:paraId="493D2CF1" w14:textId="77777777" w:rsidR="0070472A" w:rsidRPr="0070472A" w:rsidRDefault="0070472A" w:rsidP="0070472A">
            <w:pPr>
              <w:spacing w:line="240" w:lineRule="auto"/>
              <w:rPr>
                <w:rFonts w:cs="Times New Roman"/>
                <w:color w:val="000000"/>
              </w:rPr>
            </w:pPr>
          </w:p>
        </w:tc>
        <w:tc>
          <w:tcPr>
            <w:tcW w:w="841" w:type="dxa"/>
            <w:tcBorders>
              <w:top w:val="nil"/>
              <w:left w:val="nil"/>
              <w:bottom w:val="nil"/>
              <w:right w:val="nil"/>
            </w:tcBorders>
            <w:shd w:val="clear" w:color="auto" w:fill="auto"/>
            <w:noWrap/>
            <w:vAlign w:val="bottom"/>
            <w:hideMark/>
          </w:tcPr>
          <w:p w14:paraId="4AF1E41B" w14:textId="77777777" w:rsidR="0070472A" w:rsidRPr="0070472A" w:rsidRDefault="0070472A" w:rsidP="0070472A">
            <w:pPr>
              <w:spacing w:line="240" w:lineRule="auto"/>
              <w:jc w:val="right"/>
              <w:rPr>
                <w:rFonts w:cs="Times New Roman"/>
                <w:color w:val="000000"/>
              </w:rPr>
            </w:pPr>
            <w:r w:rsidRPr="0070472A">
              <w:rPr>
                <w:rFonts w:cs="Times New Roman"/>
                <w:color w:val="000000"/>
              </w:rPr>
              <w:t>-0.20</w:t>
            </w:r>
          </w:p>
        </w:tc>
        <w:tc>
          <w:tcPr>
            <w:tcW w:w="619" w:type="dxa"/>
            <w:tcBorders>
              <w:top w:val="nil"/>
              <w:left w:val="nil"/>
              <w:bottom w:val="nil"/>
              <w:right w:val="nil"/>
            </w:tcBorders>
            <w:shd w:val="clear" w:color="auto" w:fill="auto"/>
            <w:noWrap/>
            <w:vAlign w:val="bottom"/>
            <w:hideMark/>
          </w:tcPr>
          <w:p w14:paraId="3CC8AF62" w14:textId="77777777" w:rsidR="0070472A" w:rsidRPr="0070472A" w:rsidRDefault="0070472A" w:rsidP="0070472A">
            <w:pPr>
              <w:spacing w:line="240" w:lineRule="auto"/>
              <w:rPr>
                <w:rFonts w:cs="Times New Roman"/>
                <w:color w:val="000000"/>
              </w:rPr>
            </w:pPr>
            <w:r w:rsidRPr="0070472A">
              <w:rPr>
                <w:rFonts w:cs="Times New Roman"/>
                <w:color w:val="000000"/>
              </w:rPr>
              <w:t>***</w:t>
            </w:r>
          </w:p>
        </w:tc>
      </w:tr>
      <w:tr w:rsidR="0070472A" w:rsidRPr="0070472A" w14:paraId="749382CC" w14:textId="77777777" w:rsidTr="0070472A">
        <w:trPr>
          <w:trHeight w:val="375"/>
        </w:trPr>
        <w:tc>
          <w:tcPr>
            <w:tcW w:w="2960" w:type="dxa"/>
            <w:tcBorders>
              <w:top w:val="nil"/>
              <w:left w:val="nil"/>
              <w:bottom w:val="nil"/>
              <w:right w:val="nil"/>
            </w:tcBorders>
            <w:shd w:val="clear" w:color="auto" w:fill="auto"/>
            <w:noWrap/>
            <w:vAlign w:val="bottom"/>
            <w:hideMark/>
          </w:tcPr>
          <w:p w14:paraId="7DA9332F" w14:textId="42931367" w:rsidR="0070472A" w:rsidRPr="0070472A" w:rsidRDefault="00B8390A" w:rsidP="0070472A">
            <w:pPr>
              <w:spacing w:line="240" w:lineRule="auto"/>
              <w:rPr>
                <w:rFonts w:cs="Times New Roman"/>
                <w:b/>
                <w:bCs/>
              </w:rPr>
            </w:pPr>
            <w:r>
              <w:rPr>
                <w:rFonts w:cs="Times New Roman"/>
                <w:b/>
                <w:bCs/>
              </w:rPr>
              <w:t>Plant C</w:t>
            </w:r>
            <w:r w:rsidR="00DB61CB">
              <w:rPr>
                <w:rFonts w:cs="Times New Roman"/>
                <w:b/>
                <w:bCs/>
              </w:rPr>
              <w:t>olor</w:t>
            </w:r>
            <w:r w:rsidR="0070472A" w:rsidRPr="0070472A">
              <w:rPr>
                <w:rFonts w:cs="Times New Roman"/>
                <w:b/>
                <w:bCs/>
                <w:vertAlign w:val="superscript"/>
              </w:rPr>
              <w:t>‡</w:t>
            </w:r>
            <w:r w:rsidR="0070472A" w:rsidRPr="0070472A">
              <w:rPr>
                <w:rFonts w:cs="Times New Roman"/>
                <w:b/>
                <w:bCs/>
              </w:rPr>
              <w:t xml:space="preserve"> </w:t>
            </w:r>
          </w:p>
        </w:tc>
        <w:tc>
          <w:tcPr>
            <w:tcW w:w="841" w:type="dxa"/>
            <w:tcBorders>
              <w:top w:val="nil"/>
              <w:left w:val="nil"/>
              <w:bottom w:val="nil"/>
              <w:right w:val="nil"/>
            </w:tcBorders>
            <w:shd w:val="clear" w:color="auto" w:fill="auto"/>
            <w:noWrap/>
            <w:vAlign w:val="bottom"/>
            <w:hideMark/>
          </w:tcPr>
          <w:p w14:paraId="5F1DA010" w14:textId="77777777" w:rsidR="0070472A" w:rsidRPr="0070472A" w:rsidRDefault="0070472A" w:rsidP="0070472A">
            <w:pPr>
              <w:spacing w:line="240" w:lineRule="auto"/>
              <w:rPr>
                <w:rFonts w:cs="Times New Roman"/>
                <w:color w:val="000000"/>
              </w:rPr>
            </w:pPr>
          </w:p>
        </w:tc>
        <w:tc>
          <w:tcPr>
            <w:tcW w:w="619" w:type="dxa"/>
            <w:tcBorders>
              <w:top w:val="nil"/>
              <w:left w:val="nil"/>
              <w:bottom w:val="nil"/>
              <w:right w:val="nil"/>
            </w:tcBorders>
            <w:shd w:val="clear" w:color="auto" w:fill="auto"/>
            <w:noWrap/>
            <w:vAlign w:val="bottom"/>
            <w:hideMark/>
          </w:tcPr>
          <w:p w14:paraId="0E9267BF" w14:textId="77777777" w:rsidR="0070472A" w:rsidRPr="0070472A" w:rsidRDefault="0070472A" w:rsidP="0070472A">
            <w:pPr>
              <w:spacing w:line="240" w:lineRule="auto"/>
              <w:rPr>
                <w:rFonts w:cs="Times New Roman"/>
                <w:color w:val="000000"/>
              </w:rPr>
            </w:pPr>
          </w:p>
        </w:tc>
        <w:tc>
          <w:tcPr>
            <w:tcW w:w="841" w:type="dxa"/>
            <w:tcBorders>
              <w:top w:val="nil"/>
              <w:left w:val="nil"/>
              <w:bottom w:val="nil"/>
              <w:right w:val="nil"/>
            </w:tcBorders>
            <w:shd w:val="clear" w:color="auto" w:fill="auto"/>
            <w:noWrap/>
            <w:vAlign w:val="bottom"/>
            <w:hideMark/>
          </w:tcPr>
          <w:p w14:paraId="21A2CD60" w14:textId="77777777" w:rsidR="0070472A" w:rsidRPr="0070472A" w:rsidRDefault="0070472A" w:rsidP="0070472A">
            <w:pPr>
              <w:spacing w:line="240" w:lineRule="auto"/>
              <w:jc w:val="right"/>
              <w:rPr>
                <w:rFonts w:cs="Times New Roman"/>
                <w:color w:val="000000"/>
              </w:rPr>
            </w:pPr>
            <w:r w:rsidRPr="0070472A">
              <w:rPr>
                <w:rFonts w:cs="Times New Roman"/>
                <w:color w:val="000000"/>
              </w:rPr>
              <w:t>0.03</w:t>
            </w:r>
          </w:p>
        </w:tc>
        <w:tc>
          <w:tcPr>
            <w:tcW w:w="619" w:type="dxa"/>
            <w:tcBorders>
              <w:top w:val="nil"/>
              <w:left w:val="nil"/>
              <w:bottom w:val="nil"/>
              <w:right w:val="nil"/>
            </w:tcBorders>
            <w:shd w:val="clear" w:color="auto" w:fill="auto"/>
            <w:noWrap/>
            <w:vAlign w:val="bottom"/>
            <w:hideMark/>
          </w:tcPr>
          <w:p w14:paraId="7DAD9E2F" w14:textId="77777777" w:rsidR="0070472A" w:rsidRPr="0070472A" w:rsidRDefault="0070472A" w:rsidP="0070472A">
            <w:pPr>
              <w:spacing w:line="240" w:lineRule="auto"/>
              <w:rPr>
                <w:rFonts w:cs="Times New Roman"/>
                <w:color w:val="000000"/>
              </w:rPr>
            </w:pPr>
          </w:p>
        </w:tc>
        <w:tc>
          <w:tcPr>
            <w:tcW w:w="841" w:type="dxa"/>
            <w:tcBorders>
              <w:top w:val="nil"/>
              <w:left w:val="nil"/>
              <w:bottom w:val="nil"/>
              <w:right w:val="nil"/>
            </w:tcBorders>
            <w:shd w:val="clear" w:color="auto" w:fill="auto"/>
            <w:noWrap/>
            <w:vAlign w:val="bottom"/>
            <w:hideMark/>
          </w:tcPr>
          <w:p w14:paraId="089A67C4" w14:textId="77777777" w:rsidR="0070472A" w:rsidRPr="0070472A" w:rsidRDefault="0070472A" w:rsidP="0070472A">
            <w:pPr>
              <w:spacing w:line="240" w:lineRule="auto"/>
              <w:rPr>
                <w:rFonts w:cs="Times New Roman"/>
                <w:color w:val="000000"/>
              </w:rPr>
            </w:pPr>
          </w:p>
        </w:tc>
        <w:tc>
          <w:tcPr>
            <w:tcW w:w="619" w:type="dxa"/>
            <w:tcBorders>
              <w:top w:val="nil"/>
              <w:left w:val="nil"/>
              <w:bottom w:val="nil"/>
              <w:right w:val="nil"/>
            </w:tcBorders>
            <w:shd w:val="clear" w:color="auto" w:fill="auto"/>
            <w:noWrap/>
            <w:vAlign w:val="bottom"/>
            <w:hideMark/>
          </w:tcPr>
          <w:p w14:paraId="268B72E4" w14:textId="77777777" w:rsidR="0070472A" w:rsidRPr="0070472A" w:rsidRDefault="0070472A" w:rsidP="0070472A">
            <w:pPr>
              <w:spacing w:line="240" w:lineRule="auto"/>
              <w:rPr>
                <w:rFonts w:cs="Times New Roman"/>
                <w:color w:val="000000"/>
              </w:rPr>
            </w:pPr>
          </w:p>
        </w:tc>
        <w:tc>
          <w:tcPr>
            <w:tcW w:w="841" w:type="dxa"/>
            <w:tcBorders>
              <w:top w:val="nil"/>
              <w:left w:val="nil"/>
              <w:bottom w:val="nil"/>
              <w:right w:val="nil"/>
            </w:tcBorders>
            <w:shd w:val="clear" w:color="auto" w:fill="auto"/>
            <w:noWrap/>
            <w:vAlign w:val="bottom"/>
            <w:hideMark/>
          </w:tcPr>
          <w:p w14:paraId="4EC36081" w14:textId="77777777" w:rsidR="0070472A" w:rsidRPr="0070472A" w:rsidRDefault="0070472A" w:rsidP="0070472A">
            <w:pPr>
              <w:spacing w:line="240" w:lineRule="auto"/>
              <w:jc w:val="right"/>
              <w:rPr>
                <w:rFonts w:cs="Times New Roman"/>
                <w:color w:val="000000"/>
              </w:rPr>
            </w:pPr>
            <w:r w:rsidRPr="0070472A">
              <w:rPr>
                <w:rFonts w:cs="Times New Roman"/>
                <w:color w:val="000000"/>
              </w:rPr>
              <w:t>0.00</w:t>
            </w:r>
          </w:p>
        </w:tc>
        <w:tc>
          <w:tcPr>
            <w:tcW w:w="619" w:type="dxa"/>
            <w:tcBorders>
              <w:top w:val="nil"/>
              <w:left w:val="nil"/>
              <w:bottom w:val="nil"/>
              <w:right w:val="nil"/>
            </w:tcBorders>
            <w:shd w:val="clear" w:color="auto" w:fill="auto"/>
            <w:noWrap/>
            <w:vAlign w:val="bottom"/>
            <w:hideMark/>
          </w:tcPr>
          <w:p w14:paraId="385A203C" w14:textId="77777777" w:rsidR="0070472A" w:rsidRPr="0070472A" w:rsidRDefault="0070472A" w:rsidP="0070472A">
            <w:pPr>
              <w:spacing w:line="240" w:lineRule="auto"/>
              <w:rPr>
                <w:rFonts w:cs="Times New Roman"/>
                <w:color w:val="000000"/>
              </w:rPr>
            </w:pPr>
          </w:p>
        </w:tc>
      </w:tr>
      <w:tr w:rsidR="0070472A" w:rsidRPr="0070472A" w14:paraId="710A33E1" w14:textId="77777777" w:rsidTr="0070472A">
        <w:trPr>
          <w:trHeight w:val="375"/>
        </w:trPr>
        <w:tc>
          <w:tcPr>
            <w:tcW w:w="2960" w:type="dxa"/>
            <w:tcBorders>
              <w:top w:val="nil"/>
              <w:left w:val="nil"/>
              <w:bottom w:val="nil"/>
              <w:right w:val="nil"/>
            </w:tcBorders>
            <w:shd w:val="clear" w:color="auto" w:fill="auto"/>
            <w:noWrap/>
            <w:vAlign w:val="bottom"/>
            <w:hideMark/>
          </w:tcPr>
          <w:p w14:paraId="5A0DC69E" w14:textId="77777777" w:rsidR="0070472A" w:rsidRPr="0070472A" w:rsidRDefault="00DA675F" w:rsidP="0070472A">
            <w:pPr>
              <w:spacing w:line="240" w:lineRule="auto"/>
              <w:rPr>
                <w:rFonts w:cs="Times New Roman"/>
                <w:b/>
                <w:bCs/>
              </w:rPr>
            </w:pPr>
            <w:r>
              <w:rPr>
                <w:rFonts w:cs="Times New Roman"/>
                <w:b/>
                <w:bCs/>
              </w:rPr>
              <w:t>Canopy density</w:t>
            </w:r>
            <w:r w:rsidR="0070472A" w:rsidRPr="0070472A">
              <w:rPr>
                <w:rFonts w:cs="Times New Roman"/>
                <w:b/>
                <w:bCs/>
                <w:vertAlign w:val="superscript"/>
              </w:rPr>
              <w:t>§</w:t>
            </w:r>
          </w:p>
        </w:tc>
        <w:tc>
          <w:tcPr>
            <w:tcW w:w="841" w:type="dxa"/>
            <w:tcBorders>
              <w:top w:val="nil"/>
              <w:left w:val="nil"/>
              <w:bottom w:val="nil"/>
              <w:right w:val="nil"/>
            </w:tcBorders>
            <w:shd w:val="clear" w:color="auto" w:fill="auto"/>
            <w:noWrap/>
            <w:vAlign w:val="bottom"/>
            <w:hideMark/>
          </w:tcPr>
          <w:p w14:paraId="5D8974A3" w14:textId="77777777" w:rsidR="0070472A" w:rsidRPr="0070472A" w:rsidRDefault="0070472A" w:rsidP="0070472A">
            <w:pPr>
              <w:spacing w:line="240" w:lineRule="auto"/>
              <w:rPr>
                <w:rFonts w:cs="Times New Roman"/>
                <w:color w:val="000000"/>
              </w:rPr>
            </w:pPr>
          </w:p>
        </w:tc>
        <w:tc>
          <w:tcPr>
            <w:tcW w:w="619" w:type="dxa"/>
            <w:tcBorders>
              <w:top w:val="nil"/>
              <w:left w:val="nil"/>
              <w:bottom w:val="nil"/>
              <w:right w:val="nil"/>
            </w:tcBorders>
            <w:shd w:val="clear" w:color="auto" w:fill="auto"/>
            <w:noWrap/>
            <w:vAlign w:val="bottom"/>
            <w:hideMark/>
          </w:tcPr>
          <w:p w14:paraId="7D4C77DD" w14:textId="77777777" w:rsidR="0070472A" w:rsidRPr="0070472A" w:rsidRDefault="0070472A" w:rsidP="0070472A">
            <w:pPr>
              <w:spacing w:line="240" w:lineRule="auto"/>
              <w:rPr>
                <w:rFonts w:cs="Times New Roman"/>
                <w:color w:val="000000"/>
              </w:rPr>
            </w:pPr>
          </w:p>
        </w:tc>
        <w:tc>
          <w:tcPr>
            <w:tcW w:w="841" w:type="dxa"/>
            <w:tcBorders>
              <w:top w:val="nil"/>
              <w:left w:val="nil"/>
              <w:bottom w:val="nil"/>
              <w:right w:val="nil"/>
            </w:tcBorders>
            <w:shd w:val="clear" w:color="000000" w:fill="BFBFBF"/>
            <w:noWrap/>
            <w:vAlign w:val="bottom"/>
            <w:hideMark/>
          </w:tcPr>
          <w:p w14:paraId="799F53A4" w14:textId="77777777" w:rsidR="0070472A" w:rsidRPr="0070472A" w:rsidRDefault="0070472A" w:rsidP="0070472A">
            <w:pPr>
              <w:spacing w:line="240" w:lineRule="auto"/>
              <w:jc w:val="right"/>
              <w:rPr>
                <w:rFonts w:cs="Times New Roman"/>
                <w:color w:val="000000"/>
              </w:rPr>
            </w:pPr>
            <w:r w:rsidRPr="0070472A">
              <w:rPr>
                <w:rFonts w:cs="Times New Roman"/>
                <w:color w:val="000000"/>
              </w:rPr>
              <w:t>0.43</w:t>
            </w:r>
          </w:p>
        </w:tc>
        <w:tc>
          <w:tcPr>
            <w:tcW w:w="619" w:type="dxa"/>
            <w:tcBorders>
              <w:top w:val="nil"/>
              <w:left w:val="nil"/>
              <w:bottom w:val="nil"/>
              <w:right w:val="nil"/>
            </w:tcBorders>
            <w:shd w:val="clear" w:color="000000" w:fill="BFBFBF"/>
            <w:noWrap/>
            <w:vAlign w:val="bottom"/>
            <w:hideMark/>
          </w:tcPr>
          <w:p w14:paraId="7058AC3E" w14:textId="77777777" w:rsidR="0070472A" w:rsidRPr="0070472A" w:rsidRDefault="0070472A" w:rsidP="0070472A">
            <w:pPr>
              <w:spacing w:line="240" w:lineRule="auto"/>
              <w:rPr>
                <w:rFonts w:cs="Times New Roman"/>
                <w:color w:val="000000"/>
              </w:rPr>
            </w:pPr>
            <w:r w:rsidRPr="0070472A">
              <w:rPr>
                <w:rFonts w:cs="Times New Roman"/>
                <w:color w:val="000000"/>
              </w:rPr>
              <w:t>***</w:t>
            </w:r>
          </w:p>
        </w:tc>
        <w:tc>
          <w:tcPr>
            <w:tcW w:w="841" w:type="dxa"/>
            <w:tcBorders>
              <w:top w:val="nil"/>
              <w:left w:val="nil"/>
              <w:bottom w:val="nil"/>
              <w:right w:val="nil"/>
            </w:tcBorders>
            <w:shd w:val="clear" w:color="auto" w:fill="auto"/>
            <w:noWrap/>
            <w:vAlign w:val="bottom"/>
            <w:hideMark/>
          </w:tcPr>
          <w:p w14:paraId="14D4B57F" w14:textId="77777777" w:rsidR="0070472A" w:rsidRPr="0070472A" w:rsidRDefault="0070472A" w:rsidP="0070472A">
            <w:pPr>
              <w:spacing w:line="240" w:lineRule="auto"/>
              <w:rPr>
                <w:rFonts w:cs="Times New Roman"/>
                <w:color w:val="000000"/>
              </w:rPr>
            </w:pPr>
          </w:p>
        </w:tc>
        <w:tc>
          <w:tcPr>
            <w:tcW w:w="619" w:type="dxa"/>
            <w:tcBorders>
              <w:top w:val="nil"/>
              <w:left w:val="nil"/>
              <w:bottom w:val="nil"/>
              <w:right w:val="nil"/>
            </w:tcBorders>
            <w:shd w:val="clear" w:color="auto" w:fill="auto"/>
            <w:noWrap/>
            <w:vAlign w:val="bottom"/>
            <w:hideMark/>
          </w:tcPr>
          <w:p w14:paraId="3F437D10" w14:textId="77777777" w:rsidR="0070472A" w:rsidRPr="0070472A" w:rsidRDefault="0070472A" w:rsidP="0070472A">
            <w:pPr>
              <w:spacing w:line="240" w:lineRule="auto"/>
              <w:rPr>
                <w:rFonts w:cs="Times New Roman"/>
                <w:color w:val="000000"/>
              </w:rPr>
            </w:pPr>
          </w:p>
        </w:tc>
        <w:tc>
          <w:tcPr>
            <w:tcW w:w="841" w:type="dxa"/>
            <w:tcBorders>
              <w:top w:val="nil"/>
              <w:left w:val="nil"/>
              <w:bottom w:val="nil"/>
              <w:right w:val="nil"/>
            </w:tcBorders>
            <w:shd w:val="clear" w:color="auto" w:fill="auto"/>
            <w:noWrap/>
            <w:vAlign w:val="bottom"/>
            <w:hideMark/>
          </w:tcPr>
          <w:p w14:paraId="1B21A3EF" w14:textId="77777777" w:rsidR="0070472A" w:rsidRPr="0070472A" w:rsidRDefault="0070472A" w:rsidP="0070472A">
            <w:pPr>
              <w:spacing w:line="240" w:lineRule="auto"/>
              <w:jc w:val="right"/>
              <w:rPr>
                <w:rFonts w:cs="Times New Roman"/>
                <w:color w:val="000000"/>
              </w:rPr>
            </w:pPr>
            <w:r w:rsidRPr="0070472A">
              <w:rPr>
                <w:rFonts w:cs="Times New Roman"/>
                <w:color w:val="000000"/>
              </w:rPr>
              <w:t>-0.04</w:t>
            </w:r>
          </w:p>
        </w:tc>
        <w:tc>
          <w:tcPr>
            <w:tcW w:w="619" w:type="dxa"/>
            <w:tcBorders>
              <w:top w:val="nil"/>
              <w:left w:val="nil"/>
              <w:bottom w:val="nil"/>
              <w:right w:val="nil"/>
            </w:tcBorders>
            <w:shd w:val="clear" w:color="auto" w:fill="auto"/>
            <w:noWrap/>
            <w:vAlign w:val="bottom"/>
            <w:hideMark/>
          </w:tcPr>
          <w:p w14:paraId="749AC87C" w14:textId="77777777" w:rsidR="0070472A" w:rsidRPr="0070472A" w:rsidRDefault="0070472A" w:rsidP="0070472A">
            <w:pPr>
              <w:spacing w:line="240" w:lineRule="auto"/>
              <w:rPr>
                <w:rFonts w:cs="Times New Roman"/>
                <w:color w:val="000000"/>
              </w:rPr>
            </w:pPr>
          </w:p>
        </w:tc>
      </w:tr>
      <w:tr w:rsidR="0070472A" w:rsidRPr="0070472A" w14:paraId="4BFC3311" w14:textId="77777777" w:rsidTr="0070472A">
        <w:trPr>
          <w:trHeight w:val="375"/>
        </w:trPr>
        <w:tc>
          <w:tcPr>
            <w:tcW w:w="2960" w:type="dxa"/>
            <w:tcBorders>
              <w:top w:val="nil"/>
              <w:left w:val="nil"/>
              <w:bottom w:val="nil"/>
              <w:right w:val="nil"/>
            </w:tcBorders>
            <w:shd w:val="clear" w:color="auto" w:fill="auto"/>
            <w:noWrap/>
            <w:vAlign w:val="bottom"/>
            <w:hideMark/>
          </w:tcPr>
          <w:p w14:paraId="2F75423D" w14:textId="77777777" w:rsidR="0070472A" w:rsidRPr="0070472A" w:rsidRDefault="0070472A" w:rsidP="0070472A">
            <w:pPr>
              <w:spacing w:line="240" w:lineRule="auto"/>
              <w:rPr>
                <w:rFonts w:cs="Times New Roman"/>
                <w:b/>
                <w:bCs/>
              </w:rPr>
            </w:pPr>
            <w:r w:rsidRPr="0070472A">
              <w:rPr>
                <w:rFonts w:cs="Times New Roman"/>
                <w:b/>
                <w:bCs/>
              </w:rPr>
              <w:t>Leaf Angle</w:t>
            </w:r>
            <w:r w:rsidRPr="0070472A">
              <w:rPr>
                <w:rFonts w:cs="Times New Roman"/>
                <w:b/>
                <w:bCs/>
                <w:vertAlign w:val="superscript"/>
              </w:rPr>
              <w:t xml:space="preserve"> ¶</w:t>
            </w:r>
          </w:p>
        </w:tc>
        <w:tc>
          <w:tcPr>
            <w:tcW w:w="841" w:type="dxa"/>
            <w:tcBorders>
              <w:top w:val="nil"/>
              <w:left w:val="nil"/>
              <w:bottom w:val="nil"/>
              <w:right w:val="nil"/>
            </w:tcBorders>
            <w:shd w:val="clear" w:color="auto" w:fill="auto"/>
            <w:noWrap/>
            <w:vAlign w:val="bottom"/>
            <w:hideMark/>
          </w:tcPr>
          <w:p w14:paraId="407AEF9C" w14:textId="77777777" w:rsidR="0070472A" w:rsidRPr="0070472A" w:rsidRDefault="0070472A" w:rsidP="0070472A">
            <w:pPr>
              <w:spacing w:line="240" w:lineRule="auto"/>
              <w:rPr>
                <w:rFonts w:cs="Times New Roman"/>
                <w:color w:val="000000"/>
              </w:rPr>
            </w:pPr>
          </w:p>
        </w:tc>
        <w:tc>
          <w:tcPr>
            <w:tcW w:w="619" w:type="dxa"/>
            <w:tcBorders>
              <w:top w:val="nil"/>
              <w:left w:val="nil"/>
              <w:bottom w:val="nil"/>
              <w:right w:val="nil"/>
            </w:tcBorders>
            <w:shd w:val="clear" w:color="auto" w:fill="auto"/>
            <w:noWrap/>
            <w:vAlign w:val="bottom"/>
            <w:hideMark/>
          </w:tcPr>
          <w:p w14:paraId="4746F828" w14:textId="77777777" w:rsidR="0070472A" w:rsidRPr="0070472A" w:rsidRDefault="0070472A" w:rsidP="0070472A">
            <w:pPr>
              <w:spacing w:line="240" w:lineRule="auto"/>
              <w:rPr>
                <w:rFonts w:cs="Times New Roman"/>
                <w:color w:val="000000"/>
              </w:rPr>
            </w:pPr>
          </w:p>
        </w:tc>
        <w:tc>
          <w:tcPr>
            <w:tcW w:w="841" w:type="dxa"/>
            <w:tcBorders>
              <w:top w:val="nil"/>
              <w:left w:val="nil"/>
              <w:bottom w:val="nil"/>
              <w:right w:val="nil"/>
            </w:tcBorders>
            <w:shd w:val="clear" w:color="auto" w:fill="auto"/>
            <w:noWrap/>
            <w:vAlign w:val="bottom"/>
            <w:hideMark/>
          </w:tcPr>
          <w:p w14:paraId="08AAF120" w14:textId="77777777" w:rsidR="0070472A" w:rsidRPr="0070472A" w:rsidRDefault="0070472A" w:rsidP="0070472A">
            <w:pPr>
              <w:spacing w:line="240" w:lineRule="auto"/>
              <w:jc w:val="right"/>
              <w:rPr>
                <w:rFonts w:cs="Times New Roman"/>
                <w:color w:val="000000"/>
              </w:rPr>
            </w:pPr>
            <w:r w:rsidRPr="0070472A">
              <w:rPr>
                <w:rFonts w:cs="Times New Roman"/>
                <w:color w:val="000000"/>
              </w:rPr>
              <w:t>-0.08</w:t>
            </w:r>
          </w:p>
        </w:tc>
        <w:tc>
          <w:tcPr>
            <w:tcW w:w="619" w:type="dxa"/>
            <w:tcBorders>
              <w:top w:val="nil"/>
              <w:left w:val="nil"/>
              <w:bottom w:val="nil"/>
              <w:right w:val="nil"/>
            </w:tcBorders>
            <w:shd w:val="clear" w:color="auto" w:fill="auto"/>
            <w:noWrap/>
            <w:vAlign w:val="bottom"/>
            <w:hideMark/>
          </w:tcPr>
          <w:p w14:paraId="20F0FCE4" w14:textId="77777777" w:rsidR="0070472A" w:rsidRPr="0070472A" w:rsidRDefault="0070472A" w:rsidP="0070472A">
            <w:pPr>
              <w:spacing w:line="240" w:lineRule="auto"/>
              <w:rPr>
                <w:rFonts w:cs="Times New Roman"/>
                <w:color w:val="000000"/>
              </w:rPr>
            </w:pPr>
            <w:r w:rsidRPr="0070472A">
              <w:rPr>
                <w:rFonts w:cs="Times New Roman"/>
                <w:color w:val="000000"/>
              </w:rPr>
              <w:t>***</w:t>
            </w:r>
          </w:p>
        </w:tc>
        <w:tc>
          <w:tcPr>
            <w:tcW w:w="841" w:type="dxa"/>
            <w:tcBorders>
              <w:top w:val="nil"/>
              <w:left w:val="nil"/>
              <w:bottom w:val="nil"/>
              <w:right w:val="nil"/>
            </w:tcBorders>
            <w:shd w:val="clear" w:color="auto" w:fill="auto"/>
            <w:noWrap/>
            <w:vAlign w:val="bottom"/>
            <w:hideMark/>
          </w:tcPr>
          <w:p w14:paraId="58228D5F" w14:textId="77777777" w:rsidR="0070472A" w:rsidRPr="0070472A" w:rsidRDefault="0070472A" w:rsidP="0070472A">
            <w:pPr>
              <w:spacing w:line="240" w:lineRule="auto"/>
              <w:rPr>
                <w:rFonts w:cs="Times New Roman"/>
                <w:color w:val="000000"/>
              </w:rPr>
            </w:pPr>
          </w:p>
        </w:tc>
        <w:tc>
          <w:tcPr>
            <w:tcW w:w="619" w:type="dxa"/>
            <w:tcBorders>
              <w:top w:val="nil"/>
              <w:left w:val="nil"/>
              <w:bottom w:val="nil"/>
              <w:right w:val="nil"/>
            </w:tcBorders>
            <w:shd w:val="clear" w:color="auto" w:fill="auto"/>
            <w:noWrap/>
            <w:vAlign w:val="bottom"/>
            <w:hideMark/>
          </w:tcPr>
          <w:p w14:paraId="4096477C" w14:textId="77777777" w:rsidR="0070472A" w:rsidRPr="0070472A" w:rsidRDefault="0070472A" w:rsidP="0070472A">
            <w:pPr>
              <w:spacing w:line="240" w:lineRule="auto"/>
              <w:rPr>
                <w:rFonts w:cs="Times New Roman"/>
                <w:color w:val="000000"/>
              </w:rPr>
            </w:pPr>
          </w:p>
        </w:tc>
        <w:tc>
          <w:tcPr>
            <w:tcW w:w="841" w:type="dxa"/>
            <w:tcBorders>
              <w:top w:val="nil"/>
              <w:left w:val="nil"/>
              <w:bottom w:val="nil"/>
              <w:right w:val="nil"/>
            </w:tcBorders>
            <w:shd w:val="clear" w:color="auto" w:fill="auto"/>
            <w:noWrap/>
            <w:vAlign w:val="bottom"/>
            <w:hideMark/>
          </w:tcPr>
          <w:p w14:paraId="60412EF2" w14:textId="77777777" w:rsidR="0070472A" w:rsidRPr="0070472A" w:rsidRDefault="0070472A" w:rsidP="0070472A">
            <w:pPr>
              <w:spacing w:line="240" w:lineRule="auto"/>
              <w:jc w:val="right"/>
              <w:rPr>
                <w:rFonts w:cs="Times New Roman"/>
                <w:color w:val="000000"/>
              </w:rPr>
            </w:pPr>
            <w:r w:rsidRPr="0070472A">
              <w:rPr>
                <w:rFonts w:cs="Times New Roman"/>
                <w:color w:val="000000"/>
              </w:rPr>
              <w:t>0.00</w:t>
            </w:r>
          </w:p>
        </w:tc>
        <w:tc>
          <w:tcPr>
            <w:tcW w:w="619" w:type="dxa"/>
            <w:tcBorders>
              <w:top w:val="nil"/>
              <w:left w:val="nil"/>
              <w:bottom w:val="nil"/>
              <w:right w:val="nil"/>
            </w:tcBorders>
            <w:shd w:val="clear" w:color="auto" w:fill="auto"/>
            <w:noWrap/>
            <w:vAlign w:val="bottom"/>
            <w:hideMark/>
          </w:tcPr>
          <w:p w14:paraId="3FB2DE05" w14:textId="77777777" w:rsidR="0070472A" w:rsidRPr="0070472A" w:rsidRDefault="0070472A" w:rsidP="0070472A">
            <w:pPr>
              <w:spacing w:line="240" w:lineRule="auto"/>
              <w:rPr>
                <w:rFonts w:cs="Times New Roman"/>
                <w:color w:val="000000"/>
              </w:rPr>
            </w:pPr>
          </w:p>
        </w:tc>
      </w:tr>
      <w:tr w:rsidR="0070472A" w:rsidRPr="0070472A" w14:paraId="219375B7" w14:textId="77777777" w:rsidTr="0070472A">
        <w:trPr>
          <w:trHeight w:val="315"/>
        </w:trPr>
        <w:tc>
          <w:tcPr>
            <w:tcW w:w="2960" w:type="dxa"/>
            <w:tcBorders>
              <w:top w:val="nil"/>
              <w:left w:val="nil"/>
              <w:bottom w:val="nil"/>
              <w:right w:val="nil"/>
            </w:tcBorders>
            <w:shd w:val="clear" w:color="auto" w:fill="auto"/>
            <w:noWrap/>
            <w:vAlign w:val="bottom"/>
            <w:hideMark/>
          </w:tcPr>
          <w:p w14:paraId="253FF76F" w14:textId="77777777" w:rsidR="0070472A" w:rsidRPr="0070472A" w:rsidRDefault="0070472A" w:rsidP="0070472A">
            <w:pPr>
              <w:spacing w:line="240" w:lineRule="auto"/>
              <w:rPr>
                <w:rFonts w:cs="Times New Roman"/>
                <w:b/>
                <w:bCs/>
              </w:rPr>
            </w:pPr>
            <w:r w:rsidRPr="0070472A">
              <w:rPr>
                <w:rFonts w:cs="Times New Roman"/>
                <w:b/>
                <w:bCs/>
              </w:rPr>
              <w:t>Tiller Number</w:t>
            </w:r>
          </w:p>
        </w:tc>
        <w:tc>
          <w:tcPr>
            <w:tcW w:w="841" w:type="dxa"/>
            <w:tcBorders>
              <w:top w:val="nil"/>
              <w:left w:val="nil"/>
              <w:bottom w:val="nil"/>
              <w:right w:val="nil"/>
            </w:tcBorders>
            <w:shd w:val="clear" w:color="auto" w:fill="auto"/>
            <w:noWrap/>
            <w:vAlign w:val="bottom"/>
            <w:hideMark/>
          </w:tcPr>
          <w:p w14:paraId="22041227" w14:textId="77777777" w:rsidR="0070472A" w:rsidRPr="0070472A" w:rsidRDefault="0070472A" w:rsidP="0070472A">
            <w:pPr>
              <w:spacing w:line="240" w:lineRule="auto"/>
              <w:rPr>
                <w:rFonts w:cs="Times New Roman"/>
                <w:color w:val="000000"/>
              </w:rPr>
            </w:pPr>
          </w:p>
        </w:tc>
        <w:tc>
          <w:tcPr>
            <w:tcW w:w="619" w:type="dxa"/>
            <w:tcBorders>
              <w:top w:val="nil"/>
              <w:left w:val="nil"/>
              <w:bottom w:val="nil"/>
              <w:right w:val="nil"/>
            </w:tcBorders>
            <w:shd w:val="clear" w:color="auto" w:fill="auto"/>
            <w:noWrap/>
            <w:vAlign w:val="bottom"/>
            <w:hideMark/>
          </w:tcPr>
          <w:p w14:paraId="113917D2" w14:textId="77777777" w:rsidR="0070472A" w:rsidRPr="0070472A" w:rsidRDefault="0070472A" w:rsidP="0070472A">
            <w:pPr>
              <w:spacing w:line="240" w:lineRule="auto"/>
              <w:rPr>
                <w:rFonts w:cs="Times New Roman"/>
                <w:color w:val="000000"/>
              </w:rPr>
            </w:pPr>
          </w:p>
        </w:tc>
        <w:tc>
          <w:tcPr>
            <w:tcW w:w="841" w:type="dxa"/>
            <w:tcBorders>
              <w:top w:val="nil"/>
              <w:left w:val="nil"/>
              <w:bottom w:val="nil"/>
              <w:right w:val="nil"/>
            </w:tcBorders>
            <w:shd w:val="clear" w:color="000000" w:fill="808080"/>
            <w:noWrap/>
            <w:vAlign w:val="bottom"/>
            <w:hideMark/>
          </w:tcPr>
          <w:p w14:paraId="565388DD" w14:textId="77777777" w:rsidR="0070472A" w:rsidRPr="0070472A" w:rsidRDefault="0070472A" w:rsidP="0070472A">
            <w:pPr>
              <w:spacing w:line="240" w:lineRule="auto"/>
              <w:jc w:val="right"/>
              <w:rPr>
                <w:rFonts w:cs="Times New Roman"/>
                <w:color w:val="000000"/>
              </w:rPr>
            </w:pPr>
            <w:r w:rsidRPr="0070472A">
              <w:rPr>
                <w:rFonts w:cs="Times New Roman"/>
                <w:color w:val="000000"/>
              </w:rPr>
              <w:t>0.78</w:t>
            </w:r>
          </w:p>
        </w:tc>
        <w:tc>
          <w:tcPr>
            <w:tcW w:w="619" w:type="dxa"/>
            <w:tcBorders>
              <w:top w:val="nil"/>
              <w:left w:val="nil"/>
              <w:bottom w:val="nil"/>
              <w:right w:val="nil"/>
            </w:tcBorders>
            <w:shd w:val="clear" w:color="000000" w:fill="808080"/>
            <w:noWrap/>
            <w:vAlign w:val="bottom"/>
            <w:hideMark/>
          </w:tcPr>
          <w:p w14:paraId="5DB65B41" w14:textId="77777777" w:rsidR="0070472A" w:rsidRPr="0070472A" w:rsidRDefault="0070472A" w:rsidP="0070472A">
            <w:pPr>
              <w:spacing w:line="240" w:lineRule="auto"/>
              <w:rPr>
                <w:rFonts w:cs="Times New Roman"/>
                <w:color w:val="000000"/>
              </w:rPr>
            </w:pPr>
            <w:r w:rsidRPr="0070472A">
              <w:rPr>
                <w:rFonts w:cs="Times New Roman"/>
                <w:color w:val="000000"/>
              </w:rPr>
              <w:t>***</w:t>
            </w:r>
          </w:p>
        </w:tc>
        <w:tc>
          <w:tcPr>
            <w:tcW w:w="841" w:type="dxa"/>
            <w:tcBorders>
              <w:top w:val="nil"/>
              <w:left w:val="nil"/>
              <w:bottom w:val="nil"/>
              <w:right w:val="nil"/>
            </w:tcBorders>
            <w:shd w:val="clear" w:color="auto" w:fill="auto"/>
            <w:noWrap/>
            <w:vAlign w:val="bottom"/>
            <w:hideMark/>
          </w:tcPr>
          <w:p w14:paraId="37D7A5B4" w14:textId="77777777" w:rsidR="0070472A" w:rsidRPr="0070472A" w:rsidRDefault="0070472A" w:rsidP="0070472A">
            <w:pPr>
              <w:spacing w:line="240" w:lineRule="auto"/>
              <w:rPr>
                <w:rFonts w:cs="Times New Roman"/>
                <w:color w:val="000000"/>
              </w:rPr>
            </w:pPr>
          </w:p>
        </w:tc>
        <w:tc>
          <w:tcPr>
            <w:tcW w:w="619" w:type="dxa"/>
            <w:tcBorders>
              <w:top w:val="nil"/>
              <w:left w:val="nil"/>
              <w:bottom w:val="nil"/>
              <w:right w:val="nil"/>
            </w:tcBorders>
            <w:shd w:val="clear" w:color="auto" w:fill="auto"/>
            <w:noWrap/>
            <w:vAlign w:val="bottom"/>
            <w:hideMark/>
          </w:tcPr>
          <w:p w14:paraId="66FCC31B" w14:textId="77777777" w:rsidR="0070472A" w:rsidRPr="0070472A" w:rsidRDefault="0070472A" w:rsidP="0070472A">
            <w:pPr>
              <w:spacing w:line="240" w:lineRule="auto"/>
              <w:rPr>
                <w:rFonts w:cs="Times New Roman"/>
                <w:color w:val="000000"/>
              </w:rPr>
            </w:pPr>
          </w:p>
        </w:tc>
        <w:tc>
          <w:tcPr>
            <w:tcW w:w="841" w:type="dxa"/>
            <w:tcBorders>
              <w:top w:val="nil"/>
              <w:left w:val="nil"/>
              <w:bottom w:val="nil"/>
              <w:right w:val="nil"/>
            </w:tcBorders>
            <w:shd w:val="clear" w:color="auto" w:fill="auto"/>
            <w:noWrap/>
            <w:vAlign w:val="bottom"/>
            <w:hideMark/>
          </w:tcPr>
          <w:p w14:paraId="09D5BF0D" w14:textId="77777777" w:rsidR="0070472A" w:rsidRPr="0070472A" w:rsidRDefault="0070472A" w:rsidP="0070472A">
            <w:pPr>
              <w:spacing w:line="240" w:lineRule="auto"/>
              <w:jc w:val="right"/>
              <w:rPr>
                <w:rFonts w:cs="Times New Roman"/>
                <w:color w:val="000000"/>
              </w:rPr>
            </w:pPr>
            <w:r w:rsidRPr="0070472A">
              <w:rPr>
                <w:rFonts w:cs="Times New Roman"/>
                <w:color w:val="000000"/>
              </w:rPr>
              <w:t>-0.19</w:t>
            </w:r>
          </w:p>
        </w:tc>
        <w:tc>
          <w:tcPr>
            <w:tcW w:w="619" w:type="dxa"/>
            <w:tcBorders>
              <w:top w:val="nil"/>
              <w:left w:val="nil"/>
              <w:bottom w:val="nil"/>
              <w:right w:val="nil"/>
            </w:tcBorders>
            <w:shd w:val="clear" w:color="auto" w:fill="auto"/>
            <w:noWrap/>
            <w:vAlign w:val="bottom"/>
            <w:hideMark/>
          </w:tcPr>
          <w:p w14:paraId="680EF9D6" w14:textId="77777777" w:rsidR="0070472A" w:rsidRPr="0070472A" w:rsidRDefault="0070472A" w:rsidP="0070472A">
            <w:pPr>
              <w:spacing w:line="240" w:lineRule="auto"/>
              <w:rPr>
                <w:rFonts w:cs="Times New Roman"/>
                <w:color w:val="000000"/>
              </w:rPr>
            </w:pPr>
            <w:r w:rsidRPr="0070472A">
              <w:rPr>
                <w:rFonts w:cs="Times New Roman"/>
                <w:color w:val="000000"/>
              </w:rPr>
              <w:t>***</w:t>
            </w:r>
          </w:p>
        </w:tc>
      </w:tr>
      <w:tr w:rsidR="0070472A" w:rsidRPr="0070472A" w14:paraId="1439719A" w14:textId="77777777" w:rsidTr="0070472A">
        <w:trPr>
          <w:trHeight w:val="315"/>
        </w:trPr>
        <w:tc>
          <w:tcPr>
            <w:tcW w:w="2960" w:type="dxa"/>
            <w:tcBorders>
              <w:top w:val="nil"/>
              <w:left w:val="nil"/>
              <w:bottom w:val="nil"/>
              <w:right w:val="nil"/>
            </w:tcBorders>
            <w:shd w:val="clear" w:color="auto" w:fill="auto"/>
            <w:noWrap/>
            <w:vAlign w:val="bottom"/>
            <w:hideMark/>
          </w:tcPr>
          <w:p w14:paraId="3117A155" w14:textId="77777777" w:rsidR="0070472A" w:rsidRPr="0070472A" w:rsidRDefault="0070472A" w:rsidP="0070472A">
            <w:pPr>
              <w:spacing w:line="240" w:lineRule="auto"/>
              <w:rPr>
                <w:rFonts w:cs="Times New Roman"/>
                <w:b/>
                <w:bCs/>
              </w:rPr>
            </w:pPr>
            <w:r w:rsidRPr="0070472A">
              <w:rPr>
                <w:rFonts w:cs="Times New Roman"/>
                <w:b/>
                <w:bCs/>
              </w:rPr>
              <w:t>Tiller Diameter (mm)</w:t>
            </w:r>
          </w:p>
        </w:tc>
        <w:tc>
          <w:tcPr>
            <w:tcW w:w="841" w:type="dxa"/>
            <w:tcBorders>
              <w:top w:val="nil"/>
              <w:left w:val="nil"/>
              <w:bottom w:val="nil"/>
              <w:right w:val="nil"/>
            </w:tcBorders>
            <w:shd w:val="clear" w:color="auto" w:fill="auto"/>
            <w:noWrap/>
            <w:vAlign w:val="bottom"/>
            <w:hideMark/>
          </w:tcPr>
          <w:p w14:paraId="72950807" w14:textId="77777777" w:rsidR="0070472A" w:rsidRPr="0070472A" w:rsidRDefault="0070472A" w:rsidP="0070472A">
            <w:pPr>
              <w:spacing w:line="240" w:lineRule="auto"/>
              <w:rPr>
                <w:rFonts w:cs="Times New Roman"/>
                <w:color w:val="000000"/>
              </w:rPr>
            </w:pPr>
          </w:p>
        </w:tc>
        <w:tc>
          <w:tcPr>
            <w:tcW w:w="619" w:type="dxa"/>
            <w:tcBorders>
              <w:top w:val="nil"/>
              <w:left w:val="nil"/>
              <w:bottom w:val="nil"/>
              <w:right w:val="nil"/>
            </w:tcBorders>
            <w:shd w:val="clear" w:color="auto" w:fill="auto"/>
            <w:noWrap/>
            <w:vAlign w:val="bottom"/>
            <w:hideMark/>
          </w:tcPr>
          <w:p w14:paraId="5A61DFB0" w14:textId="77777777" w:rsidR="0070472A" w:rsidRPr="0070472A" w:rsidRDefault="0070472A" w:rsidP="0070472A">
            <w:pPr>
              <w:spacing w:line="240" w:lineRule="auto"/>
              <w:rPr>
                <w:rFonts w:cs="Times New Roman"/>
                <w:color w:val="000000"/>
              </w:rPr>
            </w:pPr>
          </w:p>
        </w:tc>
        <w:tc>
          <w:tcPr>
            <w:tcW w:w="841" w:type="dxa"/>
            <w:tcBorders>
              <w:top w:val="nil"/>
              <w:left w:val="nil"/>
              <w:bottom w:val="nil"/>
              <w:right w:val="nil"/>
            </w:tcBorders>
            <w:shd w:val="clear" w:color="000000" w:fill="BFBFBF"/>
            <w:noWrap/>
            <w:vAlign w:val="bottom"/>
            <w:hideMark/>
          </w:tcPr>
          <w:p w14:paraId="77CF598C" w14:textId="77777777" w:rsidR="0070472A" w:rsidRPr="0070472A" w:rsidRDefault="0070472A" w:rsidP="0070472A">
            <w:pPr>
              <w:spacing w:line="240" w:lineRule="auto"/>
              <w:jc w:val="right"/>
              <w:rPr>
                <w:rFonts w:cs="Times New Roman"/>
                <w:color w:val="000000"/>
              </w:rPr>
            </w:pPr>
            <w:r w:rsidRPr="0070472A">
              <w:rPr>
                <w:rFonts w:cs="Times New Roman"/>
                <w:color w:val="000000"/>
              </w:rPr>
              <w:t>0.57</w:t>
            </w:r>
          </w:p>
        </w:tc>
        <w:tc>
          <w:tcPr>
            <w:tcW w:w="619" w:type="dxa"/>
            <w:tcBorders>
              <w:top w:val="nil"/>
              <w:left w:val="nil"/>
              <w:bottom w:val="nil"/>
              <w:right w:val="nil"/>
            </w:tcBorders>
            <w:shd w:val="clear" w:color="000000" w:fill="BFBFBF"/>
            <w:noWrap/>
            <w:vAlign w:val="bottom"/>
            <w:hideMark/>
          </w:tcPr>
          <w:p w14:paraId="68AB3E4D" w14:textId="77777777" w:rsidR="0070472A" w:rsidRPr="0070472A" w:rsidRDefault="0070472A" w:rsidP="0070472A">
            <w:pPr>
              <w:spacing w:line="240" w:lineRule="auto"/>
              <w:rPr>
                <w:rFonts w:cs="Times New Roman"/>
                <w:color w:val="000000"/>
              </w:rPr>
            </w:pPr>
            <w:r w:rsidRPr="0070472A">
              <w:rPr>
                <w:rFonts w:cs="Times New Roman"/>
                <w:color w:val="000000"/>
              </w:rPr>
              <w:t>***</w:t>
            </w:r>
          </w:p>
        </w:tc>
        <w:tc>
          <w:tcPr>
            <w:tcW w:w="841" w:type="dxa"/>
            <w:tcBorders>
              <w:top w:val="nil"/>
              <w:left w:val="nil"/>
              <w:bottom w:val="nil"/>
              <w:right w:val="nil"/>
            </w:tcBorders>
            <w:shd w:val="clear" w:color="auto" w:fill="auto"/>
            <w:noWrap/>
            <w:vAlign w:val="bottom"/>
            <w:hideMark/>
          </w:tcPr>
          <w:p w14:paraId="0C82064A" w14:textId="77777777" w:rsidR="0070472A" w:rsidRPr="0070472A" w:rsidRDefault="0070472A" w:rsidP="0070472A">
            <w:pPr>
              <w:spacing w:line="240" w:lineRule="auto"/>
              <w:rPr>
                <w:rFonts w:cs="Times New Roman"/>
                <w:color w:val="000000"/>
              </w:rPr>
            </w:pPr>
          </w:p>
        </w:tc>
        <w:tc>
          <w:tcPr>
            <w:tcW w:w="619" w:type="dxa"/>
            <w:tcBorders>
              <w:top w:val="nil"/>
              <w:left w:val="nil"/>
              <w:bottom w:val="nil"/>
              <w:right w:val="nil"/>
            </w:tcBorders>
            <w:shd w:val="clear" w:color="auto" w:fill="auto"/>
            <w:noWrap/>
            <w:vAlign w:val="bottom"/>
            <w:hideMark/>
          </w:tcPr>
          <w:p w14:paraId="7337F116" w14:textId="77777777" w:rsidR="0070472A" w:rsidRPr="0070472A" w:rsidRDefault="0070472A" w:rsidP="0070472A">
            <w:pPr>
              <w:spacing w:line="240" w:lineRule="auto"/>
              <w:rPr>
                <w:rFonts w:cs="Times New Roman"/>
                <w:color w:val="000000"/>
              </w:rPr>
            </w:pPr>
          </w:p>
        </w:tc>
        <w:tc>
          <w:tcPr>
            <w:tcW w:w="841" w:type="dxa"/>
            <w:tcBorders>
              <w:top w:val="nil"/>
              <w:left w:val="nil"/>
              <w:bottom w:val="nil"/>
              <w:right w:val="nil"/>
            </w:tcBorders>
            <w:shd w:val="clear" w:color="auto" w:fill="auto"/>
            <w:noWrap/>
            <w:vAlign w:val="bottom"/>
            <w:hideMark/>
          </w:tcPr>
          <w:p w14:paraId="4428DFA3" w14:textId="77777777" w:rsidR="0070472A" w:rsidRPr="0070472A" w:rsidRDefault="0070472A" w:rsidP="0070472A">
            <w:pPr>
              <w:spacing w:line="240" w:lineRule="auto"/>
              <w:jc w:val="right"/>
              <w:rPr>
                <w:rFonts w:cs="Times New Roman"/>
                <w:color w:val="000000"/>
              </w:rPr>
            </w:pPr>
            <w:r w:rsidRPr="0070472A">
              <w:rPr>
                <w:rFonts w:cs="Times New Roman"/>
                <w:color w:val="000000"/>
              </w:rPr>
              <w:t>-0.28</w:t>
            </w:r>
          </w:p>
        </w:tc>
        <w:tc>
          <w:tcPr>
            <w:tcW w:w="619" w:type="dxa"/>
            <w:tcBorders>
              <w:top w:val="nil"/>
              <w:left w:val="nil"/>
              <w:bottom w:val="nil"/>
              <w:right w:val="nil"/>
            </w:tcBorders>
            <w:shd w:val="clear" w:color="auto" w:fill="auto"/>
            <w:noWrap/>
            <w:vAlign w:val="bottom"/>
            <w:hideMark/>
          </w:tcPr>
          <w:p w14:paraId="6F1859C9" w14:textId="77777777" w:rsidR="0070472A" w:rsidRPr="0070472A" w:rsidRDefault="0070472A" w:rsidP="0070472A">
            <w:pPr>
              <w:spacing w:line="240" w:lineRule="auto"/>
              <w:rPr>
                <w:rFonts w:cs="Times New Roman"/>
                <w:color w:val="000000"/>
              </w:rPr>
            </w:pPr>
            <w:r w:rsidRPr="0070472A">
              <w:rPr>
                <w:rFonts w:cs="Times New Roman"/>
                <w:color w:val="000000"/>
              </w:rPr>
              <w:t>***</w:t>
            </w:r>
          </w:p>
        </w:tc>
      </w:tr>
      <w:tr w:rsidR="0070472A" w:rsidRPr="0070472A" w14:paraId="2C783FD9" w14:textId="77777777" w:rsidTr="0070472A">
        <w:trPr>
          <w:trHeight w:val="315"/>
        </w:trPr>
        <w:tc>
          <w:tcPr>
            <w:tcW w:w="2960" w:type="dxa"/>
            <w:tcBorders>
              <w:top w:val="nil"/>
              <w:left w:val="nil"/>
              <w:bottom w:val="nil"/>
              <w:right w:val="nil"/>
            </w:tcBorders>
            <w:shd w:val="clear" w:color="auto" w:fill="auto"/>
            <w:noWrap/>
            <w:vAlign w:val="bottom"/>
            <w:hideMark/>
          </w:tcPr>
          <w:p w14:paraId="7AC7E4E7" w14:textId="2EBCC543" w:rsidR="0070472A" w:rsidRPr="0070472A" w:rsidRDefault="00B8390A" w:rsidP="0070472A">
            <w:pPr>
              <w:spacing w:line="240" w:lineRule="auto"/>
              <w:rPr>
                <w:rFonts w:cs="Times New Roman"/>
                <w:b/>
                <w:bCs/>
              </w:rPr>
            </w:pPr>
            <w:r>
              <w:rPr>
                <w:rFonts w:cs="Times New Roman"/>
                <w:b/>
                <w:bCs/>
              </w:rPr>
              <w:t>Leaf Width</w:t>
            </w:r>
            <w:r w:rsidR="0070472A" w:rsidRPr="0070472A">
              <w:rPr>
                <w:rFonts w:cs="Times New Roman"/>
                <w:b/>
                <w:bCs/>
              </w:rPr>
              <w:t xml:space="preserve"> (mm)</w:t>
            </w:r>
          </w:p>
        </w:tc>
        <w:tc>
          <w:tcPr>
            <w:tcW w:w="841" w:type="dxa"/>
            <w:tcBorders>
              <w:top w:val="nil"/>
              <w:left w:val="nil"/>
              <w:bottom w:val="nil"/>
              <w:right w:val="nil"/>
            </w:tcBorders>
            <w:shd w:val="clear" w:color="auto" w:fill="auto"/>
            <w:noWrap/>
            <w:vAlign w:val="bottom"/>
            <w:hideMark/>
          </w:tcPr>
          <w:p w14:paraId="61A56874" w14:textId="77777777" w:rsidR="0070472A" w:rsidRPr="0070472A" w:rsidRDefault="0070472A" w:rsidP="0070472A">
            <w:pPr>
              <w:spacing w:line="240" w:lineRule="auto"/>
              <w:rPr>
                <w:rFonts w:cs="Times New Roman"/>
                <w:color w:val="000000"/>
              </w:rPr>
            </w:pPr>
          </w:p>
        </w:tc>
        <w:tc>
          <w:tcPr>
            <w:tcW w:w="619" w:type="dxa"/>
            <w:tcBorders>
              <w:top w:val="nil"/>
              <w:left w:val="nil"/>
              <w:bottom w:val="nil"/>
              <w:right w:val="nil"/>
            </w:tcBorders>
            <w:shd w:val="clear" w:color="auto" w:fill="auto"/>
            <w:noWrap/>
            <w:vAlign w:val="bottom"/>
            <w:hideMark/>
          </w:tcPr>
          <w:p w14:paraId="21A511C5" w14:textId="77777777" w:rsidR="0070472A" w:rsidRPr="0070472A" w:rsidRDefault="0070472A" w:rsidP="0070472A">
            <w:pPr>
              <w:spacing w:line="240" w:lineRule="auto"/>
              <w:rPr>
                <w:rFonts w:cs="Times New Roman"/>
                <w:color w:val="000000"/>
              </w:rPr>
            </w:pPr>
          </w:p>
        </w:tc>
        <w:tc>
          <w:tcPr>
            <w:tcW w:w="841" w:type="dxa"/>
            <w:tcBorders>
              <w:top w:val="nil"/>
              <w:left w:val="nil"/>
              <w:bottom w:val="nil"/>
              <w:right w:val="nil"/>
            </w:tcBorders>
            <w:shd w:val="clear" w:color="000000" w:fill="BFBFBF"/>
            <w:noWrap/>
            <w:vAlign w:val="bottom"/>
            <w:hideMark/>
          </w:tcPr>
          <w:p w14:paraId="54A76E0F" w14:textId="77777777" w:rsidR="0070472A" w:rsidRPr="0070472A" w:rsidRDefault="0070472A" w:rsidP="0070472A">
            <w:pPr>
              <w:spacing w:line="240" w:lineRule="auto"/>
              <w:jc w:val="right"/>
              <w:rPr>
                <w:rFonts w:cs="Times New Roman"/>
                <w:color w:val="000000"/>
              </w:rPr>
            </w:pPr>
            <w:r w:rsidRPr="0070472A">
              <w:rPr>
                <w:rFonts w:cs="Times New Roman"/>
                <w:color w:val="000000"/>
              </w:rPr>
              <w:t>0.41</w:t>
            </w:r>
          </w:p>
        </w:tc>
        <w:tc>
          <w:tcPr>
            <w:tcW w:w="619" w:type="dxa"/>
            <w:tcBorders>
              <w:top w:val="nil"/>
              <w:left w:val="nil"/>
              <w:bottom w:val="nil"/>
              <w:right w:val="nil"/>
            </w:tcBorders>
            <w:shd w:val="clear" w:color="000000" w:fill="BFBFBF"/>
            <w:noWrap/>
            <w:vAlign w:val="bottom"/>
            <w:hideMark/>
          </w:tcPr>
          <w:p w14:paraId="363617D5" w14:textId="77777777" w:rsidR="0070472A" w:rsidRPr="0070472A" w:rsidRDefault="0070472A" w:rsidP="0070472A">
            <w:pPr>
              <w:spacing w:line="240" w:lineRule="auto"/>
              <w:rPr>
                <w:rFonts w:cs="Times New Roman"/>
                <w:color w:val="000000"/>
              </w:rPr>
            </w:pPr>
            <w:r w:rsidRPr="0070472A">
              <w:rPr>
                <w:rFonts w:cs="Times New Roman"/>
                <w:color w:val="000000"/>
              </w:rPr>
              <w:t>***</w:t>
            </w:r>
          </w:p>
        </w:tc>
        <w:tc>
          <w:tcPr>
            <w:tcW w:w="841" w:type="dxa"/>
            <w:tcBorders>
              <w:top w:val="nil"/>
              <w:left w:val="nil"/>
              <w:bottom w:val="nil"/>
              <w:right w:val="nil"/>
            </w:tcBorders>
            <w:shd w:val="clear" w:color="auto" w:fill="auto"/>
            <w:noWrap/>
            <w:vAlign w:val="bottom"/>
            <w:hideMark/>
          </w:tcPr>
          <w:p w14:paraId="543D0CD0" w14:textId="77777777" w:rsidR="0070472A" w:rsidRPr="0070472A" w:rsidRDefault="0070472A" w:rsidP="0070472A">
            <w:pPr>
              <w:spacing w:line="240" w:lineRule="auto"/>
              <w:rPr>
                <w:rFonts w:cs="Times New Roman"/>
                <w:color w:val="000000"/>
              </w:rPr>
            </w:pPr>
          </w:p>
        </w:tc>
        <w:tc>
          <w:tcPr>
            <w:tcW w:w="619" w:type="dxa"/>
            <w:tcBorders>
              <w:top w:val="nil"/>
              <w:left w:val="nil"/>
              <w:bottom w:val="nil"/>
              <w:right w:val="nil"/>
            </w:tcBorders>
            <w:shd w:val="clear" w:color="auto" w:fill="auto"/>
            <w:noWrap/>
            <w:vAlign w:val="bottom"/>
            <w:hideMark/>
          </w:tcPr>
          <w:p w14:paraId="45215783" w14:textId="77777777" w:rsidR="0070472A" w:rsidRPr="0070472A" w:rsidRDefault="0070472A" w:rsidP="0070472A">
            <w:pPr>
              <w:spacing w:line="240" w:lineRule="auto"/>
              <w:rPr>
                <w:rFonts w:cs="Times New Roman"/>
                <w:color w:val="000000"/>
              </w:rPr>
            </w:pPr>
          </w:p>
        </w:tc>
        <w:tc>
          <w:tcPr>
            <w:tcW w:w="841" w:type="dxa"/>
            <w:tcBorders>
              <w:top w:val="nil"/>
              <w:left w:val="nil"/>
              <w:bottom w:val="nil"/>
              <w:right w:val="nil"/>
            </w:tcBorders>
            <w:shd w:val="clear" w:color="auto" w:fill="auto"/>
            <w:noWrap/>
            <w:vAlign w:val="bottom"/>
            <w:hideMark/>
          </w:tcPr>
          <w:p w14:paraId="2B270F2A" w14:textId="77777777" w:rsidR="0070472A" w:rsidRPr="0070472A" w:rsidRDefault="0070472A" w:rsidP="0070472A">
            <w:pPr>
              <w:spacing w:line="240" w:lineRule="auto"/>
              <w:jc w:val="right"/>
              <w:rPr>
                <w:rFonts w:cs="Times New Roman"/>
                <w:color w:val="000000"/>
              </w:rPr>
            </w:pPr>
            <w:r w:rsidRPr="0070472A">
              <w:rPr>
                <w:rFonts w:cs="Times New Roman"/>
                <w:color w:val="000000"/>
              </w:rPr>
              <w:t>-0.20</w:t>
            </w:r>
          </w:p>
        </w:tc>
        <w:tc>
          <w:tcPr>
            <w:tcW w:w="619" w:type="dxa"/>
            <w:tcBorders>
              <w:top w:val="nil"/>
              <w:left w:val="nil"/>
              <w:bottom w:val="nil"/>
              <w:right w:val="nil"/>
            </w:tcBorders>
            <w:shd w:val="clear" w:color="auto" w:fill="auto"/>
            <w:noWrap/>
            <w:vAlign w:val="bottom"/>
            <w:hideMark/>
          </w:tcPr>
          <w:p w14:paraId="147D782E" w14:textId="77777777" w:rsidR="0070472A" w:rsidRPr="0070472A" w:rsidRDefault="0070472A" w:rsidP="0070472A">
            <w:pPr>
              <w:spacing w:line="240" w:lineRule="auto"/>
              <w:rPr>
                <w:rFonts w:cs="Times New Roman"/>
                <w:color w:val="000000"/>
              </w:rPr>
            </w:pPr>
            <w:r w:rsidRPr="0070472A">
              <w:rPr>
                <w:rFonts w:cs="Times New Roman"/>
                <w:color w:val="000000"/>
              </w:rPr>
              <w:t>***</w:t>
            </w:r>
          </w:p>
        </w:tc>
      </w:tr>
      <w:tr w:rsidR="0070472A" w:rsidRPr="0070472A" w14:paraId="0B5EB2B4" w14:textId="77777777" w:rsidTr="0070472A">
        <w:trPr>
          <w:trHeight w:val="375"/>
        </w:trPr>
        <w:tc>
          <w:tcPr>
            <w:tcW w:w="2960" w:type="dxa"/>
            <w:tcBorders>
              <w:top w:val="nil"/>
              <w:left w:val="nil"/>
              <w:bottom w:val="nil"/>
              <w:right w:val="nil"/>
            </w:tcBorders>
            <w:shd w:val="clear" w:color="auto" w:fill="auto"/>
            <w:noWrap/>
            <w:vAlign w:val="bottom"/>
            <w:hideMark/>
          </w:tcPr>
          <w:p w14:paraId="1C363815" w14:textId="77777777" w:rsidR="0070472A" w:rsidRPr="0070472A" w:rsidRDefault="0070472A" w:rsidP="0070472A">
            <w:pPr>
              <w:spacing w:line="240" w:lineRule="auto"/>
              <w:rPr>
                <w:rFonts w:cs="Times New Roman"/>
                <w:b/>
                <w:bCs/>
              </w:rPr>
            </w:pPr>
            <w:r w:rsidRPr="0070472A">
              <w:rPr>
                <w:rFonts w:cs="Times New Roman"/>
                <w:b/>
                <w:bCs/>
              </w:rPr>
              <w:t>Biomass Yield (g plant</w:t>
            </w:r>
            <w:r w:rsidRPr="0070472A">
              <w:rPr>
                <w:rFonts w:cs="Times New Roman"/>
                <w:b/>
                <w:bCs/>
                <w:vertAlign w:val="superscript"/>
              </w:rPr>
              <w:t>-1</w:t>
            </w:r>
            <w:r w:rsidRPr="0070472A">
              <w:rPr>
                <w:rFonts w:cs="Times New Roman"/>
                <w:b/>
                <w:bCs/>
              </w:rPr>
              <w:t>)</w:t>
            </w:r>
          </w:p>
        </w:tc>
        <w:tc>
          <w:tcPr>
            <w:tcW w:w="841" w:type="dxa"/>
            <w:tcBorders>
              <w:top w:val="nil"/>
              <w:left w:val="nil"/>
              <w:bottom w:val="nil"/>
              <w:right w:val="nil"/>
            </w:tcBorders>
            <w:shd w:val="clear" w:color="auto" w:fill="auto"/>
            <w:noWrap/>
            <w:vAlign w:val="bottom"/>
            <w:hideMark/>
          </w:tcPr>
          <w:p w14:paraId="671245B5" w14:textId="77777777" w:rsidR="0070472A" w:rsidRPr="0070472A" w:rsidRDefault="0070472A" w:rsidP="0070472A">
            <w:pPr>
              <w:spacing w:line="240" w:lineRule="auto"/>
              <w:rPr>
                <w:rFonts w:cs="Times New Roman"/>
                <w:color w:val="000000"/>
              </w:rPr>
            </w:pPr>
          </w:p>
        </w:tc>
        <w:tc>
          <w:tcPr>
            <w:tcW w:w="619" w:type="dxa"/>
            <w:tcBorders>
              <w:top w:val="nil"/>
              <w:left w:val="nil"/>
              <w:bottom w:val="nil"/>
              <w:right w:val="nil"/>
            </w:tcBorders>
            <w:shd w:val="clear" w:color="auto" w:fill="auto"/>
            <w:noWrap/>
            <w:vAlign w:val="bottom"/>
            <w:hideMark/>
          </w:tcPr>
          <w:p w14:paraId="430926EA" w14:textId="77777777" w:rsidR="0070472A" w:rsidRPr="0070472A" w:rsidRDefault="0070472A" w:rsidP="0070472A">
            <w:pPr>
              <w:spacing w:line="240" w:lineRule="auto"/>
              <w:rPr>
                <w:rFonts w:cs="Times New Roman"/>
                <w:color w:val="000000"/>
              </w:rPr>
            </w:pPr>
          </w:p>
        </w:tc>
        <w:tc>
          <w:tcPr>
            <w:tcW w:w="841" w:type="dxa"/>
            <w:tcBorders>
              <w:top w:val="nil"/>
              <w:left w:val="nil"/>
              <w:bottom w:val="nil"/>
              <w:right w:val="nil"/>
            </w:tcBorders>
            <w:shd w:val="clear" w:color="auto" w:fill="auto"/>
            <w:noWrap/>
            <w:vAlign w:val="bottom"/>
            <w:hideMark/>
          </w:tcPr>
          <w:p w14:paraId="5126CA01" w14:textId="77777777" w:rsidR="0070472A" w:rsidRPr="0070472A" w:rsidRDefault="0070472A" w:rsidP="0070472A">
            <w:pPr>
              <w:spacing w:line="240" w:lineRule="auto"/>
              <w:rPr>
                <w:rFonts w:cs="Times New Roman"/>
                <w:color w:val="000000"/>
              </w:rPr>
            </w:pPr>
          </w:p>
        </w:tc>
        <w:tc>
          <w:tcPr>
            <w:tcW w:w="619" w:type="dxa"/>
            <w:tcBorders>
              <w:top w:val="nil"/>
              <w:left w:val="nil"/>
              <w:bottom w:val="nil"/>
              <w:right w:val="nil"/>
            </w:tcBorders>
            <w:shd w:val="clear" w:color="auto" w:fill="auto"/>
            <w:noWrap/>
            <w:vAlign w:val="bottom"/>
            <w:hideMark/>
          </w:tcPr>
          <w:p w14:paraId="582070E3" w14:textId="77777777" w:rsidR="0070472A" w:rsidRPr="0070472A" w:rsidRDefault="0070472A" w:rsidP="0070472A">
            <w:pPr>
              <w:spacing w:line="240" w:lineRule="auto"/>
              <w:rPr>
                <w:rFonts w:cs="Times New Roman"/>
                <w:color w:val="000000"/>
              </w:rPr>
            </w:pPr>
          </w:p>
        </w:tc>
        <w:tc>
          <w:tcPr>
            <w:tcW w:w="841" w:type="dxa"/>
            <w:tcBorders>
              <w:top w:val="nil"/>
              <w:left w:val="nil"/>
              <w:bottom w:val="nil"/>
              <w:right w:val="nil"/>
            </w:tcBorders>
            <w:shd w:val="clear" w:color="000000" w:fill="BFBFBF"/>
            <w:noWrap/>
            <w:vAlign w:val="bottom"/>
            <w:hideMark/>
          </w:tcPr>
          <w:p w14:paraId="6F979D36" w14:textId="77777777" w:rsidR="0070472A" w:rsidRPr="0070472A" w:rsidRDefault="0070472A" w:rsidP="0070472A">
            <w:pPr>
              <w:spacing w:line="240" w:lineRule="auto"/>
              <w:jc w:val="right"/>
              <w:rPr>
                <w:rFonts w:cs="Times New Roman"/>
                <w:color w:val="000000"/>
              </w:rPr>
            </w:pPr>
            <w:r w:rsidRPr="0070472A">
              <w:rPr>
                <w:rFonts w:cs="Times New Roman"/>
                <w:color w:val="000000"/>
              </w:rPr>
              <w:t>-0.36</w:t>
            </w:r>
          </w:p>
        </w:tc>
        <w:tc>
          <w:tcPr>
            <w:tcW w:w="619" w:type="dxa"/>
            <w:tcBorders>
              <w:top w:val="nil"/>
              <w:left w:val="nil"/>
              <w:bottom w:val="nil"/>
              <w:right w:val="nil"/>
            </w:tcBorders>
            <w:shd w:val="clear" w:color="auto" w:fill="auto"/>
            <w:noWrap/>
            <w:vAlign w:val="bottom"/>
            <w:hideMark/>
          </w:tcPr>
          <w:p w14:paraId="26771E46" w14:textId="77777777" w:rsidR="0070472A" w:rsidRPr="0070472A" w:rsidRDefault="0070472A" w:rsidP="0070472A">
            <w:pPr>
              <w:spacing w:line="240" w:lineRule="auto"/>
              <w:rPr>
                <w:rFonts w:cs="Times New Roman"/>
                <w:color w:val="000000"/>
              </w:rPr>
            </w:pPr>
            <w:r w:rsidRPr="0070472A">
              <w:rPr>
                <w:rFonts w:cs="Times New Roman"/>
                <w:color w:val="000000"/>
              </w:rPr>
              <w:t>***</w:t>
            </w:r>
          </w:p>
        </w:tc>
        <w:tc>
          <w:tcPr>
            <w:tcW w:w="841" w:type="dxa"/>
            <w:tcBorders>
              <w:top w:val="nil"/>
              <w:left w:val="nil"/>
              <w:bottom w:val="nil"/>
              <w:right w:val="nil"/>
            </w:tcBorders>
            <w:shd w:val="clear" w:color="auto" w:fill="auto"/>
            <w:noWrap/>
            <w:vAlign w:val="bottom"/>
            <w:hideMark/>
          </w:tcPr>
          <w:p w14:paraId="42D12E6F" w14:textId="77777777" w:rsidR="0070472A" w:rsidRPr="0070472A" w:rsidRDefault="0070472A" w:rsidP="0070472A">
            <w:pPr>
              <w:spacing w:line="240" w:lineRule="auto"/>
              <w:jc w:val="right"/>
              <w:rPr>
                <w:rFonts w:cs="Times New Roman"/>
                <w:color w:val="000000"/>
              </w:rPr>
            </w:pPr>
            <w:r w:rsidRPr="0070472A">
              <w:rPr>
                <w:rFonts w:cs="Times New Roman"/>
                <w:color w:val="000000"/>
              </w:rPr>
              <w:t>-0.27</w:t>
            </w:r>
          </w:p>
        </w:tc>
        <w:tc>
          <w:tcPr>
            <w:tcW w:w="619" w:type="dxa"/>
            <w:tcBorders>
              <w:top w:val="nil"/>
              <w:left w:val="nil"/>
              <w:bottom w:val="nil"/>
              <w:right w:val="nil"/>
            </w:tcBorders>
            <w:shd w:val="clear" w:color="auto" w:fill="auto"/>
            <w:noWrap/>
            <w:vAlign w:val="bottom"/>
            <w:hideMark/>
          </w:tcPr>
          <w:p w14:paraId="6DEF2B58" w14:textId="77777777" w:rsidR="0070472A" w:rsidRPr="0070472A" w:rsidRDefault="0070472A" w:rsidP="0070472A">
            <w:pPr>
              <w:spacing w:line="240" w:lineRule="auto"/>
              <w:rPr>
                <w:rFonts w:cs="Times New Roman"/>
                <w:color w:val="000000"/>
              </w:rPr>
            </w:pPr>
            <w:r w:rsidRPr="0070472A">
              <w:rPr>
                <w:rFonts w:cs="Times New Roman"/>
                <w:color w:val="000000"/>
              </w:rPr>
              <w:t>***</w:t>
            </w:r>
          </w:p>
        </w:tc>
      </w:tr>
      <w:tr w:rsidR="0070472A" w:rsidRPr="0070472A" w14:paraId="326BB916" w14:textId="77777777" w:rsidTr="0070472A">
        <w:trPr>
          <w:trHeight w:val="390"/>
        </w:trPr>
        <w:tc>
          <w:tcPr>
            <w:tcW w:w="2960" w:type="dxa"/>
            <w:tcBorders>
              <w:top w:val="nil"/>
              <w:left w:val="nil"/>
              <w:bottom w:val="single" w:sz="8" w:space="0" w:color="auto"/>
              <w:right w:val="nil"/>
            </w:tcBorders>
            <w:shd w:val="clear" w:color="auto" w:fill="auto"/>
            <w:noWrap/>
            <w:vAlign w:val="bottom"/>
            <w:hideMark/>
          </w:tcPr>
          <w:p w14:paraId="4AFA4DE0" w14:textId="77777777" w:rsidR="0070472A" w:rsidRPr="0070472A" w:rsidRDefault="0070472A" w:rsidP="0070472A">
            <w:pPr>
              <w:spacing w:line="240" w:lineRule="auto"/>
              <w:rPr>
                <w:rFonts w:cs="Times New Roman"/>
                <w:b/>
                <w:bCs/>
              </w:rPr>
            </w:pPr>
            <w:r w:rsidRPr="0070472A">
              <w:rPr>
                <w:rFonts w:cs="Times New Roman"/>
                <w:b/>
                <w:bCs/>
              </w:rPr>
              <w:t>Ethanol Yield (mg g</w:t>
            </w:r>
            <w:r w:rsidRPr="0070472A">
              <w:rPr>
                <w:rFonts w:cs="Times New Roman"/>
                <w:b/>
                <w:bCs/>
                <w:vertAlign w:val="superscript"/>
              </w:rPr>
              <w:t>-1</w:t>
            </w:r>
            <w:r w:rsidRPr="0070472A">
              <w:rPr>
                <w:rFonts w:cs="Times New Roman"/>
                <w:b/>
                <w:bCs/>
              </w:rPr>
              <w:t>)</w:t>
            </w:r>
          </w:p>
        </w:tc>
        <w:tc>
          <w:tcPr>
            <w:tcW w:w="841" w:type="dxa"/>
            <w:tcBorders>
              <w:top w:val="nil"/>
              <w:left w:val="nil"/>
              <w:bottom w:val="single" w:sz="8" w:space="0" w:color="auto"/>
              <w:right w:val="nil"/>
            </w:tcBorders>
            <w:shd w:val="clear" w:color="000000" w:fill="BFBFBF"/>
            <w:noWrap/>
            <w:vAlign w:val="bottom"/>
            <w:hideMark/>
          </w:tcPr>
          <w:p w14:paraId="7F8A63D6" w14:textId="77777777" w:rsidR="0070472A" w:rsidRPr="0070472A" w:rsidRDefault="0070472A" w:rsidP="0070472A">
            <w:pPr>
              <w:spacing w:line="240" w:lineRule="auto"/>
              <w:jc w:val="right"/>
              <w:rPr>
                <w:rFonts w:cs="Times New Roman"/>
                <w:color w:val="000000"/>
              </w:rPr>
            </w:pPr>
            <w:r w:rsidRPr="0070472A">
              <w:rPr>
                <w:rFonts w:cs="Times New Roman"/>
                <w:color w:val="000000"/>
              </w:rPr>
              <w:t>-0.36</w:t>
            </w:r>
          </w:p>
        </w:tc>
        <w:tc>
          <w:tcPr>
            <w:tcW w:w="619" w:type="dxa"/>
            <w:tcBorders>
              <w:top w:val="nil"/>
              <w:left w:val="nil"/>
              <w:bottom w:val="nil"/>
              <w:right w:val="nil"/>
            </w:tcBorders>
            <w:shd w:val="clear" w:color="000000" w:fill="BFBFBF"/>
            <w:noWrap/>
            <w:vAlign w:val="bottom"/>
            <w:hideMark/>
          </w:tcPr>
          <w:p w14:paraId="7B25044C" w14:textId="77777777" w:rsidR="0070472A" w:rsidRPr="0070472A" w:rsidRDefault="0070472A" w:rsidP="0070472A">
            <w:pPr>
              <w:spacing w:line="240" w:lineRule="auto"/>
              <w:rPr>
                <w:rFonts w:cs="Times New Roman"/>
                <w:color w:val="000000"/>
              </w:rPr>
            </w:pPr>
            <w:r w:rsidRPr="0070472A">
              <w:rPr>
                <w:rFonts w:cs="Times New Roman"/>
                <w:color w:val="000000"/>
              </w:rPr>
              <w:t>***</w:t>
            </w:r>
          </w:p>
        </w:tc>
        <w:tc>
          <w:tcPr>
            <w:tcW w:w="841" w:type="dxa"/>
            <w:tcBorders>
              <w:top w:val="nil"/>
              <w:left w:val="nil"/>
              <w:bottom w:val="single" w:sz="8" w:space="0" w:color="auto"/>
              <w:right w:val="nil"/>
            </w:tcBorders>
            <w:shd w:val="clear" w:color="auto" w:fill="auto"/>
            <w:noWrap/>
            <w:vAlign w:val="bottom"/>
            <w:hideMark/>
          </w:tcPr>
          <w:p w14:paraId="5622C5AE" w14:textId="77777777" w:rsidR="0070472A" w:rsidRPr="0070472A" w:rsidRDefault="0070472A" w:rsidP="0070472A">
            <w:pPr>
              <w:spacing w:line="240" w:lineRule="auto"/>
              <w:jc w:val="right"/>
              <w:rPr>
                <w:rFonts w:cs="Times New Roman"/>
                <w:color w:val="000000"/>
              </w:rPr>
            </w:pPr>
            <w:r w:rsidRPr="0070472A">
              <w:rPr>
                <w:rFonts w:cs="Times New Roman"/>
                <w:color w:val="000000"/>
              </w:rPr>
              <w:t>-0.27</w:t>
            </w:r>
          </w:p>
        </w:tc>
        <w:tc>
          <w:tcPr>
            <w:tcW w:w="619" w:type="dxa"/>
            <w:tcBorders>
              <w:top w:val="nil"/>
              <w:left w:val="nil"/>
              <w:bottom w:val="single" w:sz="8" w:space="0" w:color="auto"/>
              <w:right w:val="nil"/>
            </w:tcBorders>
            <w:shd w:val="clear" w:color="auto" w:fill="auto"/>
            <w:noWrap/>
            <w:vAlign w:val="bottom"/>
            <w:hideMark/>
          </w:tcPr>
          <w:p w14:paraId="0F06779C" w14:textId="77777777" w:rsidR="0070472A" w:rsidRPr="0070472A" w:rsidRDefault="0070472A" w:rsidP="0070472A">
            <w:pPr>
              <w:spacing w:line="240" w:lineRule="auto"/>
              <w:rPr>
                <w:rFonts w:cs="Times New Roman"/>
                <w:color w:val="000000"/>
              </w:rPr>
            </w:pPr>
            <w:r w:rsidRPr="0070472A">
              <w:rPr>
                <w:rFonts w:cs="Times New Roman"/>
                <w:color w:val="000000"/>
              </w:rPr>
              <w:t>***</w:t>
            </w:r>
          </w:p>
        </w:tc>
        <w:tc>
          <w:tcPr>
            <w:tcW w:w="841" w:type="dxa"/>
            <w:tcBorders>
              <w:top w:val="nil"/>
              <w:left w:val="nil"/>
              <w:bottom w:val="single" w:sz="8" w:space="0" w:color="auto"/>
              <w:right w:val="nil"/>
            </w:tcBorders>
            <w:shd w:val="clear" w:color="auto" w:fill="auto"/>
            <w:noWrap/>
            <w:vAlign w:val="bottom"/>
            <w:hideMark/>
          </w:tcPr>
          <w:p w14:paraId="06275585" w14:textId="77777777" w:rsidR="0070472A" w:rsidRPr="0070472A" w:rsidRDefault="0070472A" w:rsidP="0070472A">
            <w:pPr>
              <w:spacing w:line="240" w:lineRule="auto"/>
              <w:rPr>
                <w:rFonts w:cs="Times New Roman"/>
                <w:color w:val="000000"/>
              </w:rPr>
            </w:pPr>
            <w:r w:rsidRPr="0070472A">
              <w:rPr>
                <w:rFonts w:cs="Times New Roman"/>
                <w:color w:val="000000"/>
              </w:rPr>
              <w:t> </w:t>
            </w:r>
          </w:p>
        </w:tc>
        <w:tc>
          <w:tcPr>
            <w:tcW w:w="619" w:type="dxa"/>
            <w:tcBorders>
              <w:top w:val="nil"/>
              <w:left w:val="nil"/>
              <w:bottom w:val="single" w:sz="8" w:space="0" w:color="auto"/>
              <w:right w:val="nil"/>
            </w:tcBorders>
            <w:shd w:val="clear" w:color="auto" w:fill="auto"/>
            <w:noWrap/>
            <w:vAlign w:val="bottom"/>
            <w:hideMark/>
          </w:tcPr>
          <w:p w14:paraId="2E088B7C" w14:textId="77777777" w:rsidR="0070472A" w:rsidRPr="0070472A" w:rsidRDefault="0070472A" w:rsidP="0070472A">
            <w:pPr>
              <w:spacing w:line="240" w:lineRule="auto"/>
              <w:rPr>
                <w:rFonts w:cs="Times New Roman"/>
                <w:color w:val="000000"/>
              </w:rPr>
            </w:pPr>
            <w:r w:rsidRPr="0070472A">
              <w:rPr>
                <w:rFonts w:cs="Times New Roman"/>
                <w:color w:val="000000"/>
              </w:rPr>
              <w:t> </w:t>
            </w:r>
          </w:p>
        </w:tc>
        <w:tc>
          <w:tcPr>
            <w:tcW w:w="841" w:type="dxa"/>
            <w:tcBorders>
              <w:top w:val="nil"/>
              <w:left w:val="nil"/>
              <w:bottom w:val="single" w:sz="8" w:space="0" w:color="auto"/>
              <w:right w:val="nil"/>
            </w:tcBorders>
            <w:shd w:val="clear" w:color="auto" w:fill="auto"/>
            <w:noWrap/>
            <w:vAlign w:val="bottom"/>
            <w:hideMark/>
          </w:tcPr>
          <w:p w14:paraId="18DBE86B" w14:textId="77777777" w:rsidR="0070472A" w:rsidRPr="0070472A" w:rsidRDefault="0070472A" w:rsidP="0070472A">
            <w:pPr>
              <w:spacing w:line="240" w:lineRule="auto"/>
              <w:rPr>
                <w:rFonts w:cs="Times New Roman"/>
                <w:color w:val="000000"/>
              </w:rPr>
            </w:pPr>
            <w:r w:rsidRPr="0070472A">
              <w:rPr>
                <w:rFonts w:cs="Times New Roman"/>
                <w:color w:val="000000"/>
              </w:rPr>
              <w:t> </w:t>
            </w:r>
          </w:p>
        </w:tc>
        <w:tc>
          <w:tcPr>
            <w:tcW w:w="619" w:type="dxa"/>
            <w:tcBorders>
              <w:top w:val="nil"/>
              <w:left w:val="nil"/>
              <w:bottom w:val="nil"/>
              <w:right w:val="nil"/>
            </w:tcBorders>
            <w:shd w:val="clear" w:color="auto" w:fill="auto"/>
            <w:noWrap/>
            <w:vAlign w:val="bottom"/>
            <w:hideMark/>
          </w:tcPr>
          <w:p w14:paraId="47701894" w14:textId="77777777" w:rsidR="0070472A" w:rsidRPr="0070472A" w:rsidRDefault="0070472A" w:rsidP="0070472A">
            <w:pPr>
              <w:spacing w:line="240" w:lineRule="auto"/>
              <w:rPr>
                <w:rFonts w:cs="Times New Roman"/>
                <w:color w:val="000000"/>
              </w:rPr>
            </w:pPr>
          </w:p>
        </w:tc>
      </w:tr>
      <w:tr w:rsidR="0070472A" w:rsidRPr="0070472A" w14:paraId="521BB0E8" w14:textId="77777777" w:rsidTr="0070472A">
        <w:trPr>
          <w:trHeight w:val="240"/>
        </w:trPr>
        <w:tc>
          <w:tcPr>
            <w:tcW w:w="3801" w:type="dxa"/>
            <w:gridSpan w:val="2"/>
            <w:tcBorders>
              <w:top w:val="single" w:sz="8" w:space="0" w:color="auto"/>
              <w:left w:val="nil"/>
              <w:bottom w:val="nil"/>
              <w:right w:val="nil"/>
            </w:tcBorders>
            <w:shd w:val="clear" w:color="auto" w:fill="auto"/>
            <w:noWrap/>
            <w:vAlign w:val="bottom"/>
            <w:hideMark/>
          </w:tcPr>
          <w:p w14:paraId="69A85A3B" w14:textId="259D8E72" w:rsidR="0070472A" w:rsidRPr="0070472A" w:rsidRDefault="0070472A" w:rsidP="0070472A">
            <w:pPr>
              <w:spacing w:line="240" w:lineRule="auto"/>
              <w:rPr>
                <w:rFonts w:cs="Times New Roman"/>
                <w:color w:val="000000"/>
              </w:rPr>
            </w:pPr>
            <w:r w:rsidRPr="0070472A">
              <w:rPr>
                <w:rFonts w:cs="Times New Roman"/>
                <w:color w:val="000000"/>
                <w:vertAlign w:val="subscript"/>
              </w:rPr>
              <w:t xml:space="preserve">* </w:t>
            </w:r>
            <w:r w:rsidR="00B7572A">
              <w:rPr>
                <w:rFonts w:cs="Times New Roman"/>
                <w:color w:val="000000"/>
                <w:vertAlign w:val="subscript"/>
              </w:rPr>
              <w:t xml:space="preserve">P </w:t>
            </w:r>
            <w:r w:rsidR="009021A8">
              <w:rPr>
                <w:rFonts w:cs="Times New Roman"/>
                <w:color w:val="000000"/>
                <w:vertAlign w:val="subscript"/>
              </w:rPr>
              <w:t xml:space="preserve">&lt; </w:t>
            </w:r>
            <w:r w:rsidRPr="0070472A">
              <w:rPr>
                <w:rFonts w:cs="Times New Roman"/>
                <w:color w:val="000000"/>
                <w:vertAlign w:val="subscript"/>
              </w:rPr>
              <w:t>0.05, **</w:t>
            </w:r>
            <w:r w:rsidR="00B7572A">
              <w:rPr>
                <w:rFonts w:cs="Times New Roman"/>
                <w:color w:val="000000"/>
                <w:vertAlign w:val="subscript"/>
              </w:rPr>
              <w:t xml:space="preserve">P </w:t>
            </w:r>
            <w:r w:rsidR="009021A8">
              <w:rPr>
                <w:rFonts w:cs="Times New Roman"/>
                <w:color w:val="000000"/>
                <w:vertAlign w:val="subscript"/>
              </w:rPr>
              <w:t xml:space="preserve">&lt; </w:t>
            </w:r>
            <w:r w:rsidRPr="0070472A">
              <w:rPr>
                <w:rFonts w:cs="Times New Roman"/>
                <w:color w:val="000000"/>
                <w:vertAlign w:val="subscript"/>
              </w:rPr>
              <w:t>0.01, ***</w:t>
            </w:r>
            <w:r w:rsidR="00B7572A">
              <w:rPr>
                <w:rFonts w:cs="Times New Roman"/>
                <w:color w:val="000000"/>
                <w:vertAlign w:val="subscript"/>
              </w:rPr>
              <w:t xml:space="preserve">P </w:t>
            </w:r>
            <w:r w:rsidR="009021A8">
              <w:rPr>
                <w:rFonts w:cs="Times New Roman"/>
                <w:color w:val="000000"/>
                <w:vertAlign w:val="subscript"/>
              </w:rPr>
              <w:t xml:space="preserve">&lt; </w:t>
            </w:r>
            <w:r w:rsidRPr="0070472A">
              <w:rPr>
                <w:rFonts w:cs="Times New Roman"/>
                <w:color w:val="000000"/>
                <w:vertAlign w:val="subscript"/>
              </w:rPr>
              <w:t>0.001 respectively</w:t>
            </w:r>
          </w:p>
        </w:tc>
        <w:tc>
          <w:tcPr>
            <w:tcW w:w="619" w:type="dxa"/>
            <w:tcBorders>
              <w:top w:val="single" w:sz="8" w:space="0" w:color="auto"/>
              <w:left w:val="nil"/>
              <w:bottom w:val="nil"/>
              <w:right w:val="nil"/>
            </w:tcBorders>
            <w:shd w:val="clear" w:color="auto" w:fill="auto"/>
            <w:noWrap/>
            <w:vAlign w:val="bottom"/>
            <w:hideMark/>
          </w:tcPr>
          <w:p w14:paraId="7A9A7015" w14:textId="77777777" w:rsidR="0070472A" w:rsidRPr="0070472A" w:rsidRDefault="0070472A" w:rsidP="0070472A">
            <w:pPr>
              <w:spacing w:line="240" w:lineRule="auto"/>
              <w:rPr>
                <w:rFonts w:cs="Times New Roman"/>
                <w:color w:val="000000"/>
              </w:rPr>
            </w:pPr>
            <w:r w:rsidRPr="0070472A">
              <w:rPr>
                <w:rFonts w:cs="Times New Roman"/>
                <w:color w:val="000000"/>
                <w:vertAlign w:val="subscript"/>
              </w:rPr>
              <w:t> </w:t>
            </w:r>
          </w:p>
        </w:tc>
        <w:tc>
          <w:tcPr>
            <w:tcW w:w="841" w:type="dxa"/>
            <w:tcBorders>
              <w:top w:val="nil"/>
              <w:left w:val="nil"/>
              <w:bottom w:val="nil"/>
              <w:right w:val="nil"/>
            </w:tcBorders>
            <w:shd w:val="clear" w:color="auto" w:fill="auto"/>
            <w:noWrap/>
            <w:vAlign w:val="bottom"/>
            <w:hideMark/>
          </w:tcPr>
          <w:p w14:paraId="11CACFFD" w14:textId="77777777" w:rsidR="0070472A" w:rsidRPr="0070472A" w:rsidRDefault="0070472A" w:rsidP="0070472A">
            <w:pPr>
              <w:spacing w:line="240" w:lineRule="auto"/>
              <w:rPr>
                <w:rFonts w:cs="Times New Roman"/>
                <w:color w:val="000000"/>
              </w:rPr>
            </w:pPr>
            <w:r w:rsidRPr="0070472A">
              <w:rPr>
                <w:rFonts w:cs="Times New Roman"/>
                <w:color w:val="000000"/>
                <w:vertAlign w:val="subscript"/>
              </w:rPr>
              <w:t> </w:t>
            </w:r>
          </w:p>
        </w:tc>
        <w:tc>
          <w:tcPr>
            <w:tcW w:w="619" w:type="dxa"/>
            <w:tcBorders>
              <w:top w:val="nil"/>
              <w:left w:val="nil"/>
              <w:bottom w:val="nil"/>
              <w:right w:val="nil"/>
            </w:tcBorders>
            <w:shd w:val="clear" w:color="auto" w:fill="auto"/>
            <w:noWrap/>
            <w:vAlign w:val="bottom"/>
            <w:hideMark/>
          </w:tcPr>
          <w:p w14:paraId="2C99E837" w14:textId="77777777" w:rsidR="0070472A" w:rsidRPr="0070472A" w:rsidRDefault="0070472A" w:rsidP="0070472A">
            <w:pPr>
              <w:spacing w:line="240" w:lineRule="auto"/>
              <w:rPr>
                <w:rFonts w:cs="Times New Roman"/>
                <w:color w:val="000000"/>
              </w:rPr>
            </w:pPr>
            <w:r w:rsidRPr="0070472A">
              <w:rPr>
                <w:rFonts w:cs="Times New Roman"/>
                <w:color w:val="000000"/>
                <w:vertAlign w:val="subscript"/>
              </w:rPr>
              <w:t> </w:t>
            </w:r>
          </w:p>
        </w:tc>
        <w:tc>
          <w:tcPr>
            <w:tcW w:w="841" w:type="dxa"/>
            <w:tcBorders>
              <w:top w:val="nil"/>
              <w:left w:val="nil"/>
              <w:bottom w:val="nil"/>
              <w:right w:val="nil"/>
            </w:tcBorders>
            <w:shd w:val="clear" w:color="auto" w:fill="auto"/>
            <w:noWrap/>
            <w:vAlign w:val="bottom"/>
            <w:hideMark/>
          </w:tcPr>
          <w:p w14:paraId="276E4E83" w14:textId="77777777" w:rsidR="0070472A" w:rsidRPr="0070472A" w:rsidRDefault="0070472A" w:rsidP="0070472A">
            <w:pPr>
              <w:spacing w:line="240" w:lineRule="auto"/>
              <w:rPr>
                <w:rFonts w:cs="Times New Roman"/>
                <w:color w:val="000000"/>
              </w:rPr>
            </w:pPr>
            <w:r w:rsidRPr="0070472A">
              <w:rPr>
                <w:rFonts w:cs="Times New Roman"/>
                <w:color w:val="000000"/>
                <w:vertAlign w:val="subscript"/>
              </w:rPr>
              <w:t> </w:t>
            </w:r>
          </w:p>
        </w:tc>
        <w:tc>
          <w:tcPr>
            <w:tcW w:w="619" w:type="dxa"/>
            <w:tcBorders>
              <w:top w:val="nil"/>
              <w:left w:val="nil"/>
              <w:bottom w:val="nil"/>
              <w:right w:val="nil"/>
            </w:tcBorders>
            <w:shd w:val="clear" w:color="auto" w:fill="auto"/>
            <w:noWrap/>
            <w:vAlign w:val="bottom"/>
            <w:hideMark/>
          </w:tcPr>
          <w:p w14:paraId="4DC6CAD6" w14:textId="77777777" w:rsidR="0070472A" w:rsidRPr="0070472A" w:rsidRDefault="0070472A" w:rsidP="0070472A">
            <w:pPr>
              <w:spacing w:line="240" w:lineRule="auto"/>
              <w:rPr>
                <w:rFonts w:cs="Times New Roman"/>
                <w:color w:val="000000"/>
              </w:rPr>
            </w:pPr>
            <w:r w:rsidRPr="0070472A">
              <w:rPr>
                <w:rFonts w:cs="Times New Roman"/>
                <w:color w:val="000000"/>
                <w:vertAlign w:val="subscript"/>
              </w:rPr>
              <w:t> </w:t>
            </w:r>
          </w:p>
        </w:tc>
        <w:tc>
          <w:tcPr>
            <w:tcW w:w="841" w:type="dxa"/>
            <w:tcBorders>
              <w:top w:val="nil"/>
              <w:left w:val="nil"/>
              <w:bottom w:val="nil"/>
              <w:right w:val="nil"/>
            </w:tcBorders>
            <w:shd w:val="clear" w:color="auto" w:fill="auto"/>
            <w:noWrap/>
            <w:vAlign w:val="bottom"/>
            <w:hideMark/>
          </w:tcPr>
          <w:p w14:paraId="5E604603" w14:textId="77777777" w:rsidR="0070472A" w:rsidRPr="0070472A" w:rsidRDefault="0070472A" w:rsidP="0070472A">
            <w:pPr>
              <w:spacing w:line="240" w:lineRule="auto"/>
              <w:rPr>
                <w:rFonts w:cs="Times New Roman"/>
                <w:color w:val="000000"/>
              </w:rPr>
            </w:pPr>
            <w:r w:rsidRPr="0070472A">
              <w:rPr>
                <w:rFonts w:cs="Times New Roman"/>
                <w:color w:val="000000"/>
                <w:vertAlign w:val="subscript"/>
              </w:rPr>
              <w:t> </w:t>
            </w:r>
          </w:p>
        </w:tc>
        <w:tc>
          <w:tcPr>
            <w:tcW w:w="619" w:type="dxa"/>
            <w:tcBorders>
              <w:top w:val="single" w:sz="8" w:space="0" w:color="auto"/>
              <w:left w:val="nil"/>
              <w:bottom w:val="nil"/>
              <w:right w:val="nil"/>
            </w:tcBorders>
            <w:shd w:val="clear" w:color="auto" w:fill="auto"/>
            <w:noWrap/>
            <w:vAlign w:val="bottom"/>
            <w:hideMark/>
          </w:tcPr>
          <w:p w14:paraId="2E6ACBDD" w14:textId="77777777" w:rsidR="0070472A" w:rsidRPr="0070472A" w:rsidRDefault="0070472A" w:rsidP="0070472A">
            <w:pPr>
              <w:spacing w:line="240" w:lineRule="auto"/>
              <w:rPr>
                <w:rFonts w:cs="Times New Roman"/>
                <w:color w:val="000000"/>
              </w:rPr>
            </w:pPr>
            <w:r w:rsidRPr="0070472A">
              <w:rPr>
                <w:rFonts w:cs="Times New Roman"/>
                <w:color w:val="000000"/>
                <w:vertAlign w:val="subscript"/>
              </w:rPr>
              <w:t> </w:t>
            </w:r>
          </w:p>
        </w:tc>
      </w:tr>
      <w:tr w:rsidR="0070472A" w:rsidRPr="0070472A" w14:paraId="43D5A013" w14:textId="77777777" w:rsidTr="0070472A">
        <w:trPr>
          <w:trHeight w:val="240"/>
        </w:trPr>
        <w:tc>
          <w:tcPr>
            <w:tcW w:w="8800" w:type="dxa"/>
            <w:gridSpan w:val="9"/>
            <w:tcBorders>
              <w:top w:val="nil"/>
              <w:left w:val="nil"/>
              <w:bottom w:val="nil"/>
              <w:right w:val="nil"/>
            </w:tcBorders>
            <w:shd w:val="clear" w:color="auto" w:fill="auto"/>
            <w:noWrap/>
            <w:vAlign w:val="bottom"/>
            <w:hideMark/>
          </w:tcPr>
          <w:p w14:paraId="0B5E8309" w14:textId="77777777" w:rsidR="0070472A" w:rsidRPr="0070472A" w:rsidRDefault="0070472A" w:rsidP="0070472A">
            <w:pPr>
              <w:spacing w:line="240" w:lineRule="auto"/>
              <w:rPr>
                <w:rFonts w:cs="Times New Roman"/>
                <w:color w:val="000000"/>
              </w:rPr>
            </w:pPr>
            <w:r w:rsidRPr="0070472A">
              <w:rPr>
                <w:rFonts w:cs="Times New Roman"/>
                <w:color w:val="000000"/>
                <w:vertAlign w:val="subscript"/>
              </w:rPr>
              <w:t>† = Rating scale of 1-9 with 1 indicating symptomless and 9 indicating severe disease severity</w:t>
            </w:r>
          </w:p>
        </w:tc>
      </w:tr>
      <w:tr w:rsidR="0070472A" w:rsidRPr="0070472A" w14:paraId="1D7CDC33" w14:textId="77777777" w:rsidTr="0070472A">
        <w:trPr>
          <w:trHeight w:val="240"/>
        </w:trPr>
        <w:tc>
          <w:tcPr>
            <w:tcW w:w="8800" w:type="dxa"/>
            <w:gridSpan w:val="9"/>
            <w:tcBorders>
              <w:top w:val="nil"/>
              <w:left w:val="nil"/>
              <w:bottom w:val="nil"/>
              <w:right w:val="nil"/>
            </w:tcBorders>
            <w:shd w:val="clear" w:color="auto" w:fill="auto"/>
            <w:noWrap/>
            <w:vAlign w:val="bottom"/>
            <w:hideMark/>
          </w:tcPr>
          <w:p w14:paraId="756ACE65" w14:textId="077C48A9" w:rsidR="0070472A" w:rsidRPr="0070472A" w:rsidRDefault="0070472A" w:rsidP="0070472A">
            <w:pPr>
              <w:spacing w:line="240" w:lineRule="auto"/>
              <w:rPr>
                <w:rFonts w:cs="Times New Roman"/>
                <w:color w:val="000000"/>
              </w:rPr>
            </w:pPr>
            <w:r w:rsidRPr="0070472A">
              <w:rPr>
                <w:rFonts w:cs="Times New Roman"/>
                <w:color w:val="000000"/>
                <w:vertAlign w:val="subscript"/>
              </w:rPr>
              <w:t xml:space="preserve">‡ = Rating scale of 1-3, with 1 indicating </w:t>
            </w:r>
            <w:r w:rsidR="00A44411">
              <w:rPr>
                <w:rFonts w:cs="Times New Roman"/>
                <w:color w:val="000000"/>
                <w:vertAlign w:val="subscript"/>
              </w:rPr>
              <w:t xml:space="preserve">medium green </w:t>
            </w:r>
            <w:r w:rsidRPr="0070472A">
              <w:rPr>
                <w:rFonts w:cs="Times New Roman"/>
                <w:color w:val="000000"/>
                <w:vertAlign w:val="subscript"/>
              </w:rPr>
              <w:t xml:space="preserve">and 3 indicating blue </w:t>
            </w:r>
            <w:r w:rsidR="00DB61CB">
              <w:rPr>
                <w:rFonts w:cs="Times New Roman"/>
                <w:color w:val="000000"/>
                <w:vertAlign w:val="subscript"/>
              </w:rPr>
              <w:t>plant color</w:t>
            </w:r>
          </w:p>
        </w:tc>
      </w:tr>
      <w:tr w:rsidR="0070472A" w:rsidRPr="0070472A" w14:paraId="71379D8C" w14:textId="77777777" w:rsidTr="0070472A">
        <w:trPr>
          <w:trHeight w:val="240"/>
        </w:trPr>
        <w:tc>
          <w:tcPr>
            <w:tcW w:w="8800" w:type="dxa"/>
            <w:gridSpan w:val="9"/>
            <w:tcBorders>
              <w:top w:val="nil"/>
              <w:left w:val="nil"/>
              <w:bottom w:val="nil"/>
              <w:right w:val="nil"/>
            </w:tcBorders>
            <w:shd w:val="clear" w:color="auto" w:fill="auto"/>
            <w:noWrap/>
            <w:vAlign w:val="bottom"/>
            <w:hideMark/>
          </w:tcPr>
          <w:p w14:paraId="5A184C65" w14:textId="77777777" w:rsidR="0070472A" w:rsidRPr="0070472A" w:rsidRDefault="0070472A" w:rsidP="0070472A">
            <w:pPr>
              <w:spacing w:line="240" w:lineRule="auto"/>
              <w:rPr>
                <w:rFonts w:cs="Times New Roman"/>
                <w:color w:val="000000"/>
              </w:rPr>
            </w:pPr>
            <w:r w:rsidRPr="0070472A">
              <w:rPr>
                <w:rFonts w:cs="Times New Roman"/>
                <w:color w:val="000000"/>
                <w:vertAlign w:val="subscript"/>
              </w:rPr>
              <w:t xml:space="preserve">§ = Rating scale of 1-5, with 1 indicating a dense </w:t>
            </w:r>
            <w:r w:rsidR="00DA675F">
              <w:rPr>
                <w:rFonts w:cs="Times New Roman"/>
                <w:color w:val="000000"/>
                <w:vertAlign w:val="subscript"/>
              </w:rPr>
              <w:t>canopy density</w:t>
            </w:r>
            <w:r w:rsidRPr="0070472A">
              <w:rPr>
                <w:rFonts w:cs="Times New Roman"/>
                <w:color w:val="000000"/>
                <w:vertAlign w:val="subscript"/>
              </w:rPr>
              <w:t xml:space="preserve"> and 5 indicating an open </w:t>
            </w:r>
            <w:r w:rsidR="00DA675F">
              <w:rPr>
                <w:rFonts w:cs="Times New Roman"/>
                <w:color w:val="000000"/>
                <w:vertAlign w:val="subscript"/>
              </w:rPr>
              <w:t>canopy density</w:t>
            </w:r>
          </w:p>
        </w:tc>
      </w:tr>
      <w:tr w:rsidR="0070472A" w:rsidRPr="0070472A" w14:paraId="17FD6E68" w14:textId="77777777" w:rsidTr="0070472A">
        <w:trPr>
          <w:trHeight w:val="276"/>
        </w:trPr>
        <w:tc>
          <w:tcPr>
            <w:tcW w:w="8800" w:type="dxa"/>
            <w:gridSpan w:val="9"/>
            <w:vMerge w:val="restart"/>
            <w:tcBorders>
              <w:top w:val="nil"/>
              <w:left w:val="nil"/>
              <w:bottom w:val="nil"/>
              <w:right w:val="nil"/>
            </w:tcBorders>
            <w:shd w:val="clear" w:color="auto" w:fill="auto"/>
            <w:vAlign w:val="bottom"/>
            <w:hideMark/>
          </w:tcPr>
          <w:p w14:paraId="7DA40269" w14:textId="77777777" w:rsidR="0070472A" w:rsidRPr="0070472A" w:rsidRDefault="0070472A" w:rsidP="0070472A">
            <w:pPr>
              <w:spacing w:line="240" w:lineRule="auto"/>
              <w:rPr>
                <w:rFonts w:cs="Times New Roman"/>
                <w:color w:val="000000"/>
              </w:rPr>
            </w:pPr>
            <w:r w:rsidRPr="0070472A">
              <w:rPr>
                <w:rFonts w:cs="Times New Roman"/>
                <w:color w:val="000000"/>
                <w:vertAlign w:val="subscript"/>
              </w:rPr>
              <w:t xml:space="preserve"> ¶ = Rating scale of 1-5, with 1 indicating leaves less than 45° angle from stem, 5 indicating leaves with greater than 135° angle from stem</w:t>
            </w:r>
          </w:p>
        </w:tc>
      </w:tr>
      <w:tr w:rsidR="0070472A" w:rsidRPr="0070472A" w14:paraId="2C783537" w14:textId="77777777" w:rsidTr="0070472A">
        <w:trPr>
          <w:trHeight w:val="276"/>
        </w:trPr>
        <w:tc>
          <w:tcPr>
            <w:tcW w:w="8800" w:type="dxa"/>
            <w:gridSpan w:val="9"/>
            <w:vMerge/>
            <w:tcBorders>
              <w:top w:val="nil"/>
              <w:left w:val="nil"/>
              <w:bottom w:val="nil"/>
              <w:right w:val="nil"/>
            </w:tcBorders>
            <w:vAlign w:val="center"/>
            <w:hideMark/>
          </w:tcPr>
          <w:p w14:paraId="708153C9" w14:textId="77777777" w:rsidR="0070472A" w:rsidRPr="0070472A" w:rsidRDefault="0070472A" w:rsidP="0070472A">
            <w:pPr>
              <w:spacing w:line="240" w:lineRule="auto"/>
              <w:rPr>
                <w:rFonts w:cs="Times New Roman"/>
                <w:color w:val="000000"/>
              </w:rPr>
            </w:pPr>
          </w:p>
        </w:tc>
      </w:tr>
    </w:tbl>
    <w:p w14:paraId="1A9E47BD" w14:textId="77777777" w:rsidR="00596A40" w:rsidRDefault="00596A40" w:rsidP="00596A40">
      <w:pPr>
        <w:rPr>
          <w:rFonts w:cs="Times New Roman"/>
        </w:rPr>
      </w:pPr>
    </w:p>
    <w:p w14:paraId="4532DF72" w14:textId="77777777" w:rsidR="00596A40" w:rsidRDefault="00596A40" w:rsidP="00596A40">
      <w:pPr>
        <w:spacing w:line="240" w:lineRule="auto"/>
      </w:pPr>
    </w:p>
    <w:p w14:paraId="4BB304AF" w14:textId="77777777" w:rsidR="00596A40" w:rsidRDefault="00596A40" w:rsidP="00596A40">
      <w:pPr>
        <w:spacing w:line="240" w:lineRule="auto"/>
      </w:pPr>
    </w:p>
    <w:p w14:paraId="2DC79979" w14:textId="77777777" w:rsidR="00596A40" w:rsidRDefault="00596A40" w:rsidP="00596A40">
      <w:pPr>
        <w:spacing w:line="240" w:lineRule="auto"/>
      </w:pPr>
    </w:p>
    <w:p w14:paraId="5D578003" w14:textId="77777777" w:rsidR="00596A40" w:rsidRDefault="00596A40" w:rsidP="00596A40">
      <w:pPr>
        <w:spacing w:line="240" w:lineRule="auto"/>
      </w:pPr>
    </w:p>
    <w:p w14:paraId="00D6D0C1" w14:textId="77777777" w:rsidR="00596A40" w:rsidRDefault="00596A40" w:rsidP="00596A40">
      <w:pPr>
        <w:spacing w:line="240" w:lineRule="auto"/>
      </w:pPr>
    </w:p>
    <w:p w14:paraId="4C133189" w14:textId="77777777" w:rsidR="00596A40" w:rsidRDefault="00596A40" w:rsidP="00596A40">
      <w:pPr>
        <w:spacing w:line="240" w:lineRule="auto"/>
      </w:pPr>
    </w:p>
    <w:p w14:paraId="1760422B" w14:textId="77777777" w:rsidR="00596A40" w:rsidRDefault="00596A40" w:rsidP="00596A40">
      <w:pPr>
        <w:spacing w:line="240" w:lineRule="auto"/>
      </w:pPr>
    </w:p>
    <w:p w14:paraId="62D7320D" w14:textId="039EB50B" w:rsidR="00596A40" w:rsidRPr="00BA3F3D" w:rsidRDefault="00596A40" w:rsidP="00596A40">
      <w:pPr>
        <w:pStyle w:val="Caption"/>
      </w:pPr>
      <w:bookmarkStart w:id="79" w:name="_Toc404070375"/>
      <w:r w:rsidRPr="00BA3F3D">
        <w:lastRenderedPageBreak/>
        <w:t xml:space="preserve">Table </w:t>
      </w:r>
      <w:r>
        <w:t>2-2</w:t>
      </w:r>
      <w:r w:rsidRPr="00BA3F3D">
        <w:t>:</w:t>
      </w:r>
      <w:r>
        <w:t xml:space="preserve"> </w:t>
      </w:r>
      <w:r w:rsidR="00BA712C">
        <w:t>Pearson correlation coefficients</w:t>
      </w:r>
      <w:r>
        <w:t xml:space="preserve"> between traits measured at the juvenile stage (8 weeks post emergence) and during the fall of the establishment year (2012) with biomass and </w:t>
      </w:r>
      <w:r w:rsidR="0095454C">
        <w:t>predicted ethanol yield</w:t>
      </w:r>
      <w:r>
        <w:t xml:space="preserve"> in the second year (2013). Dark grey shading indicates strong correlations while light grey shading indicates moderate correlations.</w:t>
      </w:r>
      <w:bookmarkEnd w:id="79"/>
      <w:r>
        <w:t xml:space="preserve"> </w:t>
      </w:r>
    </w:p>
    <w:tbl>
      <w:tblPr>
        <w:tblW w:w="8385" w:type="dxa"/>
        <w:tblInd w:w="93" w:type="dxa"/>
        <w:tblLayout w:type="fixed"/>
        <w:tblLook w:val="04A0" w:firstRow="1" w:lastRow="0" w:firstColumn="1" w:lastColumn="0" w:noHBand="0" w:noVBand="1"/>
      </w:tblPr>
      <w:tblGrid>
        <w:gridCol w:w="3052"/>
        <w:gridCol w:w="1333"/>
        <w:gridCol w:w="1120"/>
        <w:gridCol w:w="1546"/>
        <w:gridCol w:w="1334"/>
      </w:tblGrid>
      <w:tr w:rsidR="00905713" w:rsidRPr="00905713" w14:paraId="34125948" w14:textId="77777777" w:rsidTr="00905713">
        <w:trPr>
          <w:trHeight w:val="315"/>
        </w:trPr>
        <w:tc>
          <w:tcPr>
            <w:tcW w:w="3052" w:type="dxa"/>
            <w:tcBorders>
              <w:top w:val="single" w:sz="8" w:space="0" w:color="auto"/>
              <w:left w:val="nil"/>
              <w:bottom w:val="nil"/>
              <w:right w:val="nil"/>
            </w:tcBorders>
            <w:shd w:val="clear" w:color="auto" w:fill="auto"/>
            <w:noWrap/>
            <w:hideMark/>
          </w:tcPr>
          <w:p w14:paraId="74A81308" w14:textId="77777777" w:rsidR="00905713" w:rsidRPr="00905713" w:rsidRDefault="00905713" w:rsidP="00905713">
            <w:pPr>
              <w:spacing w:line="240" w:lineRule="auto"/>
              <w:rPr>
                <w:rFonts w:cs="Times New Roman"/>
                <w:b/>
                <w:bCs/>
                <w:color w:val="000000"/>
              </w:rPr>
            </w:pPr>
            <w:r w:rsidRPr="00905713">
              <w:rPr>
                <w:rFonts w:cs="Times New Roman"/>
                <w:b/>
                <w:bCs/>
                <w:color w:val="000000"/>
              </w:rPr>
              <w:t> </w:t>
            </w:r>
          </w:p>
        </w:tc>
        <w:tc>
          <w:tcPr>
            <w:tcW w:w="2453" w:type="dxa"/>
            <w:gridSpan w:val="2"/>
            <w:tcBorders>
              <w:top w:val="single" w:sz="8" w:space="0" w:color="auto"/>
              <w:left w:val="nil"/>
              <w:bottom w:val="nil"/>
              <w:right w:val="nil"/>
            </w:tcBorders>
            <w:shd w:val="clear" w:color="auto" w:fill="auto"/>
            <w:noWrap/>
            <w:vAlign w:val="bottom"/>
            <w:hideMark/>
          </w:tcPr>
          <w:p w14:paraId="7D3F478F" w14:textId="77777777" w:rsidR="00BA712C" w:rsidRDefault="00905713" w:rsidP="00905713">
            <w:pPr>
              <w:spacing w:line="240" w:lineRule="auto"/>
              <w:jc w:val="center"/>
              <w:rPr>
                <w:rFonts w:cs="Times New Roman"/>
                <w:b/>
                <w:bCs/>
                <w:color w:val="000000"/>
              </w:rPr>
            </w:pPr>
            <w:r w:rsidRPr="00905713">
              <w:rPr>
                <w:rFonts w:cs="Times New Roman"/>
                <w:b/>
                <w:bCs/>
                <w:color w:val="000000"/>
              </w:rPr>
              <w:t>Biomass Yield</w:t>
            </w:r>
            <w:r w:rsidR="00BA712C">
              <w:rPr>
                <w:rFonts w:cs="Times New Roman"/>
                <w:b/>
                <w:bCs/>
                <w:color w:val="000000"/>
              </w:rPr>
              <w:t xml:space="preserve"> </w:t>
            </w:r>
          </w:p>
          <w:p w14:paraId="6EEF12D7" w14:textId="7FA936E6" w:rsidR="00905713" w:rsidRPr="00905713" w:rsidRDefault="00BA712C" w:rsidP="00905713">
            <w:pPr>
              <w:spacing w:line="240" w:lineRule="auto"/>
              <w:jc w:val="center"/>
              <w:rPr>
                <w:rFonts w:cs="Times New Roman"/>
                <w:b/>
                <w:bCs/>
                <w:color w:val="000000"/>
              </w:rPr>
            </w:pPr>
            <w:r>
              <w:rPr>
                <w:rFonts w:cs="Times New Roman"/>
                <w:b/>
                <w:bCs/>
                <w:color w:val="000000"/>
              </w:rPr>
              <w:t>(g plant</w:t>
            </w:r>
            <w:r w:rsidRPr="00BA712C">
              <w:rPr>
                <w:rFonts w:cs="Times New Roman"/>
                <w:b/>
                <w:bCs/>
                <w:color w:val="000000"/>
                <w:vertAlign w:val="superscript"/>
              </w:rPr>
              <w:t>-1</w:t>
            </w:r>
            <w:r>
              <w:rPr>
                <w:rFonts w:cs="Times New Roman"/>
                <w:b/>
                <w:bCs/>
                <w:color w:val="000000"/>
              </w:rPr>
              <w:t>)</w:t>
            </w:r>
          </w:p>
        </w:tc>
        <w:tc>
          <w:tcPr>
            <w:tcW w:w="2880" w:type="dxa"/>
            <w:gridSpan w:val="2"/>
            <w:tcBorders>
              <w:top w:val="single" w:sz="8" w:space="0" w:color="auto"/>
              <w:left w:val="nil"/>
              <w:bottom w:val="nil"/>
              <w:right w:val="nil"/>
            </w:tcBorders>
            <w:shd w:val="clear" w:color="auto" w:fill="auto"/>
            <w:noWrap/>
            <w:vAlign w:val="bottom"/>
            <w:hideMark/>
          </w:tcPr>
          <w:p w14:paraId="64B2A289" w14:textId="478610CC" w:rsidR="00905713" w:rsidRPr="00905713" w:rsidRDefault="00905713" w:rsidP="00905713">
            <w:pPr>
              <w:spacing w:line="240" w:lineRule="auto"/>
              <w:jc w:val="center"/>
              <w:rPr>
                <w:rFonts w:cs="Times New Roman"/>
                <w:b/>
                <w:bCs/>
                <w:color w:val="000000"/>
              </w:rPr>
            </w:pPr>
            <w:r w:rsidRPr="00905713">
              <w:rPr>
                <w:rFonts w:cs="Times New Roman"/>
                <w:b/>
                <w:bCs/>
                <w:color w:val="000000"/>
              </w:rPr>
              <w:t>Predicted Ethanol Yield</w:t>
            </w:r>
            <w:r w:rsidR="00BA712C">
              <w:rPr>
                <w:rFonts w:cs="Times New Roman"/>
                <w:b/>
                <w:bCs/>
                <w:color w:val="000000"/>
              </w:rPr>
              <w:t xml:space="preserve"> (mg g</w:t>
            </w:r>
            <w:r w:rsidR="00BA712C" w:rsidRPr="00BA712C">
              <w:rPr>
                <w:rFonts w:cs="Times New Roman"/>
                <w:b/>
                <w:bCs/>
                <w:color w:val="000000"/>
                <w:vertAlign w:val="superscript"/>
              </w:rPr>
              <w:t>-1</w:t>
            </w:r>
            <w:r w:rsidR="00BA712C">
              <w:rPr>
                <w:rFonts w:cs="Times New Roman"/>
                <w:b/>
                <w:bCs/>
                <w:color w:val="000000"/>
              </w:rPr>
              <w:t>)</w:t>
            </w:r>
          </w:p>
        </w:tc>
      </w:tr>
      <w:tr w:rsidR="00905713" w:rsidRPr="00905713" w14:paraId="1B7FE32F" w14:textId="77777777" w:rsidTr="00905713">
        <w:trPr>
          <w:trHeight w:val="330"/>
        </w:trPr>
        <w:tc>
          <w:tcPr>
            <w:tcW w:w="3052" w:type="dxa"/>
            <w:tcBorders>
              <w:top w:val="nil"/>
              <w:left w:val="nil"/>
              <w:bottom w:val="nil"/>
              <w:right w:val="nil"/>
            </w:tcBorders>
            <w:shd w:val="clear" w:color="auto" w:fill="auto"/>
            <w:noWrap/>
            <w:vAlign w:val="bottom"/>
            <w:hideMark/>
          </w:tcPr>
          <w:p w14:paraId="3EF7EE22" w14:textId="77777777" w:rsidR="00905713" w:rsidRPr="00905713" w:rsidRDefault="00905713" w:rsidP="00905713">
            <w:pPr>
              <w:spacing w:line="240" w:lineRule="auto"/>
              <w:rPr>
                <w:rFonts w:cs="Times New Roman"/>
                <w:color w:val="000000"/>
              </w:rPr>
            </w:pPr>
          </w:p>
        </w:tc>
        <w:tc>
          <w:tcPr>
            <w:tcW w:w="2453" w:type="dxa"/>
            <w:gridSpan w:val="2"/>
            <w:tcBorders>
              <w:top w:val="nil"/>
              <w:left w:val="nil"/>
              <w:bottom w:val="nil"/>
              <w:right w:val="nil"/>
            </w:tcBorders>
            <w:shd w:val="clear" w:color="auto" w:fill="auto"/>
            <w:hideMark/>
          </w:tcPr>
          <w:p w14:paraId="48775310" w14:textId="77777777" w:rsidR="00905713" w:rsidRPr="00905713" w:rsidRDefault="00905713" w:rsidP="00905713">
            <w:pPr>
              <w:spacing w:line="240" w:lineRule="auto"/>
              <w:jc w:val="center"/>
              <w:rPr>
                <w:rFonts w:cs="Times New Roman"/>
                <w:b/>
                <w:bCs/>
                <w:color w:val="000000"/>
              </w:rPr>
            </w:pPr>
            <w:r w:rsidRPr="00905713">
              <w:rPr>
                <w:rFonts w:cs="Times New Roman"/>
                <w:b/>
                <w:bCs/>
                <w:color w:val="000000"/>
              </w:rPr>
              <w:t>2013</w:t>
            </w:r>
          </w:p>
        </w:tc>
        <w:tc>
          <w:tcPr>
            <w:tcW w:w="2880" w:type="dxa"/>
            <w:gridSpan w:val="2"/>
            <w:tcBorders>
              <w:top w:val="nil"/>
              <w:left w:val="nil"/>
              <w:bottom w:val="nil"/>
              <w:right w:val="nil"/>
            </w:tcBorders>
            <w:shd w:val="clear" w:color="auto" w:fill="auto"/>
            <w:hideMark/>
          </w:tcPr>
          <w:p w14:paraId="24BA55F2" w14:textId="77777777" w:rsidR="00905713" w:rsidRPr="00905713" w:rsidRDefault="00905713" w:rsidP="00905713">
            <w:pPr>
              <w:spacing w:line="240" w:lineRule="auto"/>
              <w:jc w:val="center"/>
              <w:rPr>
                <w:rFonts w:cs="Times New Roman"/>
                <w:b/>
                <w:bCs/>
                <w:color w:val="000000"/>
              </w:rPr>
            </w:pPr>
            <w:r w:rsidRPr="00905713">
              <w:rPr>
                <w:rFonts w:cs="Times New Roman"/>
                <w:b/>
                <w:bCs/>
                <w:color w:val="000000"/>
              </w:rPr>
              <w:t>2013</w:t>
            </w:r>
          </w:p>
        </w:tc>
      </w:tr>
      <w:tr w:rsidR="00905713" w:rsidRPr="00905713" w14:paraId="12C08042" w14:textId="77777777" w:rsidTr="00905713">
        <w:trPr>
          <w:trHeight w:val="315"/>
        </w:trPr>
        <w:tc>
          <w:tcPr>
            <w:tcW w:w="3052" w:type="dxa"/>
            <w:tcBorders>
              <w:top w:val="single" w:sz="8" w:space="0" w:color="auto"/>
              <w:left w:val="nil"/>
              <w:bottom w:val="single" w:sz="4" w:space="0" w:color="auto"/>
              <w:right w:val="nil"/>
            </w:tcBorders>
            <w:shd w:val="clear" w:color="auto" w:fill="auto"/>
            <w:hideMark/>
          </w:tcPr>
          <w:p w14:paraId="143B3361" w14:textId="77777777" w:rsidR="00905713" w:rsidRPr="00905713" w:rsidRDefault="00B8588D" w:rsidP="00905713">
            <w:pPr>
              <w:spacing w:line="240" w:lineRule="auto"/>
              <w:jc w:val="center"/>
              <w:rPr>
                <w:rFonts w:cs="Times New Roman"/>
                <w:b/>
                <w:bCs/>
                <w:color w:val="000000"/>
              </w:rPr>
            </w:pPr>
            <w:r>
              <w:rPr>
                <w:rFonts w:cs="Times New Roman"/>
                <w:b/>
                <w:bCs/>
                <w:color w:val="000000"/>
              </w:rPr>
              <w:t>Juvenile (</w:t>
            </w:r>
            <w:r w:rsidR="00905713" w:rsidRPr="00905713">
              <w:rPr>
                <w:rFonts w:cs="Times New Roman"/>
                <w:b/>
                <w:bCs/>
                <w:color w:val="000000"/>
              </w:rPr>
              <w:t>8 weeks</w:t>
            </w:r>
            <w:r>
              <w:rPr>
                <w:rFonts w:cs="Times New Roman"/>
                <w:b/>
                <w:bCs/>
                <w:color w:val="000000"/>
              </w:rPr>
              <w:t>)</w:t>
            </w:r>
          </w:p>
        </w:tc>
        <w:tc>
          <w:tcPr>
            <w:tcW w:w="1333" w:type="dxa"/>
            <w:tcBorders>
              <w:top w:val="single" w:sz="8" w:space="0" w:color="auto"/>
              <w:left w:val="nil"/>
              <w:bottom w:val="single" w:sz="4" w:space="0" w:color="auto"/>
              <w:right w:val="nil"/>
            </w:tcBorders>
            <w:shd w:val="clear" w:color="auto" w:fill="auto"/>
            <w:hideMark/>
          </w:tcPr>
          <w:p w14:paraId="3E2ED7A5" w14:textId="77777777" w:rsidR="00905713" w:rsidRPr="00905713" w:rsidRDefault="00905713" w:rsidP="00905713">
            <w:pPr>
              <w:spacing w:line="240" w:lineRule="auto"/>
              <w:jc w:val="center"/>
              <w:rPr>
                <w:rFonts w:cs="Times New Roman"/>
                <w:b/>
                <w:bCs/>
                <w:color w:val="000000"/>
              </w:rPr>
            </w:pPr>
            <w:r w:rsidRPr="00905713">
              <w:rPr>
                <w:rFonts w:cs="Times New Roman"/>
                <w:b/>
                <w:bCs/>
                <w:color w:val="000000"/>
              </w:rPr>
              <w:t> </w:t>
            </w:r>
          </w:p>
        </w:tc>
        <w:tc>
          <w:tcPr>
            <w:tcW w:w="1120" w:type="dxa"/>
            <w:tcBorders>
              <w:top w:val="single" w:sz="8" w:space="0" w:color="auto"/>
              <w:left w:val="nil"/>
              <w:bottom w:val="single" w:sz="4" w:space="0" w:color="auto"/>
              <w:right w:val="nil"/>
            </w:tcBorders>
            <w:shd w:val="clear" w:color="auto" w:fill="auto"/>
            <w:hideMark/>
          </w:tcPr>
          <w:p w14:paraId="2613B2C1" w14:textId="77777777" w:rsidR="00905713" w:rsidRPr="00905713" w:rsidRDefault="00905713" w:rsidP="00905713">
            <w:pPr>
              <w:spacing w:line="240" w:lineRule="auto"/>
              <w:jc w:val="center"/>
              <w:rPr>
                <w:rFonts w:cs="Times New Roman"/>
                <w:b/>
                <w:bCs/>
                <w:color w:val="000000"/>
              </w:rPr>
            </w:pPr>
            <w:r w:rsidRPr="00905713">
              <w:rPr>
                <w:rFonts w:cs="Times New Roman"/>
                <w:b/>
                <w:bCs/>
                <w:color w:val="000000"/>
              </w:rPr>
              <w:t> </w:t>
            </w:r>
          </w:p>
        </w:tc>
        <w:tc>
          <w:tcPr>
            <w:tcW w:w="1546" w:type="dxa"/>
            <w:tcBorders>
              <w:top w:val="single" w:sz="8" w:space="0" w:color="auto"/>
              <w:left w:val="nil"/>
              <w:bottom w:val="single" w:sz="4" w:space="0" w:color="auto"/>
              <w:right w:val="nil"/>
            </w:tcBorders>
            <w:shd w:val="clear" w:color="auto" w:fill="auto"/>
            <w:hideMark/>
          </w:tcPr>
          <w:p w14:paraId="5CBD5979" w14:textId="77777777" w:rsidR="00905713" w:rsidRPr="00905713" w:rsidRDefault="00905713" w:rsidP="00905713">
            <w:pPr>
              <w:spacing w:line="240" w:lineRule="auto"/>
              <w:jc w:val="center"/>
              <w:rPr>
                <w:rFonts w:cs="Times New Roman"/>
                <w:b/>
                <w:bCs/>
                <w:color w:val="000000"/>
              </w:rPr>
            </w:pPr>
            <w:r w:rsidRPr="00905713">
              <w:rPr>
                <w:rFonts w:cs="Times New Roman"/>
                <w:b/>
                <w:bCs/>
                <w:color w:val="000000"/>
              </w:rPr>
              <w:t> </w:t>
            </w:r>
          </w:p>
        </w:tc>
        <w:tc>
          <w:tcPr>
            <w:tcW w:w="1334" w:type="dxa"/>
            <w:tcBorders>
              <w:top w:val="single" w:sz="8" w:space="0" w:color="auto"/>
              <w:left w:val="nil"/>
              <w:bottom w:val="single" w:sz="4" w:space="0" w:color="auto"/>
              <w:right w:val="nil"/>
            </w:tcBorders>
            <w:shd w:val="clear" w:color="auto" w:fill="auto"/>
            <w:hideMark/>
          </w:tcPr>
          <w:p w14:paraId="671E5C1C" w14:textId="77777777" w:rsidR="00905713" w:rsidRPr="00905713" w:rsidRDefault="00905713" w:rsidP="00905713">
            <w:pPr>
              <w:spacing w:line="240" w:lineRule="auto"/>
              <w:jc w:val="center"/>
              <w:rPr>
                <w:rFonts w:cs="Times New Roman"/>
                <w:b/>
                <w:bCs/>
                <w:color w:val="000000"/>
              </w:rPr>
            </w:pPr>
            <w:r w:rsidRPr="00905713">
              <w:rPr>
                <w:rFonts w:cs="Times New Roman"/>
                <w:b/>
                <w:bCs/>
                <w:color w:val="000000"/>
              </w:rPr>
              <w:t> </w:t>
            </w:r>
          </w:p>
        </w:tc>
      </w:tr>
      <w:tr w:rsidR="00905713" w:rsidRPr="00905713" w14:paraId="05E711BD" w14:textId="77777777" w:rsidTr="00905713">
        <w:trPr>
          <w:trHeight w:val="315"/>
        </w:trPr>
        <w:tc>
          <w:tcPr>
            <w:tcW w:w="3052" w:type="dxa"/>
            <w:tcBorders>
              <w:top w:val="nil"/>
              <w:left w:val="nil"/>
              <w:bottom w:val="nil"/>
              <w:right w:val="nil"/>
            </w:tcBorders>
            <w:shd w:val="clear" w:color="auto" w:fill="auto"/>
            <w:noWrap/>
            <w:vAlign w:val="bottom"/>
            <w:hideMark/>
          </w:tcPr>
          <w:p w14:paraId="7E050E88" w14:textId="77777777" w:rsidR="00905713" w:rsidRPr="00905713" w:rsidRDefault="00905713" w:rsidP="00905713">
            <w:pPr>
              <w:spacing w:line="240" w:lineRule="auto"/>
              <w:rPr>
                <w:rFonts w:cs="Times New Roman"/>
                <w:b/>
                <w:bCs/>
              </w:rPr>
            </w:pPr>
            <w:r w:rsidRPr="00905713">
              <w:rPr>
                <w:rFonts w:cs="Times New Roman"/>
                <w:b/>
                <w:bCs/>
              </w:rPr>
              <w:t>Spring Height (cm)</w:t>
            </w:r>
          </w:p>
        </w:tc>
        <w:tc>
          <w:tcPr>
            <w:tcW w:w="1333" w:type="dxa"/>
            <w:tcBorders>
              <w:top w:val="nil"/>
              <w:left w:val="nil"/>
              <w:bottom w:val="nil"/>
              <w:right w:val="nil"/>
            </w:tcBorders>
            <w:shd w:val="clear" w:color="auto" w:fill="auto"/>
            <w:noWrap/>
            <w:vAlign w:val="bottom"/>
            <w:hideMark/>
          </w:tcPr>
          <w:p w14:paraId="230B7E34" w14:textId="77777777" w:rsidR="00905713" w:rsidRPr="00905713" w:rsidRDefault="00905713" w:rsidP="00905713">
            <w:pPr>
              <w:spacing w:line="240" w:lineRule="auto"/>
              <w:jc w:val="right"/>
              <w:rPr>
                <w:rFonts w:cs="Times New Roman"/>
                <w:color w:val="000000"/>
              </w:rPr>
            </w:pPr>
            <w:r w:rsidRPr="00905713">
              <w:rPr>
                <w:rFonts w:cs="Times New Roman"/>
                <w:color w:val="000000"/>
              </w:rPr>
              <w:t>0.04</w:t>
            </w:r>
          </w:p>
        </w:tc>
        <w:tc>
          <w:tcPr>
            <w:tcW w:w="1120" w:type="dxa"/>
            <w:tcBorders>
              <w:top w:val="nil"/>
              <w:left w:val="nil"/>
              <w:bottom w:val="nil"/>
              <w:right w:val="nil"/>
            </w:tcBorders>
            <w:shd w:val="clear" w:color="auto" w:fill="auto"/>
            <w:noWrap/>
            <w:vAlign w:val="bottom"/>
            <w:hideMark/>
          </w:tcPr>
          <w:p w14:paraId="0AF5620B" w14:textId="77777777" w:rsidR="00905713" w:rsidRPr="00905713" w:rsidRDefault="00905713" w:rsidP="00905713">
            <w:pPr>
              <w:spacing w:line="240" w:lineRule="auto"/>
              <w:rPr>
                <w:rFonts w:cs="Times New Roman"/>
                <w:color w:val="000000"/>
              </w:rPr>
            </w:pPr>
          </w:p>
        </w:tc>
        <w:tc>
          <w:tcPr>
            <w:tcW w:w="1546" w:type="dxa"/>
            <w:tcBorders>
              <w:top w:val="nil"/>
              <w:left w:val="nil"/>
              <w:bottom w:val="nil"/>
              <w:right w:val="nil"/>
            </w:tcBorders>
            <w:shd w:val="clear" w:color="auto" w:fill="auto"/>
            <w:noWrap/>
            <w:vAlign w:val="bottom"/>
            <w:hideMark/>
          </w:tcPr>
          <w:p w14:paraId="02BEE89C" w14:textId="77777777" w:rsidR="00905713" w:rsidRPr="00905713" w:rsidRDefault="00905713" w:rsidP="00905713">
            <w:pPr>
              <w:spacing w:line="240" w:lineRule="auto"/>
              <w:jc w:val="right"/>
              <w:rPr>
                <w:rFonts w:cs="Times New Roman"/>
                <w:color w:val="000000"/>
              </w:rPr>
            </w:pPr>
            <w:r w:rsidRPr="00905713">
              <w:rPr>
                <w:rFonts w:cs="Times New Roman"/>
                <w:color w:val="000000"/>
              </w:rPr>
              <w:t>0.16</w:t>
            </w:r>
          </w:p>
        </w:tc>
        <w:tc>
          <w:tcPr>
            <w:tcW w:w="1334" w:type="dxa"/>
            <w:tcBorders>
              <w:top w:val="nil"/>
              <w:left w:val="nil"/>
              <w:bottom w:val="nil"/>
              <w:right w:val="nil"/>
            </w:tcBorders>
            <w:shd w:val="clear" w:color="auto" w:fill="auto"/>
            <w:noWrap/>
            <w:vAlign w:val="bottom"/>
            <w:hideMark/>
          </w:tcPr>
          <w:p w14:paraId="70EE6D61" w14:textId="77777777" w:rsidR="00905713" w:rsidRPr="00905713" w:rsidRDefault="00905713" w:rsidP="00905713">
            <w:pPr>
              <w:spacing w:line="240" w:lineRule="auto"/>
              <w:rPr>
                <w:rFonts w:cs="Times New Roman"/>
                <w:color w:val="000000"/>
              </w:rPr>
            </w:pPr>
            <w:r w:rsidRPr="00905713">
              <w:rPr>
                <w:rFonts w:cs="Times New Roman"/>
                <w:color w:val="000000"/>
              </w:rPr>
              <w:t>***</w:t>
            </w:r>
          </w:p>
        </w:tc>
      </w:tr>
      <w:tr w:rsidR="00905713" w:rsidRPr="00905713" w14:paraId="4E51D2EA" w14:textId="77777777" w:rsidTr="00905713">
        <w:trPr>
          <w:trHeight w:val="375"/>
        </w:trPr>
        <w:tc>
          <w:tcPr>
            <w:tcW w:w="3052" w:type="dxa"/>
            <w:tcBorders>
              <w:top w:val="nil"/>
              <w:left w:val="nil"/>
              <w:bottom w:val="nil"/>
              <w:right w:val="nil"/>
            </w:tcBorders>
            <w:shd w:val="clear" w:color="auto" w:fill="auto"/>
            <w:noWrap/>
            <w:vAlign w:val="bottom"/>
            <w:hideMark/>
          </w:tcPr>
          <w:p w14:paraId="0CA02EA5" w14:textId="73938796" w:rsidR="00905713" w:rsidRPr="00905713" w:rsidRDefault="00B8390A" w:rsidP="00905713">
            <w:pPr>
              <w:spacing w:line="240" w:lineRule="auto"/>
              <w:rPr>
                <w:rFonts w:cs="Times New Roman"/>
                <w:b/>
                <w:bCs/>
              </w:rPr>
            </w:pPr>
            <w:r>
              <w:rPr>
                <w:rFonts w:cs="Times New Roman"/>
                <w:b/>
                <w:bCs/>
              </w:rPr>
              <w:t>Plant C</w:t>
            </w:r>
            <w:r w:rsidR="00DB61CB">
              <w:rPr>
                <w:rFonts w:cs="Times New Roman"/>
                <w:b/>
                <w:bCs/>
              </w:rPr>
              <w:t>olor</w:t>
            </w:r>
            <w:r w:rsidR="00905713" w:rsidRPr="00905713">
              <w:rPr>
                <w:rFonts w:cs="Times New Roman"/>
                <w:b/>
                <w:bCs/>
                <w:vertAlign w:val="superscript"/>
              </w:rPr>
              <w:t xml:space="preserve">† </w:t>
            </w:r>
            <w:r w:rsidR="00905713" w:rsidRPr="00905713">
              <w:rPr>
                <w:rFonts w:cs="Times New Roman"/>
                <w:b/>
                <w:bCs/>
              </w:rPr>
              <w:t xml:space="preserve"> </w:t>
            </w:r>
          </w:p>
        </w:tc>
        <w:tc>
          <w:tcPr>
            <w:tcW w:w="1333" w:type="dxa"/>
            <w:tcBorders>
              <w:top w:val="nil"/>
              <w:left w:val="nil"/>
              <w:bottom w:val="nil"/>
              <w:right w:val="nil"/>
            </w:tcBorders>
            <w:shd w:val="clear" w:color="auto" w:fill="auto"/>
            <w:noWrap/>
            <w:vAlign w:val="bottom"/>
            <w:hideMark/>
          </w:tcPr>
          <w:p w14:paraId="782A1F25" w14:textId="77777777" w:rsidR="00905713" w:rsidRPr="00905713" w:rsidRDefault="00905713" w:rsidP="00905713">
            <w:pPr>
              <w:spacing w:line="240" w:lineRule="auto"/>
              <w:jc w:val="right"/>
              <w:rPr>
                <w:rFonts w:cs="Times New Roman"/>
                <w:color w:val="000000"/>
              </w:rPr>
            </w:pPr>
            <w:r w:rsidRPr="00905713">
              <w:rPr>
                <w:rFonts w:cs="Times New Roman"/>
                <w:color w:val="000000"/>
              </w:rPr>
              <w:t>0.04</w:t>
            </w:r>
          </w:p>
        </w:tc>
        <w:tc>
          <w:tcPr>
            <w:tcW w:w="1120" w:type="dxa"/>
            <w:tcBorders>
              <w:top w:val="nil"/>
              <w:left w:val="nil"/>
              <w:bottom w:val="nil"/>
              <w:right w:val="nil"/>
            </w:tcBorders>
            <w:shd w:val="clear" w:color="auto" w:fill="auto"/>
            <w:noWrap/>
            <w:vAlign w:val="bottom"/>
            <w:hideMark/>
          </w:tcPr>
          <w:p w14:paraId="02F9B8EB" w14:textId="77777777" w:rsidR="00905713" w:rsidRPr="00905713" w:rsidRDefault="00905713" w:rsidP="00905713">
            <w:pPr>
              <w:spacing w:line="240" w:lineRule="auto"/>
              <w:rPr>
                <w:rFonts w:cs="Times New Roman"/>
                <w:color w:val="000000"/>
              </w:rPr>
            </w:pPr>
          </w:p>
        </w:tc>
        <w:tc>
          <w:tcPr>
            <w:tcW w:w="1546" w:type="dxa"/>
            <w:tcBorders>
              <w:top w:val="nil"/>
              <w:left w:val="nil"/>
              <w:bottom w:val="nil"/>
              <w:right w:val="nil"/>
            </w:tcBorders>
            <w:shd w:val="clear" w:color="auto" w:fill="auto"/>
            <w:noWrap/>
            <w:vAlign w:val="bottom"/>
            <w:hideMark/>
          </w:tcPr>
          <w:p w14:paraId="4137C731" w14:textId="77777777" w:rsidR="00905713" w:rsidRPr="00905713" w:rsidRDefault="00905713" w:rsidP="00905713">
            <w:pPr>
              <w:spacing w:line="240" w:lineRule="auto"/>
              <w:jc w:val="right"/>
              <w:rPr>
                <w:rFonts w:cs="Times New Roman"/>
                <w:color w:val="000000"/>
              </w:rPr>
            </w:pPr>
            <w:r w:rsidRPr="00905713">
              <w:rPr>
                <w:rFonts w:cs="Times New Roman"/>
                <w:color w:val="000000"/>
              </w:rPr>
              <w:t>-0.13</w:t>
            </w:r>
          </w:p>
        </w:tc>
        <w:tc>
          <w:tcPr>
            <w:tcW w:w="1334" w:type="dxa"/>
            <w:tcBorders>
              <w:top w:val="nil"/>
              <w:left w:val="nil"/>
              <w:bottom w:val="nil"/>
              <w:right w:val="nil"/>
            </w:tcBorders>
            <w:shd w:val="clear" w:color="auto" w:fill="auto"/>
            <w:noWrap/>
            <w:vAlign w:val="bottom"/>
            <w:hideMark/>
          </w:tcPr>
          <w:p w14:paraId="13E18902" w14:textId="77777777" w:rsidR="00905713" w:rsidRPr="00905713" w:rsidRDefault="00905713" w:rsidP="00905713">
            <w:pPr>
              <w:spacing w:line="240" w:lineRule="auto"/>
              <w:rPr>
                <w:rFonts w:cs="Times New Roman"/>
                <w:color w:val="000000"/>
              </w:rPr>
            </w:pPr>
            <w:r w:rsidRPr="00905713">
              <w:rPr>
                <w:rFonts w:cs="Times New Roman"/>
                <w:color w:val="000000"/>
              </w:rPr>
              <w:t>***</w:t>
            </w:r>
          </w:p>
        </w:tc>
      </w:tr>
      <w:tr w:rsidR="00905713" w:rsidRPr="00905713" w14:paraId="21E2E697" w14:textId="77777777" w:rsidTr="00905713">
        <w:trPr>
          <w:trHeight w:val="375"/>
        </w:trPr>
        <w:tc>
          <w:tcPr>
            <w:tcW w:w="3052" w:type="dxa"/>
            <w:tcBorders>
              <w:top w:val="nil"/>
              <w:left w:val="nil"/>
              <w:bottom w:val="nil"/>
              <w:right w:val="nil"/>
            </w:tcBorders>
            <w:shd w:val="clear" w:color="auto" w:fill="auto"/>
            <w:noWrap/>
            <w:vAlign w:val="bottom"/>
            <w:hideMark/>
          </w:tcPr>
          <w:p w14:paraId="341535E6" w14:textId="77777777" w:rsidR="00905713" w:rsidRPr="00905713" w:rsidRDefault="00905713" w:rsidP="00905713">
            <w:pPr>
              <w:spacing w:line="240" w:lineRule="auto"/>
              <w:rPr>
                <w:rFonts w:cs="Times New Roman"/>
                <w:b/>
                <w:bCs/>
              </w:rPr>
            </w:pPr>
            <w:r w:rsidRPr="00905713">
              <w:rPr>
                <w:rFonts w:cs="Times New Roman"/>
                <w:b/>
                <w:bCs/>
              </w:rPr>
              <w:t>Leaf Angle</w:t>
            </w:r>
            <w:r w:rsidRPr="00905713">
              <w:rPr>
                <w:rFonts w:cs="Times New Roman"/>
                <w:b/>
                <w:bCs/>
                <w:vertAlign w:val="superscript"/>
              </w:rPr>
              <w:t>‡</w:t>
            </w:r>
          </w:p>
        </w:tc>
        <w:tc>
          <w:tcPr>
            <w:tcW w:w="1333" w:type="dxa"/>
            <w:tcBorders>
              <w:top w:val="nil"/>
              <w:left w:val="nil"/>
              <w:bottom w:val="nil"/>
              <w:right w:val="nil"/>
            </w:tcBorders>
            <w:shd w:val="clear" w:color="auto" w:fill="auto"/>
            <w:noWrap/>
            <w:vAlign w:val="bottom"/>
            <w:hideMark/>
          </w:tcPr>
          <w:p w14:paraId="2CC178B2" w14:textId="77777777" w:rsidR="00905713" w:rsidRPr="00905713" w:rsidRDefault="00905713" w:rsidP="00905713">
            <w:pPr>
              <w:spacing w:line="240" w:lineRule="auto"/>
              <w:jc w:val="right"/>
              <w:rPr>
                <w:rFonts w:cs="Times New Roman"/>
                <w:color w:val="000000"/>
              </w:rPr>
            </w:pPr>
            <w:r w:rsidRPr="00905713">
              <w:rPr>
                <w:rFonts w:cs="Times New Roman"/>
                <w:color w:val="000000"/>
              </w:rPr>
              <w:t>-0.02</w:t>
            </w:r>
          </w:p>
        </w:tc>
        <w:tc>
          <w:tcPr>
            <w:tcW w:w="1120" w:type="dxa"/>
            <w:tcBorders>
              <w:top w:val="nil"/>
              <w:left w:val="nil"/>
              <w:bottom w:val="nil"/>
              <w:right w:val="nil"/>
            </w:tcBorders>
            <w:shd w:val="clear" w:color="auto" w:fill="auto"/>
            <w:noWrap/>
            <w:vAlign w:val="bottom"/>
            <w:hideMark/>
          </w:tcPr>
          <w:p w14:paraId="15400ABA" w14:textId="77777777" w:rsidR="00905713" w:rsidRPr="00905713" w:rsidRDefault="00905713" w:rsidP="00905713">
            <w:pPr>
              <w:spacing w:line="240" w:lineRule="auto"/>
              <w:rPr>
                <w:rFonts w:cs="Times New Roman"/>
                <w:color w:val="000000"/>
              </w:rPr>
            </w:pPr>
          </w:p>
        </w:tc>
        <w:tc>
          <w:tcPr>
            <w:tcW w:w="1546" w:type="dxa"/>
            <w:tcBorders>
              <w:top w:val="nil"/>
              <w:left w:val="nil"/>
              <w:bottom w:val="nil"/>
              <w:right w:val="nil"/>
            </w:tcBorders>
            <w:shd w:val="clear" w:color="auto" w:fill="auto"/>
            <w:noWrap/>
            <w:vAlign w:val="bottom"/>
            <w:hideMark/>
          </w:tcPr>
          <w:p w14:paraId="54E82EAD" w14:textId="77777777" w:rsidR="00905713" w:rsidRPr="00905713" w:rsidRDefault="00905713" w:rsidP="00905713">
            <w:pPr>
              <w:spacing w:line="240" w:lineRule="auto"/>
              <w:jc w:val="right"/>
              <w:rPr>
                <w:rFonts w:cs="Times New Roman"/>
                <w:color w:val="000000"/>
              </w:rPr>
            </w:pPr>
            <w:r w:rsidRPr="00905713">
              <w:rPr>
                <w:rFonts w:cs="Times New Roman"/>
                <w:color w:val="000000"/>
              </w:rPr>
              <w:t>-0.01</w:t>
            </w:r>
          </w:p>
        </w:tc>
        <w:tc>
          <w:tcPr>
            <w:tcW w:w="1334" w:type="dxa"/>
            <w:tcBorders>
              <w:top w:val="nil"/>
              <w:left w:val="nil"/>
              <w:bottom w:val="nil"/>
              <w:right w:val="nil"/>
            </w:tcBorders>
            <w:shd w:val="clear" w:color="auto" w:fill="auto"/>
            <w:noWrap/>
            <w:vAlign w:val="bottom"/>
            <w:hideMark/>
          </w:tcPr>
          <w:p w14:paraId="6A538A06" w14:textId="77777777" w:rsidR="00905713" w:rsidRPr="00905713" w:rsidRDefault="00905713" w:rsidP="00905713">
            <w:pPr>
              <w:spacing w:line="240" w:lineRule="auto"/>
              <w:rPr>
                <w:rFonts w:cs="Times New Roman"/>
                <w:color w:val="000000"/>
              </w:rPr>
            </w:pPr>
          </w:p>
        </w:tc>
      </w:tr>
      <w:tr w:rsidR="00905713" w:rsidRPr="00905713" w14:paraId="7D705E0B" w14:textId="77777777" w:rsidTr="00905713">
        <w:trPr>
          <w:trHeight w:val="315"/>
        </w:trPr>
        <w:tc>
          <w:tcPr>
            <w:tcW w:w="3052" w:type="dxa"/>
            <w:tcBorders>
              <w:top w:val="nil"/>
              <w:left w:val="nil"/>
              <w:bottom w:val="nil"/>
              <w:right w:val="nil"/>
            </w:tcBorders>
            <w:shd w:val="clear" w:color="auto" w:fill="auto"/>
            <w:noWrap/>
            <w:vAlign w:val="bottom"/>
            <w:hideMark/>
          </w:tcPr>
          <w:p w14:paraId="18B5039A" w14:textId="77777777" w:rsidR="00905713" w:rsidRPr="00905713" w:rsidRDefault="00905713" w:rsidP="00905713">
            <w:pPr>
              <w:spacing w:line="240" w:lineRule="auto"/>
              <w:rPr>
                <w:rFonts w:cs="Times New Roman"/>
                <w:b/>
                <w:bCs/>
              </w:rPr>
            </w:pPr>
            <w:r w:rsidRPr="00905713">
              <w:rPr>
                <w:rFonts w:cs="Times New Roman"/>
                <w:b/>
                <w:bCs/>
              </w:rPr>
              <w:t>Tiller Number</w:t>
            </w:r>
          </w:p>
        </w:tc>
        <w:tc>
          <w:tcPr>
            <w:tcW w:w="1333" w:type="dxa"/>
            <w:tcBorders>
              <w:top w:val="nil"/>
              <w:left w:val="nil"/>
              <w:bottom w:val="nil"/>
              <w:right w:val="nil"/>
            </w:tcBorders>
            <w:shd w:val="clear" w:color="auto" w:fill="auto"/>
            <w:noWrap/>
            <w:vAlign w:val="bottom"/>
            <w:hideMark/>
          </w:tcPr>
          <w:p w14:paraId="7357EF21" w14:textId="77777777" w:rsidR="00905713" w:rsidRPr="00905713" w:rsidRDefault="00905713" w:rsidP="00905713">
            <w:pPr>
              <w:spacing w:line="240" w:lineRule="auto"/>
              <w:jc w:val="right"/>
              <w:rPr>
                <w:rFonts w:cs="Times New Roman"/>
                <w:color w:val="000000"/>
              </w:rPr>
            </w:pPr>
            <w:r w:rsidRPr="00905713">
              <w:rPr>
                <w:rFonts w:cs="Times New Roman"/>
                <w:color w:val="000000"/>
              </w:rPr>
              <w:t>0.01</w:t>
            </w:r>
          </w:p>
        </w:tc>
        <w:tc>
          <w:tcPr>
            <w:tcW w:w="1120" w:type="dxa"/>
            <w:tcBorders>
              <w:top w:val="nil"/>
              <w:left w:val="nil"/>
              <w:bottom w:val="nil"/>
              <w:right w:val="nil"/>
            </w:tcBorders>
            <w:shd w:val="clear" w:color="auto" w:fill="auto"/>
            <w:noWrap/>
            <w:vAlign w:val="bottom"/>
            <w:hideMark/>
          </w:tcPr>
          <w:p w14:paraId="0F7DAA12" w14:textId="77777777" w:rsidR="00905713" w:rsidRPr="00905713" w:rsidRDefault="00905713" w:rsidP="00905713">
            <w:pPr>
              <w:spacing w:line="240" w:lineRule="auto"/>
              <w:rPr>
                <w:rFonts w:cs="Times New Roman"/>
                <w:color w:val="000000"/>
              </w:rPr>
            </w:pPr>
          </w:p>
        </w:tc>
        <w:tc>
          <w:tcPr>
            <w:tcW w:w="1546" w:type="dxa"/>
            <w:tcBorders>
              <w:top w:val="nil"/>
              <w:left w:val="nil"/>
              <w:bottom w:val="nil"/>
              <w:right w:val="nil"/>
            </w:tcBorders>
            <w:shd w:val="clear" w:color="auto" w:fill="auto"/>
            <w:noWrap/>
            <w:vAlign w:val="bottom"/>
            <w:hideMark/>
          </w:tcPr>
          <w:p w14:paraId="62F2295D" w14:textId="77777777" w:rsidR="00905713" w:rsidRPr="00905713" w:rsidRDefault="00905713" w:rsidP="00905713">
            <w:pPr>
              <w:spacing w:line="240" w:lineRule="auto"/>
              <w:jc w:val="right"/>
              <w:rPr>
                <w:rFonts w:cs="Times New Roman"/>
                <w:color w:val="000000"/>
              </w:rPr>
            </w:pPr>
            <w:r w:rsidRPr="00905713">
              <w:rPr>
                <w:rFonts w:cs="Times New Roman"/>
                <w:color w:val="000000"/>
              </w:rPr>
              <w:t>0.17</w:t>
            </w:r>
          </w:p>
        </w:tc>
        <w:tc>
          <w:tcPr>
            <w:tcW w:w="1334" w:type="dxa"/>
            <w:tcBorders>
              <w:top w:val="nil"/>
              <w:left w:val="nil"/>
              <w:bottom w:val="nil"/>
              <w:right w:val="nil"/>
            </w:tcBorders>
            <w:shd w:val="clear" w:color="auto" w:fill="auto"/>
            <w:noWrap/>
            <w:vAlign w:val="bottom"/>
            <w:hideMark/>
          </w:tcPr>
          <w:p w14:paraId="7F29B0CB" w14:textId="77777777" w:rsidR="00905713" w:rsidRPr="00905713" w:rsidRDefault="00905713" w:rsidP="00905713">
            <w:pPr>
              <w:spacing w:line="240" w:lineRule="auto"/>
              <w:rPr>
                <w:rFonts w:cs="Times New Roman"/>
                <w:color w:val="000000"/>
              </w:rPr>
            </w:pPr>
            <w:r w:rsidRPr="00905713">
              <w:rPr>
                <w:rFonts w:cs="Times New Roman"/>
                <w:color w:val="000000"/>
              </w:rPr>
              <w:t>***</w:t>
            </w:r>
          </w:p>
        </w:tc>
      </w:tr>
      <w:tr w:rsidR="00905713" w:rsidRPr="00905713" w14:paraId="650C9193" w14:textId="77777777" w:rsidTr="00905713">
        <w:trPr>
          <w:trHeight w:val="315"/>
        </w:trPr>
        <w:tc>
          <w:tcPr>
            <w:tcW w:w="3052" w:type="dxa"/>
            <w:tcBorders>
              <w:top w:val="nil"/>
              <w:left w:val="nil"/>
              <w:bottom w:val="nil"/>
              <w:right w:val="nil"/>
            </w:tcBorders>
            <w:shd w:val="clear" w:color="auto" w:fill="auto"/>
            <w:noWrap/>
            <w:vAlign w:val="bottom"/>
            <w:hideMark/>
          </w:tcPr>
          <w:p w14:paraId="5AD4C767" w14:textId="77777777" w:rsidR="00905713" w:rsidRPr="00905713" w:rsidRDefault="00905713" w:rsidP="00905713">
            <w:pPr>
              <w:spacing w:line="240" w:lineRule="auto"/>
              <w:rPr>
                <w:rFonts w:cs="Times New Roman"/>
                <w:b/>
                <w:bCs/>
              </w:rPr>
            </w:pPr>
            <w:r w:rsidRPr="00905713">
              <w:rPr>
                <w:rFonts w:cs="Times New Roman"/>
                <w:b/>
                <w:bCs/>
              </w:rPr>
              <w:t>Tiller Diameter (mm)</w:t>
            </w:r>
          </w:p>
        </w:tc>
        <w:tc>
          <w:tcPr>
            <w:tcW w:w="1333" w:type="dxa"/>
            <w:tcBorders>
              <w:top w:val="nil"/>
              <w:left w:val="nil"/>
              <w:bottom w:val="nil"/>
              <w:right w:val="nil"/>
            </w:tcBorders>
            <w:shd w:val="clear" w:color="auto" w:fill="auto"/>
            <w:noWrap/>
            <w:vAlign w:val="bottom"/>
            <w:hideMark/>
          </w:tcPr>
          <w:p w14:paraId="2FF29A8D" w14:textId="77777777" w:rsidR="00905713" w:rsidRPr="00905713" w:rsidRDefault="00905713" w:rsidP="00905713">
            <w:pPr>
              <w:spacing w:line="240" w:lineRule="auto"/>
              <w:jc w:val="right"/>
              <w:rPr>
                <w:rFonts w:cs="Times New Roman"/>
                <w:color w:val="000000"/>
              </w:rPr>
            </w:pPr>
            <w:r w:rsidRPr="00905713">
              <w:rPr>
                <w:rFonts w:cs="Times New Roman"/>
                <w:color w:val="000000"/>
              </w:rPr>
              <w:t>0.08</w:t>
            </w:r>
          </w:p>
        </w:tc>
        <w:tc>
          <w:tcPr>
            <w:tcW w:w="1120" w:type="dxa"/>
            <w:tcBorders>
              <w:top w:val="nil"/>
              <w:left w:val="nil"/>
              <w:bottom w:val="nil"/>
              <w:right w:val="nil"/>
            </w:tcBorders>
            <w:shd w:val="clear" w:color="auto" w:fill="auto"/>
            <w:noWrap/>
            <w:vAlign w:val="bottom"/>
            <w:hideMark/>
          </w:tcPr>
          <w:p w14:paraId="091FEECA" w14:textId="77777777" w:rsidR="00905713" w:rsidRPr="00905713" w:rsidRDefault="00905713" w:rsidP="00905713">
            <w:pPr>
              <w:spacing w:line="240" w:lineRule="auto"/>
              <w:rPr>
                <w:rFonts w:cs="Times New Roman"/>
                <w:color w:val="000000"/>
              </w:rPr>
            </w:pPr>
            <w:r w:rsidRPr="00905713">
              <w:rPr>
                <w:rFonts w:cs="Times New Roman"/>
                <w:color w:val="000000"/>
              </w:rPr>
              <w:t>***</w:t>
            </w:r>
          </w:p>
        </w:tc>
        <w:tc>
          <w:tcPr>
            <w:tcW w:w="1546" w:type="dxa"/>
            <w:tcBorders>
              <w:top w:val="nil"/>
              <w:left w:val="nil"/>
              <w:bottom w:val="nil"/>
              <w:right w:val="nil"/>
            </w:tcBorders>
            <w:shd w:val="clear" w:color="auto" w:fill="auto"/>
            <w:noWrap/>
            <w:vAlign w:val="bottom"/>
            <w:hideMark/>
          </w:tcPr>
          <w:p w14:paraId="29186D83" w14:textId="77777777" w:rsidR="00905713" w:rsidRPr="00905713" w:rsidRDefault="00905713" w:rsidP="00905713">
            <w:pPr>
              <w:spacing w:line="240" w:lineRule="auto"/>
              <w:jc w:val="right"/>
              <w:rPr>
                <w:rFonts w:cs="Times New Roman"/>
                <w:color w:val="000000"/>
              </w:rPr>
            </w:pPr>
            <w:r w:rsidRPr="00905713">
              <w:rPr>
                <w:rFonts w:cs="Times New Roman"/>
                <w:color w:val="000000"/>
              </w:rPr>
              <w:t>0.00</w:t>
            </w:r>
          </w:p>
        </w:tc>
        <w:tc>
          <w:tcPr>
            <w:tcW w:w="1334" w:type="dxa"/>
            <w:tcBorders>
              <w:top w:val="nil"/>
              <w:left w:val="nil"/>
              <w:bottom w:val="nil"/>
              <w:right w:val="nil"/>
            </w:tcBorders>
            <w:shd w:val="clear" w:color="auto" w:fill="auto"/>
            <w:noWrap/>
            <w:vAlign w:val="bottom"/>
            <w:hideMark/>
          </w:tcPr>
          <w:p w14:paraId="292E01EC" w14:textId="77777777" w:rsidR="00905713" w:rsidRPr="00905713" w:rsidRDefault="00905713" w:rsidP="00905713">
            <w:pPr>
              <w:spacing w:line="240" w:lineRule="auto"/>
              <w:rPr>
                <w:rFonts w:cs="Times New Roman"/>
                <w:color w:val="000000"/>
              </w:rPr>
            </w:pPr>
          </w:p>
        </w:tc>
      </w:tr>
      <w:tr w:rsidR="00905713" w:rsidRPr="00905713" w14:paraId="5BE8D44B" w14:textId="77777777" w:rsidTr="00905713">
        <w:trPr>
          <w:trHeight w:val="315"/>
        </w:trPr>
        <w:tc>
          <w:tcPr>
            <w:tcW w:w="3052" w:type="dxa"/>
            <w:tcBorders>
              <w:top w:val="nil"/>
              <w:left w:val="nil"/>
              <w:bottom w:val="nil"/>
              <w:right w:val="nil"/>
            </w:tcBorders>
            <w:shd w:val="clear" w:color="auto" w:fill="auto"/>
            <w:noWrap/>
            <w:vAlign w:val="bottom"/>
            <w:hideMark/>
          </w:tcPr>
          <w:p w14:paraId="2E39A240" w14:textId="1E6A469E" w:rsidR="00905713" w:rsidRPr="00905713" w:rsidRDefault="00B8390A" w:rsidP="00905713">
            <w:pPr>
              <w:spacing w:line="240" w:lineRule="auto"/>
              <w:rPr>
                <w:rFonts w:cs="Times New Roman"/>
                <w:b/>
                <w:bCs/>
              </w:rPr>
            </w:pPr>
            <w:r>
              <w:rPr>
                <w:rFonts w:cs="Times New Roman"/>
                <w:b/>
                <w:bCs/>
              </w:rPr>
              <w:t>Leaf Width</w:t>
            </w:r>
            <w:r w:rsidR="00905713" w:rsidRPr="00905713">
              <w:rPr>
                <w:rFonts w:cs="Times New Roman"/>
                <w:b/>
                <w:bCs/>
              </w:rPr>
              <w:t xml:space="preserve"> (mm)</w:t>
            </w:r>
          </w:p>
        </w:tc>
        <w:tc>
          <w:tcPr>
            <w:tcW w:w="1333" w:type="dxa"/>
            <w:tcBorders>
              <w:top w:val="nil"/>
              <w:left w:val="nil"/>
              <w:bottom w:val="nil"/>
              <w:right w:val="nil"/>
            </w:tcBorders>
            <w:shd w:val="clear" w:color="auto" w:fill="auto"/>
            <w:noWrap/>
            <w:vAlign w:val="bottom"/>
            <w:hideMark/>
          </w:tcPr>
          <w:p w14:paraId="74122FAA" w14:textId="77777777" w:rsidR="00905713" w:rsidRPr="00905713" w:rsidRDefault="00905713" w:rsidP="00905713">
            <w:pPr>
              <w:spacing w:line="240" w:lineRule="auto"/>
              <w:jc w:val="right"/>
              <w:rPr>
                <w:rFonts w:cs="Times New Roman"/>
                <w:color w:val="000000"/>
              </w:rPr>
            </w:pPr>
            <w:r w:rsidRPr="00905713">
              <w:rPr>
                <w:rFonts w:cs="Times New Roman"/>
                <w:color w:val="000000"/>
              </w:rPr>
              <w:t>0.10</w:t>
            </w:r>
          </w:p>
        </w:tc>
        <w:tc>
          <w:tcPr>
            <w:tcW w:w="1120" w:type="dxa"/>
            <w:tcBorders>
              <w:top w:val="nil"/>
              <w:left w:val="nil"/>
              <w:bottom w:val="nil"/>
              <w:right w:val="nil"/>
            </w:tcBorders>
            <w:shd w:val="clear" w:color="auto" w:fill="auto"/>
            <w:noWrap/>
            <w:vAlign w:val="bottom"/>
            <w:hideMark/>
          </w:tcPr>
          <w:p w14:paraId="78BB725C" w14:textId="77777777" w:rsidR="00905713" w:rsidRPr="00905713" w:rsidRDefault="00905713" w:rsidP="00905713">
            <w:pPr>
              <w:spacing w:line="240" w:lineRule="auto"/>
              <w:rPr>
                <w:rFonts w:cs="Times New Roman"/>
                <w:color w:val="000000"/>
              </w:rPr>
            </w:pPr>
            <w:r w:rsidRPr="00905713">
              <w:rPr>
                <w:rFonts w:cs="Times New Roman"/>
                <w:color w:val="000000"/>
              </w:rPr>
              <w:t>***</w:t>
            </w:r>
          </w:p>
        </w:tc>
        <w:tc>
          <w:tcPr>
            <w:tcW w:w="1546" w:type="dxa"/>
            <w:tcBorders>
              <w:top w:val="nil"/>
              <w:left w:val="nil"/>
              <w:bottom w:val="nil"/>
              <w:right w:val="nil"/>
            </w:tcBorders>
            <w:shd w:val="clear" w:color="auto" w:fill="auto"/>
            <w:noWrap/>
            <w:vAlign w:val="bottom"/>
            <w:hideMark/>
          </w:tcPr>
          <w:p w14:paraId="4A1F18F3" w14:textId="77777777" w:rsidR="00905713" w:rsidRPr="00905713" w:rsidRDefault="00905713" w:rsidP="00905713">
            <w:pPr>
              <w:spacing w:line="240" w:lineRule="auto"/>
              <w:jc w:val="right"/>
              <w:rPr>
                <w:rFonts w:cs="Times New Roman"/>
                <w:color w:val="000000"/>
              </w:rPr>
            </w:pPr>
            <w:r w:rsidRPr="00905713">
              <w:rPr>
                <w:rFonts w:cs="Times New Roman"/>
                <w:color w:val="000000"/>
              </w:rPr>
              <w:t>0.00</w:t>
            </w:r>
          </w:p>
        </w:tc>
        <w:tc>
          <w:tcPr>
            <w:tcW w:w="1334" w:type="dxa"/>
            <w:tcBorders>
              <w:top w:val="nil"/>
              <w:left w:val="nil"/>
              <w:bottom w:val="nil"/>
              <w:right w:val="nil"/>
            </w:tcBorders>
            <w:shd w:val="clear" w:color="auto" w:fill="auto"/>
            <w:noWrap/>
            <w:vAlign w:val="bottom"/>
            <w:hideMark/>
          </w:tcPr>
          <w:p w14:paraId="260D00EA" w14:textId="77777777" w:rsidR="00905713" w:rsidRPr="00905713" w:rsidRDefault="00905713" w:rsidP="00905713">
            <w:pPr>
              <w:spacing w:line="240" w:lineRule="auto"/>
              <w:rPr>
                <w:rFonts w:cs="Times New Roman"/>
                <w:color w:val="000000"/>
              </w:rPr>
            </w:pPr>
          </w:p>
        </w:tc>
      </w:tr>
      <w:tr w:rsidR="00905713" w:rsidRPr="00905713" w14:paraId="1BBF18B0" w14:textId="77777777" w:rsidTr="00905713">
        <w:trPr>
          <w:trHeight w:val="375"/>
        </w:trPr>
        <w:tc>
          <w:tcPr>
            <w:tcW w:w="3052" w:type="dxa"/>
            <w:tcBorders>
              <w:top w:val="nil"/>
              <w:left w:val="nil"/>
              <w:bottom w:val="single" w:sz="4" w:space="0" w:color="auto"/>
              <w:right w:val="nil"/>
            </w:tcBorders>
            <w:shd w:val="clear" w:color="auto" w:fill="auto"/>
            <w:noWrap/>
            <w:vAlign w:val="bottom"/>
            <w:hideMark/>
          </w:tcPr>
          <w:p w14:paraId="0E251F6F" w14:textId="77777777" w:rsidR="00905713" w:rsidRPr="00905713" w:rsidRDefault="00905713" w:rsidP="00905713">
            <w:pPr>
              <w:spacing w:line="240" w:lineRule="auto"/>
              <w:rPr>
                <w:rFonts w:cs="Times New Roman"/>
                <w:b/>
                <w:bCs/>
              </w:rPr>
            </w:pPr>
            <w:r w:rsidRPr="00905713">
              <w:rPr>
                <w:rFonts w:cs="Times New Roman"/>
                <w:b/>
                <w:bCs/>
              </w:rPr>
              <w:t>Biomass Yield (g plant</w:t>
            </w:r>
            <w:r w:rsidRPr="00905713">
              <w:rPr>
                <w:rFonts w:cs="Times New Roman"/>
                <w:b/>
                <w:bCs/>
                <w:vertAlign w:val="superscript"/>
              </w:rPr>
              <w:t>-1</w:t>
            </w:r>
            <w:r w:rsidRPr="00905713">
              <w:rPr>
                <w:rFonts w:cs="Times New Roman"/>
                <w:b/>
                <w:bCs/>
              </w:rPr>
              <w:t>)</w:t>
            </w:r>
          </w:p>
        </w:tc>
        <w:tc>
          <w:tcPr>
            <w:tcW w:w="1333" w:type="dxa"/>
            <w:tcBorders>
              <w:top w:val="nil"/>
              <w:left w:val="nil"/>
              <w:bottom w:val="nil"/>
              <w:right w:val="nil"/>
            </w:tcBorders>
            <w:shd w:val="clear" w:color="auto" w:fill="auto"/>
            <w:noWrap/>
            <w:vAlign w:val="bottom"/>
            <w:hideMark/>
          </w:tcPr>
          <w:p w14:paraId="4133A52A" w14:textId="77777777" w:rsidR="00905713" w:rsidRPr="00905713" w:rsidRDefault="00905713" w:rsidP="00905713">
            <w:pPr>
              <w:spacing w:line="240" w:lineRule="auto"/>
              <w:jc w:val="right"/>
              <w:rPr>
                <w:rFonts w:cs="Times New Roman"/>
                <w:color w:val="000000"/>
              </w:rPr>
            </w:pPr>
            <w:r w:rsidRPr="00905713">
              <w:rPr>
                <w:rFonts w:cs="Times New Roman"/>
                <w:color w:val="000000"/>
              </w:rPr>
              <w:t>-0.02</w:t>
            </w:r>
          </w:p>
        </w:tc>
        <w:tc>
          <w:tcPr>
            <w:tcW w:w="1120" w:type="dxa"/>
            <w:tcBorders>
              <w:top w:val="nil"/>
              <w:left w:val="nil"/>
              <w:bottom w:val="single" w:sz="4" w:space="0" w:color="auto"/>
              <w:right w:val="nil"/>
            </w:tcBorders>
            <w:shd w:val="clear" w:color="auto" w:fill="auto"/>
            <w:noWrap/>
            <w:vAlign w:val="bottom"/>
            <w:hideMark/>
          </w:tcPr>
          <w:p w14:paraId="75540CCE" w14:textId="77777777" w:rsidR="00905713" w:rsidRPr="00905713" w:rsidRDefault="00905713" w:rsidP="00905713">
            <w:pPr>
              <w:spacing w:line="240" w:lineRule="auto"/>
              <w:rPr>
                <w:rFonts w:cs="Times New Roman"/>
                <w:color w:val="000000"/>
              </w:rPr>
            </w:pPr>
            <w:r w:rsidRPr="00905713">
              <w:rPr>
                <w:rFonts w:cs="Times New Roman"/>
                <w:color w:val="000000"/>
              </w:rPr>
              <w:t> </w:t>
            </w:r>
          </w:p>
        </w:tc>
        <w:tc>
          <w:tcPr>
            <w:tcW w:w="1546" w:type="dxa"/>
            <w:tcBorders>
              <w:top w:val="nil"/>
              <w:left w:val="nil"/>
              <w:bottom w:val="nil"/>
              <w:right w:val="nil"/>
            </w:tcBorders>
            <w:shd w:val="clear" w:color="auto" w:fill="auto"/>
            <w:noWrap/>
            <w:vAlign w:val="bottom"/>
            <w:hideMark/>
          </w:tcPr>
          <w:p w14:paraId="347C1ECB" w14:textId="77777777" w:rsidR="00905713" w:rsidRPr="00905713" w:rsidRDefault="00905713" w:rsidP="00905713">
            <w:pPr>
              <w:spacing w:line="240" w:lineRule="auto"/>
              <w:jc w:val="right"/>
              <w:rPr>
                <w:rFonts w:cs="Times New Roman"/>
                <w:color w:val="000000"/>
              </w:rPr>
            </w:pPr>
            <w:r w:rsidRPr="00905713">
              <w:rPr>
                <w:rFonts w:cs="Times New Roman"/>
                <w:color w:val="000000"/>
              </w:rPr>
              <w:t>0.18</w:t>
            </w:r>
          </w:p>
        </w:tc>
        <w:tc>
          <w:tcPr>
            <w:tcW w:w="1334" w:type="dxa"/>
            <w:tcBorders>
              <w:top w:val="nil"/>
              <w:left w:val="nil"/>
              <w:bottom w:val="single" w:sz="4" w:space="0" w:color="auto"/>
              <w:right w:val="nil"/>
            </w:tcBorders>
            <w:shd w:val="clear" w:color="auto" w:fill="auto"/>
            <w:noWrap/>
            <w:vAlign w:val="bottom"/>
            <w:hideMark/>
          </w:tcPr>
          <w:p w14:paraId="18B61137" w14:textId="77777777" w:rsidR="00905713" w:rsidRPr="00905713" w:rsidRDefault="00905713" w:rsidP="00905713">
            <w:pPr>
              <w:spacing w:line="240" w:lineRule="auto"/>
              <w:rPr>
                <w:rFonts w:cs="Times New Roman"/>
                <w:color w:val="000000"/>
              </w:rPr>
            </w:pPr>
            <w:r w:rsidRPr="00905713">
              <w:rPr>
                <w:rFonts w:cs="Times New Roman"/>
                <w:color w:val="000000"/>
              </w:rPr>
              <w:t>***</w:t>
            </w:r>
          </w:p>
        </w:tc>
      </w:tr>
      <w:tr w:rsidR="00905713" w:rsidRPr="00905713" w14:paraId="33C745C7" w14:textId="77777777" w:rsidTr="00905713">
        <w:trPr>
          <w:trHeight w:val="315"/>
        </w:trPr>
        <w:tc>
          <w:tcPr>
            <w:tcW w:w="3052" w:type="dxa"/>
            <w:tcBorders>
              <w:top w:val="nil"/>
              <w:left w:val="nil"/>
              <w:bottom w:val="single" w:sz="4" w:space="0" w:color="auto"/>
              <w:right w:val="nil"/>
            </w:tcBorders>
            <w:shd w:val="clear" w:color="auto" w:fill="auto"/>
            <w:noWrap/>
            <w:vAlign w:val="bottom"/>
            <w:hideMark/>
          </w:tcPr>
          <w:p w14:paraId="0D22EA23" w14:textId="77777777" w:rsidR="00905713" w:rsidRPr="00905713" w:rsidRDefault="00B8588D" w:rsidP="00905713">
            <w:pPr>
              <w:spacing w:line="240" w:lineRule="auto"/>
              <w:jc w:val="center"/>
              <w:rPr>
                <w:rFonts w:cs="Times New Roman"/>
                <w:b/>
                <w:bCs/>
                <w:color w:val="000000"/>
              </w:rPr>
            </w:pPr>
            <w:r>
              <w:rPr>
                <w:rFonts w:cs="Times New Roman"/>
                <w:b/>
                <w:bCs/>
                <w:color w:val="000000"/>
              </w:rPr>
              <w:t>First Year (</w:t>
            </w:r>
            <w:r w:rsidR="00905713" w:rsidRPr="00905713">
              <w:rPr>
                <w:rFonts w:cs="Times New Roman"/>
                <w:b/>
                <w:bCs/>
                <w:color w:val="000000"/>
              </w:rPr>
              <w:t>2012</w:t>
            </w:r>
            <w:r>
              <w:rPr>
                <w:rFonts w:cs="Times New Roman"/>
                <w:b/>
                <w:bCs/>
                <w:color w:val="000000"/>
              </w:rPr>
              <w:t>)</w:t>
            </w:r>
          </w:p>
        </w:tc>
        <w:tc>
          <w:tcPr>
            <w:tcW w:w="1333" w:type="dxa"/>
            <w:tcBorders>
              <w:top w:val="single" w:sz="4" w:space="0" w:color="auto"/>
              <w:left w:val="nil"/>
              <w:bottom w:val="single" w:sz="4" w:space="0" w:color="auto"/>
              <w:right w:val="nil"/>
            </w:tcBorders>
            <w:shd w:val="clear" w:color="auto" w:fill="auto"/>
            <w:noWrap/>
            <w:vAlign w:val="bottom"/>
            <w:hideMark/>
          </w:tcPr>
          <w:p w14:paraId="0F7CFE29" w14:textId="77777777" w:rsidR="00905713" w:rsidRPr="00905713" w:rsidRDefault="00905713" w:rsidP="00905713">
            <w:pPr>
              <w:spacing w:line="240" w:lineRule="auto"/>
              <w:rPr>
                <w:rFonts w:cs="Times New Roman"/>
                <w:color w:val="000000"/>
              </w:rPr>
            </w:pPr>
            <w:r w:rsidRPr="00905713">
              <w:rPr>
                <w:rFonts w:cs="Times New Roman"/>
                <w:color w:val="000000"/>
              </w:rPr>
              <w:t> </w:t>
            </w:r>
          </w:p>
        </w:tc>
        <w:tc>
          <w:tcPr>
            <w:tcW w:w="1120" w:type="dxa"/>
            <w:tcBorders>
              <w:top w:val="nil"/>
              <w:left w:val="nil"/>
              <w:bottom w:val="single" w:sz="4" w:space="0" w:color="auto"/>
              <w:right w:val="nil"/>
            </w:tcBorders>
            <w:shd w:val="clear" w:color="auto" w:fill="auto"/>
            <w:noWrap/>
            <w:vAlign w:val="bottom"/>
            <w:hideMark/>
          </w:tcPr>
          <w:p w14:paraId="492F1C46" w14:textId="77777777" w:rsidR="00905713" w:rsidRPr="00905713" w:rsidRDefault="00905713" w:rsidP="00905713">
            <w:pPr>
              <w:spacing w:line="240" w:lineRule="auto"/>
              <w:rPr>
                <w:rFonts w:cs="Times New Roman"/>
                <w:color w:val="000000"/>
              </w:rPr>
            </w:pPr>
            <w:r w:rsidRPr="00905713">
              <w:rPr>
                <w:rFonts w:cs="Times New Roman"/>
                <w:color w:val="000000"/>
              </w:rPr>
              <w:t> </w:t>
            </w:r>
          </w:p>
        </w:tc>
        <w:tc>
          <w:tcPr>
            <w:tcW w:w="1546" w:type="dxa"/>
            <w:tcBorders>
              <w:top w:val="single" w:sz="4" w:space="0" w:color="auto"/>
              <w:left w:val="nil"/>
              <w:bottom w:val="single" w:sz="4" w:space="0" w:color="auto"/>
              <w:right w:val="nil"/>
            </w:tcBorders>
            <w:shd w:val="clear" w:color="auto" w:fill="auto"/>
            <w:noWrap/>
            <w:vAlign w:val="bottom"/>
            <w:hideMark/>
          </w:tcPr>
          <w:p w14:paraId="2F5C77CE" w14:textId="77777777" w:rsidR="00905713" w:rsidRPr="00905713" w:rsidRDefault="00905713" w:rsidP="00905713">
            <w:pPr>
              <w:spacing w:line="240" w:lineRule="auto"/>
              <w:rPr>
                <w:rFonts w:cs="Times New Roman"/>
                <w:color w:val="000000"/>
              </w:rPr>
            </w:pPr>
            <w:r w:rsidRPr="00905713">
              <w:rPr>
                <w:rFonts w:cs="Times New Roman"/>
                <w:color w:val="000000"/>
              </w:rPr>
              <w:t> </w:t>
            </w:r>
          </w:p>
        </w:tc>
        <w:tc>
          <w:tcPr>
            <w:tcW w:w="1334" w:type="dxa"/>
            <w:tcBorders>
              <w:top w:val="nil"/>
              <w:left w:val="nil"/>
              <w:bottom w:val="single" w:sz="4" w:space="0" w:color="auto"/>
              <w:right w:val="nil"/>
            </w:tcBorders>
            <w:shd w:val="clear" w:color="auto" w:fill="auto"/>
            <w:noWrap/>
            <w:vAlign w:val="bottom"/>
            <w:hideMark/>
          </w:tcPr>
          <w:p w14:paraId="096CF387" w14:textId="77777777" w:rsidR="00905713" w:rsidRPr="00905713" w:rsidRDefault="00905713" w:rsidP="00905713">
            <w:pPr>
              <w:spacing w:line="240" w:lineRule="auto"/>
              <w:rPr>
                <w:rFonts w:cs="Times New Roman"/>
                <w:color w:val="000000"/>
              </w:rPr>
            </w:pPr>
            <w:r w:rsidRPr="00905713">
              <w:rPr>
                <w:rFonts w:cs="Times New Roman"/>
                <w:color w:val="000000"/>
              </w:rPr>
              <w:t> </w:t>
            </w:r>
          </w:p>
        </w:tc>
      </w:tr>
      <w:tr w:rsidR="00905713" w:rsidRPr="00905713" w14:paraId="3B0BD428" w14:textId="77777777" w:rsidTr="00905713">
        <w:trPr>
          <w:trHeight w:val="375"/>
        </w:trPr>
        <w:tc>
          <w:tcPr>
            <w:tcW w:w="3052" w:type="dxa"/>
            <w:tcBorders>
              <w:top w:val="nil"/>
              <w:left w:val="nil"/>
              <w:bottom w:val="nil"/>
              <w:right w:val="nil"/>
            </w:tcBorders>
            <w:shd w:val="clear" w:color="auto" w:fill="auto"/>
            <w:noWrap/>
            <w:vAlign w:val="bottom"/>
            <w:hideMark/>
          </w:tcPr>
          <w:p w14:paraId="7ECCC4EC" w14:textId="73C07FA0" w:rsidR="00905713" w:rsidRPr="00905713" w:rsidRDefault="00B8390A" w:rsidP="00905713">
            <w:pPr>
              <w:spacing w:line="240" w:lineRule="auto"/>
              <w:rPr>
                <w:rFonts w:cs="Times New Roman"/>
                <w:b/>
                <w:bCs/>
              </w:rPr>
            </w:pPr>
            <w:r>
              <w:rPr>
                <w:rFonts w:cs="Times New Roman"/>
                <w:b/>
                <w:bCs/>
              </w:rPr>
              <w:t>Rust S</w:t>
            </w:r>
            <w:r w:rsidR="009C1A48">
              <w:rPr>
                <w:rFonts w:cs="Times New Roman"/>
                <w:b/>
                <w:bCs/>
              </w:rPr>
              <w:t>everity</w:t>
            </w:r>
            <w:r w:rsidR="00905713" w:rsidRPr="00905713">
              <w:rPr>
                <w:rFonts w:cs="Times New Roman"/>
                <w:b/>
                <w:bCs/>
              </w:rPr>
              <w:t xml:space="preserve"> Oct. 2012</w:t>
            </w:r>
            <w:r w:rsidR="00905713" w:rsidRPr="00905713">
              <w:rPr>
                <w:rFonts w:cs="Times New Roman"/>
                <w:b/>
                <w:bCs/>
                <w:vertAlign w:val="superscript"/>
              </w:rPr>
              <w:t>§</w:t>
            </w:r>
          </w:p>
        </w:tc>
        <w:tc>
          <w:tcPr>
            <w:tcW w:w="1333" w:type="dxa"/>
            <w:tcBorders>
              <w:top w:val="nil"/>
              <w:left w:val="nil"/>
              <w:bottom w:val="nil"/>
              <w:right w:val="nil"/>
            </w:tcBorders>
            <w:shd w:val="clear" w:color="auto" w:fill="auto"/>
            <w:noWrap/>
            <w:vAlign w:val="bottom"/>
            <w:hideMark/>
          </w:tcPr>
          <w:p w14:paraId="10AB8594" w14:textId="77777777" w:rsidR="00905713" w:rsidRPr="00905713" w:rsidRDefault="00905713" w:rsidP="00905713">
            <w:pPr>
              <w:spacing w:line="240" w:lineRule="auto"/>
              <w:jc w:val="right"/>
              <w:rPr>
                <w:rFonts w:cs="Times New Roman"/>
                <w:color w:val="000000"/>
              </w:rPr>
            </w:pPr>
            <w:r w:rsidRPr="00905713">
              <w:rPr>
                <w:rFonts w:cs="Times New Roman"/>
                <w:color w:val="000000"/>
              </w:rPr>
              <w:t>-0.25</w:t>
            </w:r>
          </w:p>
        </w:tc>
        <w:tc>
          <w:tcPr>
            <w:tcW w:w="1120" w:type="dxa"/>
            <w:tcBorders>
              <w:top w:val="nil"/>
              <w:left w:val="nil"/>
              <w:bottom w:val="nil"/>
              <w:right w:val="nil"/>
            </w:tcBorders>
            <w:shd w:val="clear" w:color="auto" w:fill="auto"/>
            <w:noWrap/>
            <w:vAlign w:val="bottom"/>
            <w:hideMark/>
          </w:tcPr>
          <w:p w14:paraId="1F302B5A" w14:textId="77777777" w:rsidR="00905713" w:rsidRPr="00905713" w:rsidRDefault="00905713" w:rsidP="00905713">
            <w:pPr>
              <w:spacing w:line="240" w:lineRule="auto"/>
              <w:rPr>
                <w:rFonts w:cs="Times New Roman"/>
                <w:color w:val="000000"/>
              </w:rPr>
            </w:pPr>
            <w:r w:rsidRPr="00905713">
              <w:rPr>
                <w:rFonts w:cs="Times New Roman"/>
                <w:color w:val="000000"/>
              </w:rPr>
              <w:t>***</w:t>
            </w:r>
          </w:p>
        </w:tc>
        <w:tc>
          <w:tcPr>
            <w:tcW w:w="1546" w:type="dxa"/>
            <w:tcBorders>
              <w:top w:val="nil"/>
              <w:left w:val="nil"/>
              <w:bottom w:val="nil"/>
              <w:right w:val="nil"/>
            </w:tcBorders>
            <w:shd w:val="clear" w:color="auto" w:fill="auto"/>
            <w:noWrap/>
            <w:vAlign w:val="bottom"/>
            <w:hideMark/>
          </w:tcPr>
          <w:p w14:paraId="15FBD219" w14:textId="77777777" w:rsidR="00905713" w:rsidRPr="00905713" w:rsidRDefault="00905713" w:rsidP="00905713">
            <w:pPr>
              <w:spacing w:line="240" w:lineRule="auto"/>
              <w:jc w:val="right"/>
              <w:rPr>
                <w:rFonts w:cs="Times New Roman"/>
                <w:color w:val="000000"/>
              </w:rPr>
            </w:pPr>
            <w:r w:rsidRPr="00905713">
              <w:rPr>
                <w:rFonts w:cs="Times New Roman"/>
                <w:color w:val="000000"/>
              </w:rPr>
              <w:t>0.03</w:t>
            </w:r>
          </w:p>
        </w:tc>
        <w:tc>
          <w:tcPr>
            <w:tcW w:w="1334" w:type="dxa"/>
            <w:tcBorders>
              <w:top w:val="nil"/>
              <w:left w:val="nil"/>
              <w:bottom w:val="nil"/>
              <w:right w:val="nil"/>
            </w:tcBorders>
            <w:shd w:val="clear" w:color="auto" w:fill="auto"/>
            <w:noWrap/>
            <w:vAlign w:val="bottom"/>
            <w:hideMark/>
          </w:tcPr>
          <w:p w14:paraId="78B7B79C" w14:textId="77777777" w:rsidR="00905713" w:rsidRPr="00905713" w:rsidRDefault="00905713" w:rsidP="00905713">
            <w:pPr>
              <w:spacing w:line="240" w:lineRule="auto"/>
              <w:rPr>
                <w:rFonts w:cs="Times New Roman"/>
                <w:color w:val="000000"/>
              </w:rPr>
            </w:pPr>
          </w:p>
        </w:tc>
      </w:tr>
      <w:tr w:rsidR="00905713" w:rsidRPr="00905713" w14:paraId="4A616D66" w14:textId="77777777" w:rsidTr="00905713">
        <w:trPr>
          <w:trHeight w:val="315"/>
        </w:trPr>
        <w:tc>
          <w:tcPr>
            <w:tcW w:w="3052" w:type="dxa"/>
            <w:tcBorders>
              <w:top w:val="nil"/>
              <w:left w:val="nil"/>
              <w:bottom w:val="nil"/>
              <w:right w:val="nil"/>
            </w:tcBorders>
            <w:shd w:val="clear" w:color="auto" w:fill="auto"/>
            <w:noWrap/>
            <w:vAlign w:val="bottom"/>
            <w:hideMark/>
          </w:tcPr>
          <w:p w14:paraId="4FD6DF5E" w14:textId="77777777" w:rsidR="00905713" w:rsidRPr="00905713" w:rsidRDefault="00905713" w:rsidP="00905713">
            <w:pPr>
              <w:spacing w:line="240" w:lineRule="auto"/>
              <w:rPr>
                <w:rFonts w:cs="Times New Roman"/>
                <w:b/>
                <w:bCs/>
              </w:rPr>
            </w:pPr>
            <w:r w:rsidRPr="00905713">
              <w:rPr>
                <w:rFonts w:cs="Times New Roman"/>
                <w:b/>
                <w:bCs/>
              </w:rPr>
              <w:t>Fall Height (cm)</w:t>
            </w:r>
          </w:p>
        </w:tc>
        <w:tc>
          <w:tcPr>
            <w:tcW w:w="1333" w:type="dxa"/>
            <w:tcBorders>
              <w:top w:val="nil"/>
              <w:left w:val="nil"/>
              <w:bottom w:val="nil"/>
              <w:right w:val="nil"/>
            </w:tcBorders>
            <w:shd w:val="clear" w:color="000000" w:fill="BFBFBF"/>
            <w:noWrap/>
            <w:vAlign w:val="bottom"/>
            <w:hideMark/>
          </w:tcPr>
          <w:p w14:paraId="0143F504" w14:textId="77777777" w:rsidR="00905713" w:rsidRPr="00905713" w:rsidRDefault="00905713" w:rsidP="00905713">
            <w:pPr>
              <w:spacing w:line="240" w:lineRule="auto"/>
              <w:jc w:val="right"/>
              <w:rPr>
                <w:rFonts w:cs="Times New Roman"/>
                <w:color w:val="000000"/>
              </w:rPr>
            </w:pPr>
            <w:r w:rsidRPr="00905713">
              <w:rPr>
                <w:rFonts w:cs="Times New Roman"/>
                <w:color w:val="000000"/>
              </w:rPr>
              <w:t>0.59</w:t>
            </w:r>
          </w:p>
        </w:tc>
        <w:tc>
          <w:tcPr>
            <w:tcW w:w="1120" w:type="dxa"/>
            <w:tcBorders>
              <w:top w:val="nil"/>
              <w:left w:val="nil"/>
              <w:bottom w:val="nil"/>
              <w:right w:val="nil"/>
            </w:tcBorders>
            <w:shd w:val="clear" w:color="000000" w:fill="BFBFBF"/>
            <w:noWrap/>
            <w:vAlign w:val="bottom"/>
            <w:hideMark/>
          </w:tcPr>
          <w:p w14:paraId="271B4218" w14:textId="77777777" w:rsidR="00905713" w:rsidRPr="00905713" w:rsidRDefault="00905713" w:rsidP="00905713">
            <w:pPr>
              <w:spacing w:line="240" w:lineRule="auto"/>
              <w:rPr>
                <w:rFonts w:cs="Times New Roman"/>
                <w:color w:val="000000"/>
              </w:rPr>
            </w:pPr>
            <w:r w:rsidRPr="00905713">
              <w:rPr>
                <w:rFonts w:cs="Times New Roman"/>
                <w:color w:val="000000"/>
              </w:rPr>
              <w:t>***</w:t>
            </w:r>
          </w:p>
        </w:tc>
        <w:tc>
          <w:tcPr>
            <w:tcW w:w="1546" w:type="dxa"/>
            <w:tcBorders>
              <w:top w:val="nil"/>
              <w:left w:val="nil"/>
              <w:bottom w:val="nil"/>
              <w:right w:val="nil"/>
            </w:tcBorders>
            <w:shd w:val="clear" w:color="auto" w:fill="auto"/>
            <w:noWrap/>
            <w:vAlign w:val="bottom"/>
            <w:hideMark/>
          </w:tcPr>
          <w:p w14:paraId="5BC34991" w14:textId="77777777" w:rsidR="00905713" w:rsidRPr="00905713" w:rsidRDefault="00905713" w:rsidP="00905713">
            <w:pPr>
              <w:spacing w:line="240" w:lineRule="auto"/>
              <w:jc w:val="right"/>
              <w:rPr>
                <w:rFonts w:cs="Times New Roman"/>
                <w:color w:val="000000"/>
              </w:rPr>
            </w:pPr>
            <w:r w:rsidRPr="00905713">
              <w:rPr>
                <w:rFonts w:cs="Times New Roman"/>
                <w:color w:val="000000"/>
              </w:rPr>
              <w:t>-0.28</w:t>
            </w:r>
          </w:p>
        </w:tc>
        <w:tc>
          <w:tcPr>
            <w:tcW w:w="1334" w:type="dxa"/>
            <w:tcBorders>
              <w:top w:val="nil"/>
              <w:left w:val="nil"/>
              <w:bottom w:val="nil"/>
              <w:right w:val="nil"/>
            </w:tcBorders>
            <w:shd w:val="clear" w:color="auto" w:fill="auto"/>
            <w:noWrap/>
            <w:vAlign w:val="bottom"/>
            <w:hideMark/>
          </w:tcPr>
          <w:p w14:paraId="6DEA2384" w14:textId="77777777" w:rsidR="00905713" w:rsidRPr="00905713" w:rsidRDefault="00905713" w:rsidP="00905713">
            <w:pPr>
              <w:spacing w:line="240" w:lineRule="auto"/>
              <w:rPr>
                <w:rFonts w:cs="Times New Roman"/>
                <w:color w:val="000000"/>
              </w:rPr>
            </w:pPr>
            <w:r w:rsidRPr="00905713">
              <w:rPr>
                <w:rFonts w:cs="Times New Roman"/>
                <w:color w:val="000000"/>
              </w:rPr>
              <w:t>***</w:t>
            </w:r>
          </w:p>
        </w:tc>
      </w:tr>
      <w:tr w:rsidR="00905713" w:rsidRPr="00905713" w14:paraId="3507945C" w14:textId="77777777" w:rsidTr="00905713">
        <w:trPr>
          <w:trHeight w:val="315"/>
        </w:trPr>
        <w:tc>
          <w:tcPr>
            <w:tcW w:w="3052" w:type="dxa"/>
            <w:tcBorders>
              <w:top w:val="nil"/>
              <w:left w:val="nil"/>
              <w:bottom w:val="nil"/>
              <w:right w:val="nil"/>
            </w:tcBorders>
            <w:shd w:val="clear" w:color="auto" w:fill="auto"/>
            <w:noWrap/>
            <w:vAlign w:val="bottom"/>
            <w:hideMark/>
          </w:tcPr>
          <w:p w14:paraId="16AEB202" w14:textId="77777777" w:rsidR="00905713" w:rsidRPr="00905713" w:rsidRDefault="00905713" w:rsidP="00905713">
            <w:pPr>
              <w:spacing w:line="240" w:lineRule="auto"/>
              <w:rPr>
                <w:rFonts w:cs="Times New Roman"/>
                <w:b/>
                <w:bCs/>
              </w:rPr>
            </w:pPr>
            <w:r w:rsidRPr="00905713">
              <w:rPr>
                <w:rFonts w:cs="Times New Roman"/>
                <w:b/>
                <w:bCs/>
              </w:rPr>
              <w:t>Biomass Yield (g plant</w:t>
            </w:r>
            <w:r w:rsidRPr="00B8390A">
              <w:rPr>
                <w:rFonts w:cs="Times New Roman"/>
                <w:b/>
                <w:bCs/>
                <w:vertAlign w:val="superscript"/>
              </w:rPr>
              <w:t>-1</w:t>
            </w:r>
            <w:r w:rsidRPr="00905713">
              <w:rPr>
                <w:rFonts w:cs="Times New Roman"/>
                <w:b/>
                <w:bCs/>
              </w:rPr>
              <w:t>)</w:t>
            </w:r>
          </w:p>
        </w:tc>
        <w:tc>
          <w:tcPr>
            <w:tcW w:w="1333" w:type="dxa"/>
            <w:tcBorders>
              <w:top w:val="nil"/>
              <w:left w:val="nil"/>
              <w:bottom w:val="nil"/>
              <w:right w:val="nil"/>
            </w:tcBorders>
            <w:shd w:val="clear" w:color="000000" w:fill="BFBFBF"/>
            <w:noWrap/>
            <w:vAlign w:val="bottom"/>
            <w:hideMark/>
          </w:tcPr>
          <w:p w14:paraId="46EFA2EF" w14:textId="77777777" w:rsidR="00905713" w:rsidRPr="00905713" w:rsidRDefault="00905713" w:rsidP="00905713">
            <w:pPr>
              <w:spacing w:line="240" w:lineRule="auto"/>
              <w:jc w:val="right"/>
              <w:rPr>
                <w:rFonts w:cs="Times New Roman"/>
                <w:color w:val="000000"/>
              </w:rPr>
            </w:pPr>
            <w:r w:rsidRPr="00905713">
              <w:rPr>
                <w:rFonts w:cs="Times New Roman"/>
                <w:color w:val="000000"/>
              </w:rPr>
              <w:t>0.67</w:t>
            </w:r>
          </w:p>
        </w:tc>
        <w:tc>
          <w:tcPr>
            <w:tcW w:w="1120" w:type="dxa"/>
            <w:tcBorders>
              <w:top w:val="nil"/>
              <w:left w:val="nil"/>
              <w:bottom w:val="nil"/>
              <w:right w:val="nil"/>
            </w:tcBorders>
            <w:shd w:val="clear" w:color="000000" w:fill="BFBFBF"/>
            <w:noWrap/>
            <w:vAlign w:val="bottom"/>
            <w:hideMark/>
          </w:tcPr>
          <w:p w14:paraId="724A8B1B" w14:textId="77777777" w:rsidR="00905713" w:rsidRPr="00905713" w:rsidRDefault="00905713" w:rsidP="00905713">
            <w:pPr>
              <w:spacing w:line="240" w:lineRule="auto"/>
              <w:rPr>
                <w:rFonts w:cs="Times New Roman"/>
                <w:color w:val="000000"/>
              </w:rPr>
            </w:pPr>
            <w:r w:rsidRPr="00905713">
              <w:rPr>
                <w:rFonts w:cs="Times New Roman"/>
                <w:color w:val="000000"/>
              </w:rPr>
              <w:t>***</w:t>
            </w:r>
          </w:p>
        </w:tc>
        <w:tc>
          <w:tcPr>
            <w:tcW w:w="1546" w:type="dxa"/>
            <w:tcBorders>
              <w:top w:val="nil"/>
              <w:left w:val="nil"/>
              <w:bottom w:val="nil"/>
              <w:right w:val="nil"/>
            </w:tcBorders>
            <w:shd w:val="clear" w:color="auto" w:fill="auto"/>
            <w:noWrap/>
            <w:vAlign w:val="bottom"/>
            <w:hideMark/>
          </w:tcPr>
          <w:p w14:paraId="30C7744F" w14:textId="77777777" w:rsidR="00905713" w:rsidRPr="00905713" w:rsidRDefault="00905713" w:rsidP="00905713">
            <w:pPr>
              <w:spacing w:line="240" w:lineRule="auto"/>
              <w:jc w:val="right"/>
              <w:rPr>
                <w:rFonts w:cs="Times New Roman"/>
                <w:color w:val="000000"/>
              </w:rPr>
            </w:pPr>
            <w:r w:rsidRPr="00905713">
              <w:rPr>
                <w:rFonts w:cs="Times New Roman"/>
                <w:color w:val="000000"/>
              </w:rPr>
              <w:t>-0.20</w:t>
            </w:r>
          </w:p>
        </w:tc>
        <w:tc>
          <w:tcPr>
            <w:tcW w:w="1334" w:type="dxa"/>
            <w:tcBorders>
              <w:top w:val="nil"/>
              <w:left w:val="nil"/>
              <w:bottom w:val="nil"/>
              <w:right w:val="nil"/>
            </w:tcBorders>
            <w:shd w:val="clear" w:color="auto" w:fill="auto"/>
            <w:noWrap/>
            <w:vAlign w:val="bottom"/>
            <w:hideMark/>
          </w:tcPr>
          <w:p w14:paraId="6EC5CAF2" w14:textId="77777777" w:rsidR="00905713" w:rsidRPr="00905713" w:rsidRDefault="00905713" w:rsidP="00905713">
            <w:pPr>
              <w:spacing w:line="240" w:lineRule="auto"/>
              <w:rPr>
                <w:rFonts w:cs="Times New Roman"/>
                <w:color w:val="000000"/>
              </w:rPr>
            </w:pPr>
            <w:r w:rsidRPr="00905713">
              <w:rPr>
                <w:rFonts w:cs="Times New Roman"/>
                <w:color w:val="000000"/>
              </w:rPr>
              <w:t>***</w:t>
            </w:r>
          </w:p>
        </w:tc>
      </w:tr>
      <w:tr w:rsidR="00905713" w:rsidRPr="00905713" w14:paraId="6B55A287" w14:textId="77777777" w:rsidTr="00905713">
        <w:trPr>
          <w:trHeight w:val="330"/>
        </w:trPr>
        <w:tc>
          <w:tcPr>
            <w:tcW w:w="3052" w:type="dxa"/>
            <w:tcBorders>
              <w:top w:val="nil"/>
              <w:left w:val="nil"/>
              <w:bottom w:val="single" w:sz="8" w:space="0" w:color="auto"/>
              <w:right w:val="nil"/>
            </w:tcBorders>
            <w:shd w:val="clear" w:color="auto" w:fill="auto"/>
            <w:noWrap/>
            <w:vAlign w:val="bottom"/>
            <w:hideMark/>
          </w:tcPr>
          <w:p w14:paraId="7ED35D5E" w14:textId="77777777" w:rsidR="00905713" w:rsidRPr="00905713" w:rsidRDefault="00905713" w:rsidP="00905713">
            <w:pPr>
              <w:spacing w:line="240" w:lineRule="auto"/>
              <w:rPr>
                <w:rFonts w:cs="Times New Roman"/>
                <w:b/>
                <w:bCs/>
              </w:rPr>
            </w:pPr>
            <w:r w:rsidRPr="00905713">
              <w:rPr>
                <w:rFonts w:cs="Times New Roman"/>
                <w:b/>
                <w:bCs/>
              </w:rPr>
              <w:t>Ethanol Yield (mg g</w:t>
            </w:r>
            <w:r w:rsidRPr="00B8390A">
              <w:rPr>
                <w:rFonts w:cs="Times New Roman"/>
                <w:b/>
                <w:bCs/>
                <w:vertAlign w:val="superscript"/>
              </w:rPr>
              <w:t>-1</w:t>
            </w:r>
            <w:r w:rsidRPr="00905713">
              <w:rPr>
                <w:rFonts w:cs="Times New Roman"/>
                <w:b/>
                <w:bCs/>
              </w:rPr>
              <w:t>)</w:t>
            </w:r>
          </w:p>
        </w:tc>
        <w:tc>
          <w:tcPr>
            <w:tcW w:w="1333" w:type="dxa"/>
            <w:tcBorders>
              <w:top w:val="nil"/>
              <w:left w:val="nil"/>
              <w:bottom w:val="nil"/>
              <w:right w:val="nil"/>
            </w:tcBorders>
            <w:shd w:val="clear" w:color="auto" w:fill="auto"/>
            <w:noWrap/>
            <w:vAlign w:val="bottom"/>
            <w:hideMark/>
          </w:tcPr>
          <w:p w14:paraId="0DB1D816" w14:textId="77777777" w:rsidR="00905713" w:rsidRPr="00905713" w:rsidRDefault="00905713" w:rsidP="00905713">
            <w:pPr>
              <w:spacing w:line="240" w:lineRule="auto"/>
              <w:jc w:val="right"/>
              <w:rPr>
                <w:rFonts w:cs="Times New Roman"/>
                <w:color w:val="000000"/>
              </w:rPr>
            </w:pPr>
            <w:r w:rsidRPr="00905713">
              <w:rPr>
                <w:rFonts w:cs="Times New Roman"/>
                <w:color w:val="000000"/>
              </w:rPr>
              <w:t>-0.25</w:t>
            </w:r>
          </w:p>
        </w:tc>
        <w:tc>
          <w:tcPr>
            <w:tcW w:w="1120" w:type="dxa"/>
            <w:tcBorders>
              <w:top w:val="nil"/>
              <w:left w:val="nil"/>
              <w:bottom w:val="single" w:sz="8" w:space="0" w:color="auto"/>
              <w:right w:val="nil"/>
            </w:tcBorders>
            <w:shd w:val="clear" w:color="auto" w:fill="auto"/>
            <w:noWrap/>
            <w:vAlign w:val="bottom"/>
            <w:hideMark/>
          </w:tcPr>
          <w:p w14:paraId="7ABB7E0F" w14:textId="77777777" w:rsidR="00905713" w:rsidRPr="00905713" w:rsidRDefault="00905713" w:rsidP="00905713">
            <w:pPr>
              <w:spacing w:line="240" w:lineRule="auto"/>
              <w:rPr>
                <w:rFonts w:cs="Times New Roman"/>
                <w:color w:val="000000"/>
              </w:rPr>
            </w:pPr>
            <w:r w:rsidRPr="00905713">
              <w:rPr>
                <w:rFonts w:cs="Times New Roman"/>
                <w:color w:val="000000"/>
              </w:rPr>
              <w:t>***</w:t>
            </w:r>
          </w:p>
        </w:tc>
        <w:tc>
          <w:tcPr>
            <w:tcW w:w="1546" w:type="dxa"/>
            <w:tcBorders>
              <w:top w:val="nil"/>
              <w:left w:val="nil"/>
              <w:bottom w:val="nil"/>
              <w:right w:val="nil"/>
            </w:tcBorders>
            <w:shd w:val="clear" w:color="000000" w:fill="BFBFBF"/>
            <w:noWrap/>
            <w:vAlign w:val="bottom"/>
            <w:hideMark/>
          </w:tcPr>
          <w:p w14:paraId="05DFFCE4" w14:textId="77777777" w:rsidR="00905713" w:rsidRPr="00905713" w:rsidRDefault="00905713" w:rsidP="00905713">
            <w:pPr>
              <w:spacing w:line="240" w:lineRule="auto"/>
              <w:jc w:val="right"/>
              <w:rPr>
                <w:rFonts w:cs="Times New Roman"/>
                <w:color w:val="000000"/>
              </w:rPr>
            </w:pPr>
            <w:r w:rsidRPr="00905713">
              <w:rPr>
                <w:rFonts w:cs="Times New Roman"/>
                <w:color w:val="000000"/>
              </w:rPr>
              <w:t>0.31</w:t>
            </w:r>
          </w:p>
        </w:tc>
        <w:tc>
          <w:tcPr>
            <w:tcW w:w="1334" w:type="dxa"/>
            <w:tcBorders>
              <w:top w:val="nil"/>
              <w:left w:val="nil"/>
              <w:bottom w:val="single" w:sz="8" w:space="0" w:color="auto"/>
              <w:right w:val="nil"/>
            </w:tcBorders>
            <w:shd w:val="clear" w:color="000000" w:fill="BFBFBF"/>
            <w:noWrap/>
            <w:vAlign w:val="bottom"/>
            <w:hideMark/>
          </w:tcPr>
          <w:p w14:paraId="7CF5589E" w14:textId="77777777" w:rsidR="00905713" w:rsidRPr="00905713" w:rsidRDefault="00905713" w:rsidP="00905713">
            <w:pPr>
              <w:spacing w:line="240" w:lineRule="auto"/>
              <w:rPr>
                <w:rFonts w:cs="Times New Roman"/>
                <w:color w:val="000000"/>
              </w:rPr>
            </w:pPr>
            <w:r w:rsidRPr="00905713">
              <w:rPr>
                <w:rFonts w:cs="Times New Roman"/>
                <w:color w:val="000000"/>
              </w:rPr>
              <w:t>***</w:t>
            </w:r>
          </w:p>
        </w:tc>
      </w:tr>
      <w:tr w:rsidR="00905713" w:rsidRPr="00905713" w14:paraId="3DFB0F16" w14:textId="77777777" w:rsidTr="00905713">
        <w:trPr>
          <w:trHeight w:val="285"/>
        </w:trPr>
        <w:tc>
          <w:tcPr>
            <w:tcW w:w="8385" w:type="dxa"/>
            <w:gridSpan w:val="5"/>
            <w:tcBorders>
              <w:top w:val="single" w:sz="8" w:space="0" w:color="auto"/>
              <w:left w:val="nil"/>
              <w:bottom w:val="nil"/>
              <w:right w:val="nil"/>
            </w:tcBorders>
            <w:shd w:val="clear" w:color="auto" w:fill="auto"/>
            <w:noWrap/>
            <w:vAlign w:val="bottom"/>
            <w:hideMark/>
          </w:tcPr>
          <w:p w14:paraId="4F48FC12" w14:textId="3CB9D46B" w:rsidR="00905713" w:rsidRPr="00905713" w:rsidRDefault="00905713" w:rsidP="00905713">
            <w:pPr>
              <w:spacing w:line="240" w:lineRule="auto"/>
              <w:rPr>
                <w:rFonts w:cs="Times New Roman"/>
                <w:color w:val="000000"/>
              </w:rPr>
            </w:pPr>
            <w:r w:rsidRPr="00905713">
              <w:rPr>
                <w:rFonts w:cs="Times New Roman"/>
                <w:color w:val="000000"/>
                <w:vertAlign w:val="subscript"/>
              </w:rPr>
              <w:t xml:space="preserve">* </w:t>
            </w:r>
            <w:r w:rsidR="00B7572A">
              <w:rPr>
                <w:rFonts w:cs="Times New Roman"/>
                <w:color w:val="000000"/>
                <w:vertAlign w:val="subscript"/>
              </w:rPr>
              <w:t xml:space="preserve">P </w:t>
            </w:r>
            <w:r w:rsidR="009021A8">
              <w:rPr>
                <w:rFonts w:cs="Times New Roman"/>
                <w:color w:val="000000"/>
                <w:vertAlign w:val="subscript"/>
              </w:rPr>
              <w:t xml:space="preserve">&lt; </w:t>
            </w:r>
            <w:r w:rsidRPr="00905713">
              <w:rPr>
                <w:rFonts w:cs="Times New Roman"/>
                <w:color w:val="000000"/>
                <w:vertAlign w:val="subscript"/>
              </w:rPr>
              <w:t>0.05, **</w:t>
            </w:r>
            <w:r w:rsidR="00B7572A">
              <w:rPr>
                <w:rFonts w:cs="Times New Roman"/>
                <w:color w:val="000000"/>
                <w:vertAlign w:val="subscript"/>
              </w:rPr>
              <w:t xml:space="preserve">P </w:t>
            </w:r>
            <w:r w:rsidR="009021A8">
              <w:rPr>
                <w:rFonts w:cs="Times New Roman"/>
                <w:color w:val="000000"/>
                <w:vertAlign w:val="subscript"/>
              </w:rPr>
              <w:t xml:space="preserve">&lt; </w:t>
            </w:r>
            <w:r w:rsidRPr="00905713">
              <w:rPr>
                <w:rFonts w:cs="Times New Roman"/>
                <w:color w:val="000000"/>
                <w:vertAlign w:val="subscript"/>
              </w:rPr>
              <w:t>0.01, ***</w:t>
            </w:r>
            <w:r w:rsidR="00B7572A">
              <w:rPr>
                <w:rFonts w:cs="Times New Roman"/>
                <w:color w:val="000000"/>
                <w:vertAlign w:val="subscript"/>
              </w:rPr>
              <w:t xml:space="preserve">P </w:t>
            </w:r>
            <w:r w:rsidR="009021A8">
              <w:rPr>
                <w:rFonts w:cs="Times New Roman"/>
                <w:color w:val="000000"/>
                <w:vertAlign w:val="subscript"/>
              </w:rPr>
              <w:t xml:space="preserve">&lt; </w:t>
            </w:r>
            <w:r w:rsidRPr="00905713">
              <w:rPr>
                <w:rFonts w:cs="Times New Roman"/>
                <w:color w:val="000000"/>
                <w:vertAlign w:val="subscript"/>
              </w:rPr>
              <w:t>0.001 respectively</w:t>
            </w:r>
          </w:p>
        </w:tc>
      </w:tr>
      <w:tr w:rsidR="00905713" w:rsidRPr="00905713" w14:paraId="0C3E0398" w14:textId="77777777" w:rsidTr="00905713">
        <w:trPr>
          <w:trHeight w:val="375"/>
        </w:trPr>
        <w:tc>
          <w:tcPr>
            <w:tcW w:w="8385" w:type="dxa"/>
            <w:gridSpan w:val="5"/>
            <w:tcBorders>
              <w:top w:val="nil"/>
              <w:left w:val="nil"/>
              <w:bottom w:val="nil"/>
              <w:right w:val="nil"/>
            </w:tcBorders>
            <w:shd w:val="clear" w:color="auto" w:fill="auto"/>
            <w:noWrap/>
            <w:vAlign w:val="bottom"/>
            <w:hideMark/>
          </w:tcPr>
          <w:p w14:paraId="637EA2F2" w14:textId="74490D95" w:rsidR="00905713" w:rsidRPr="00905713" w:rsidRDefault="00905713" w:rsidP="00905713">
            <w:pPr>
              <w:spacing w:line="240" w:lineRule="auto"/>
              <w:rPr>
                <w:rFonts w:cs="Times New Roman"/>
                <w:color w:val="000000"/>
              </w:rPr>
            </w:pPr>
            <w:r w:rsidRPr="00905713">
              <w:rPr>
                <w:rFonts w:cs="Times New Roman"/>
                <w:color w:val="000000"/>
                <w:vertAlign w:val="subscript"/>
              </w:rPr>
              <w:t xml:space="preserve">† = Rating scale of 1-3, with 1 indicating </w:t>
            </w:r>
            <w:r w:rsidR="00A44411">
              <w:rPr>
                <w:rFonts w:cs="Times New Roman"/>
                <w:color w:val="000000"/>
                <w:vertAlign w:val="subscript"/>
              </w:rPr>
              <w:t xml:space="preserve">medium green </w:t>
            </w:r>
            <w:r w:rsidRPr="00905713">
              <w:rPr>
                <w:rFonts w:cs="Times New Roman"/>
                <w:color w:val="000000"/>
                <w:vertAlign w:val="subscript"/>
              </w:rPr>
              <w:t xml:space="preserve">and 3 indicating blue </w:t>
            </w:r>
            <w:r w:rsidR="00DB61CB">
              <w:rPr>
                <w:rFonts w:cs="Times New Roman"/>
                <w:color w:val="000000"/>
                <w:vertAlign w:val="subscript"/>
              </w:rPr>
              <w:t>plant color</w:t>
            </w:r>
          </w:p>
        </w:tc>
      </w:tr>
      <w:tr w:rsidR="00905713" w:rsidRPr="00905713" w14:paraId="5FD9EB22" w14:textId="77777777" w:rsidTr="00905713">
        <w:trPr>
          <w:trHeight w:val="315"/>
        </w:trPr>
        <w:tc>
          <w:tcPr>
            <w:tcW w:w="8385" w:type="dxa"/>
            <w:gridSpan w:val="5"/>
            <w:tcBorders>
              <w:top w:val="nil"/>
              <w:left w:val="nil"/>
              <w:bottom w:val="nil"/>
              <w:right w:val="nil"/>
            </w:tcBorders>
            <w:shd w:val="clear" w:color="auto" w:fill="auto"/>
            <w:vAlign w:val="bottom"/>
            <w:hideMark/>
          </w:tcPr>
          <w:p w14:paraId="421CA45A" w14:textId="77777777" w:rsidR="00905713" w:rsidRPr="00905713" w:rsidRDefault="00905713" w:rsidP="00905713">
            <w:pPr>
              <w:spacing w:line="240" w:lineRule="auto"/>
              <w:rPr>
                <w:rFonts w:cs="Times New Roman"/>
                <w:color w:val="000000"/>
              </w:rPr>
            </w:pPr>
            <w:r w:rsidRPr="00905713">
              <w:rPr>
                <w:rFonts w:cs="Times New Roman"/>
                <w:color w:val="000000"/>
                <w:vertAlign w:val="subscript"/>
              </w:rPr>
              <w:t>‡ = Rating scale of 1-5, with 1 indicating leaves less than 45° angle from stem, 5 indicating leaves with greater than 135° angle from stem</w:t>
            </w:r>
          </w:p>
        </w:tc>
      </w:tr>
      <w:tr w:rsidR="00905713" w:rsidRPr="00905713" w14:paraId="157F2692" w14:textId="77777777" w:rsidTr="00905713">
        <w:trPr>
          <w:trHeight w:val="375"/>
        </w:trPr>
        <w:tc>
          <w:tcPr>
            <w:tcW w:w="8385" w:type="dxa"/>
            <w:gridSpan w:val="5"/>
            <w:tcBorders>
              <w:top w:val="nil"/>
              <w:left w:val="nil"/>
              <w:bottom w:val="nil"/>
              <w:right w:val="nil"/>
            </w:tcBorders>
            <w:shd w:val="clear" w:color="auto" w:fill="auto"/>
            <w:noWrap/>
            <w:vAlign w:val="bottom"/>
            <w:hideMark/>
          </w:tcPr>
          <w:p w14:paraId="461E5A68" w14:textId="77777777" w:rsidR="00905713" w:rsidRPr="00905713" w:rsidRDefault="00905713" w:rsidP="00905713">
            <w:pPr>
              <w:spacing w:line="240" w:lineRule="auto"/>
              <w:rPr>
                <w:rFonts w:cs="Times New Roman"/>
                <w:color w:val="000000"/>
              </w:rPr>
            </w:pPr>
            <w:r w:rsidRPr="00905713">
              <w:rPr>
                <w:rFonts w:cs="Times New Roman"/>
                <w:color w:val="000000"/>
                <w:vertAlign w:val="subscript"/>
              </w:rPr>
              <w:t>§ = Rating scale of 1-9 with 1 indicating symptomless and 9 indicating severe disease severity</w:t>
            </w:r>
          </w:p>
        </w:tc>
      </w:tr>
    </w:tbl>
    <w:p w14:paraId="49F759E6" w14:textId="77777777" w:rsidR="00596A40" w:rsidRDefault="00596A40" w:rsidP="00596A40">
      <w:pPr>
        <w:rPr>
          <w:b/>
          <w:bCs/>
        </w:rPr>
      </w:pPr>
      <w:r>
        <w:br w:type="page"/>
      </w:r>
    </w:p>
    <w:p w14:paraId="3140A280" w14:textId="5B18469F" w:rsidR="00596A40" w:rsidRDefault="00596A40" w:rsidP="002B4489">
      <w:pPr>
        <w:pStyle w:val="Caption"/>
        <w:rPr>
          <w:rFonts w:eastAsiaTheme="minorHAnsi"/>
        </w:rPr>
      </w:pPr>
      <w:bookmarkStart w:id="80" w:name="_Toc404070376"/>
      <w:r>
        <w:lastRenderedPageBreak/>
        <w:t xml:space="preserve">Table 2-3: Variance components </w:t>
      </w:r>
      <w:r w:rsidR="00CC74A4">
        <w:t>of</w:t>
      </w:r>
      <w:r w:rsidR="00A06900">
        <w:t xml:space="preserve"> F1 population</w:t>
      </w:r>
      <w:r w:rsidR="00CC74A4">
        <w:t>s</w:t>
      </w:r>
      <w:r w:rsidR="00A06900">
        <w:t xml:space="preserve"> derived from </w:t>
      </w:r>
      <w:r w:rsidR="00CC74A4">
        <w:t>a</w:t>
      </w:r>
      <w:r w:rsidR="00A06900">
        <w:t xml:space="preserve"> diallel cross of eight parents were calculated using ANOVA </w:t>
      </w:r>
      <w:r>
        <w:t xml:space="preserve">for the traits </w:t>
      </w:r>
      <w:r w:rsidR="00CC74A4">
        <w:rPr>
          <w:rFonts w:eastAsiaTheme="minorHAnsi"/>
        </w:rPr>
        <w:t>biomass yield</w:t>
      </w:r>
      <w:r w:rsidR="00AB1E56">
        <w:rPr>
          <w:rFonts w:eastAsiaTheme="minorHAnsi"/>
        </w:rPr>
        <w:t xml:space="preserve"> and</w:t>
      </w:r>
      <w:r w:rsidR="00CC74A4">
        <w:rPr>
          <w:rFonts w:eastAsiaTheme="minorHAnsi"/>
        </w:rPr>
        <w:t xml:space="preserve"> </w:t>
      </w:r>
      <w:r>
        <w:rPr>
          <w:rFonts w:eastAsiaTheme="minorHAnsi"/>
        </w:rPr>
        <w:t>predicted ethanol yield</w:t>
      </w:r>
      <w:r w:rsidR="00CC74A4">
        <w:rPr>
          <w:rFonts w:eastAsiaTheme="minorHAnsi"/>
        </w:rPr>
        <w:t xml:space="preserve"> (A), </w:t>
      </w:r>
      <w:r w:rsidR="00AB1E56">
        <w:rPr>
          <w:rFonts w:eastAsiaTheme="minorHAnsi"/>
        </w:rPr>
        <w:t>fall height</w:t>
      </w:r>
      <w:r w:rsidR="00CC74A4">
        <w:rPr>
          <w:rFonts w:eastAsiaTheme="minorHAnsi"/>
        </w:rPr>
        <w:t>, spring height,</w:t>
      </w:r>
      <w:r w:rsidR="00AB1E56">
        <w:rPr>
          <w:rFonts w:eastAsiaTheme="minorHAnsi"/>
        </w:rPr>
        <w:t xml:space="preserve"> and</w:t>
      </w:r>
      <w:r w:rsidR="00CC74A4">
        <w:rPr>
          <w:rFonts w:eastAsiaTheme="minorHAnsi"/>
        </w:rPr>
        <w:t xml:space="preserve"> tiller number (</w:t>
      </w:r>
      <w:r w:rsidR="00AB1E56">
        <w:rPr>
          <w:rFonts w:eastAsiaTheme="minorHAnsi"/>
        </w:rPr>
        <w:t>B</w:t>
      </w:r>
      <w:r w:rsidR="00CC74A4">
        <w:rPr>
          <w:rFonts w:eastAsiaTheme="minorHAnsi"/>
        </w:rPr>
        <w:t>), tiller diameter</w:t>
      </w:r>
      <w:r w:rsidR="00AB1E56">
        <w:rPr>
          <w:rFonts w:eastAsiaTheme="minorHAnsi"/>
        </w:rPr>
        <w:t xml:space="preserve">, </w:t>
      </w:r>
      <w:r w:rsidR="00B8390A">
        <w:rPr>
          <w:rFonts w:eastAsiaTheme="minorHAnsi"/>
        </w:rPr>
        <w:t>leaf width</w:t>
      </w:r>
      <w:r w:rsidR="00CC74A4">
        <w:rPr>
          <w:rFonts w:eastAsiaTheme="minorHAnsi"/>
        </w:rPr>
        <w:t>,</w:t>
      </w:r>
      <w:r w:rsidR="00AB1E56">
        <w:rPr>
          <w:rFonts w:eastAsiaTheme="minorHAnsi"/>
        </w:rPr>
        <w:t xml:space="preserve"> and</w:t>
      </w:r>
      <w:r w:rsidR="00CC74A4">
        <w:rPr>
          <w:rFonts w:eastAsiaTheme="minorHAnsi"/>
        </w:rPr>
        <w:t xml:space="preserve"> canopy density (</w:t>
      </w:r>
      <w:r w:rsidR="00AB1E56">
        <w:rPr>
          <w:rFonts w:eastAsiaTheme="minorHAnsi"/>
        </w:rPr>
        <w:t>C</w:t>
      </w:r>
      <w:r w:rsidR="00CC74A4">
        <w:rPr>
          <w:rFonts w:eastAsiaTheme="minorHAnsi"/>
        </w:rPr>
        <w:t>), and rust severity (</w:t>
      </w:r>
      <w:r w:rsidR="00AB1E56">
        <w:rPr>
          <w:rFonts w:eastAsiaTheme="minorHAnsi"/>
        </w:rPr>
        <w:t>D</w:t>
      </w:r>
      <w:r w:rsidR="00CC74A4">
        <w:rPr>
          <w:rFonts w:eastAsiaTheme="minorHAnsi"/>
        </w:rPr>
        <w:t>). V</w:t>
      </w:r>
      <w:r w:rsidR="00B54912">
        <w:rPr>
          <w:rFonts w:eastAsiaTheme="minorHAnsi"/>
        </w:rPr>
        <w:t>ariance estimate</w:t>
      </w:r>
      <w:r w:rsidR="00A06900">
        <w:rPr>
          <w:rFonts w:eastAsiaTheme="minorHAnsi"/>
        </w:rPr>
        <w:t>s</w:t>
      </w:r>
      <w:r w:rsidR="00B54912">
        <w:rPr>
          <w:rFonts w:eastAsiaTheme="minorHAnsi"/>
        </w:rPr>
        <w:t xml:space="preserve"> from the </w:t>
      </w:r>
      <w:r w:rsidR="00A06900">
        <w:rPr>
          <w:rFonts w:eastAsiaTheme="minorHAnsi"/>
        </w:rPr>
        <w:t>ANOVA</w:t>
      </w:r>
      <w:r w:rsidR="00B54912">
        <w:rPr>
          <w:rFonts w:eastAsiaTheme="minorHAnsi"/>
        </w:rPr>
        <w:t xml:space="preserve"> model and the p</w:t>
      </w:r>
      <w:r w:rsidR="003E1EA0">
        <w:rPr>
          <w:rFonts w:cs="Times New Roman"/>
          <w:color w:val="000000"/>
        </w:rPr>
        <w:t xml:space="preserve">ercentage </w:t>
      </w:r>
      <w:r w:rsidR="00B54912">
        <w:rPr>
          <w:rFonts w:cs="Times New Roman"/>
          <w:color w:val="000000"/>
        </w:rPr>
        <w:t xml:space="preserve">that </w:t>
      </w:r>
      <w:r w:rsidR="00CC74A4">
        <w:rPr>
          <w:rFonts w:cs="Times New Roman"/>
          <w:color w:val="000000"/>
        </w:rPr>
        <w:t>effect</w:t>
      </w:r>
      <w:r w:rsidR="00B54912">
        <w:rPr>
          <w:rFonts w:cs="Times New Roman"/>
          <w:color w:val="000000"/>
        </w:rPr>
        <w:t xml:space="preserve"> contributes to the overall phenotypic variance is listed for each effect in the model. </w:t>
      </w:r>
      <w:r w:rsidR="002B4489">
        <w:rPr>
          <w:rFonts w:cs="Times New Roman"/>
          <w:color w:val="000000"/>
        </w:rPr>
        <w:t>Effects with v</w:t>
      </w:r>
      <w:r w:rsidR="00B54912">
        <w:rPr>
          <w:rFonts w:cs="Times New Roman"/>
          <w:color w:val="000000"/>
        </w:rPr>
        <w:t xml:space="preserve">ariance estimates of zero are excluded from the table. </w:t>
      </w:r>
      <w:r>
        <w:rPr>
          <w:rFonts w:eastAsiaTheme="minorHAnsi"/>
        </w:rPr>
        <w:t>Asterisks indicate variance that is significantly different from zero based on Wald’s test (</w:t>
      </w:r>
      <w:r w:rsidRPr="009B288B">
        <w:rPr>
          <w:rFonts w:cs="Times New Roman"/>
          <w:color w:val="000000"/>
        </w:rPr>
        <w:t xml:space="preserve">* </w:t>
      </w:r>
      <w:r w:rsidR="00B7572A">
        <w:rPr>
          <w:rFonts w:cs="Times New Roman"/>
          <w:color w:val="000000"/>
        </w:rPr>
        <w:t xml:space="preserve">P </w:t>
      </w:r>
      <w:r w:rsidR="009021A8">
        <w:rPr>
          <w:rFonts w:cs="Times New Roman"/>
          <w:color w:val="000000"/>
        </w:rPr>
        <w:t xml:space="preserve">&lt; </w:t>
      </w:r>
      <w:r w:rsidRPr="009B288B">
        <w:rPr>
          <w:rFonts w:cs="Times New Roman"/>
          <w:color w:val="000000"/>
        </w:rPr>
        <w:t>0.05, **</w:t>
      </w:r>
      <w:r w:rsidR="00B7572A">
        <w:rPr>
          <w:rFonts w:cs="Times New Roman"/>
          <w:color w:val="000000"/>
        </w:rPr>
        <w:t xml:space="preserve">P </w:t>
      </w:r>
      <w:r w:rsidR="009021A8">
        <w:rPr>
          <w:rFonts w:cs="Times New Roman"/>
          <w:color w:val="000000"/>
        </w:rPr>
        <w:t xml:space="preserve">&lt; </w:t>
      </w:r>
      <w:r w:rsidRPr="009B288B">
        <w:rPr>
          <w:rFonts w:cs="Times New Roman"/>
          <w:color w:val="000000"/>
        </w:rPr>
        <w:t>0.01, ***</w:t>
      </w:r>
      <w:r w:rsidR="00B7572A">
        <w:rPr>
          <w:rFonts w:cs="Times New Roman"/>
          <w:color w:val="000000"/>
        </w:rPr>
        <w:t xml:space="preserve">P </w:t>
      </w:r>
      <w:r w:rsidR="009021A8">
        <w:rPr>
          <w:rFonts w:cs="Times New Roman"/>
          <w:color w:val="000000"/>
        </w:rPr>
        <w:t xml:space="preserve">&lt; </w:t>
      </w:r>
      <w:r w:rsidRPr="009B288B">
        <w:rPr>
          <w:rFonts w:cs="Times New Roman"/>
          <w:color w:val="000000"/>
        </w:rPr>
        <w:t>0.001 respectively</w:t>
      </w:r>
      <w:r>
        <w:rPr>
          <w:rFonts w:cs="Times New Roman"/>
          <w:color w:val="000000"/>
        </w:rPr>
        <w:t>)</w:t>
      </w:r>
      <w:r w:rsidR="00954DB7">
        <w:rPr>
          <w:rFonts w:cs="Times New Roman"/>
          <w:color w:val="000000"/>
        </w:rPr>
        <w:t>.</w:t>
      </w:r>
      <w:bookmarkEnd w:id="80"/>
      <w:r w:rsidR="00954DB7">
        <w:rPr>
          <w:rFonts w:cs="Times New Roman"/>
          <w:color w:val="000000"/>
        </w:rPr>
        <w:t xml:space="preserve"> </w:t>
      </w:r>
      <w:r>
        <w:rPr>
          <w:rFonts w:eastAsiaTheme="minorHAnsi"/>
        </w:rPr>
        <w:t xml:space="preserve"> </w:t>
      </w:r>
    </w:p>
    <w:p w14:paraId="17A6C917" w14:textId="77777777" w:rsidR="00CC74A4" w:rsidRPr="00E7669F" w:rsidRDefault="00CC74A4" w:rsidP="00E7669F">
      <w:pPr>
        <w:spacing w:line="240" w:lineRule="auto"/>
        <w:rPr>
          <w:rFonts w:eastAsiaTheme="minorHAnsi"/>
          <w:b/>
        </w:rPr>
      </w:pPr>
      <w:r w:rsidRPr="00E7669F">
        <w:rPr>
          <w:rFonts w:eastAsiaTheme="minorHAnsi"/>
          <w:b/>
        </w:rPr>
        <w:t>Table 2-3 A.</w:t>
      </w:r>
    </w:p>
    <w:tbl>
      <w:tblPr>
        <w:tblW w:w="9367" w:type="dxa"/>
        <w:tblInd w:w="93" w:type="dxa"/>
        <w:tblLook w:val="04A0" w:firstRow="1" w:lastRow="0" w:firstColumn="1" w:lastColumn="0" w:noHBand="0" w:noVBand="1"/>
      </w:tblPr>
      <w:tblGrid>
        <w:gridCol w:w="3016"/>
        <w:gridCol w:w="731"/>
        <w:gridCol w:w="229"/>
        <w:gridCol w:w="347"/>
        <w:gridCol w:w="229"/>
        <w:gridCol w:w="427"/>
        <w:gridCol w:w="229"/>
        <w:gridCol w:w="737"/>
        <w:gridCol w:w="139"/>
        <w:gridCol w:w="437"/>
        <w:gridCol w:w="139"/>
        <w:gridCol w:w="517"/>
        <w:gridCol w:w="139"/>
        <w:gridCol w:w="819"/>
        <w:gridCol w:w="576"/>
        <w:gridCol w:w="656"/>
      </w:tblGrid>
      <w:tr w:rsidR="00596A40" w:rsidRPr="00203E93" w14:paraId="77830AF7" w14:textId="77777777" w:rsidTr="002B4489">
        <w:trPr>
          <w:trHeight w:val="330"/>
        </w:trPr>
        <w:tc>
          <w:tcPr>
            <w:tcW w:w="3016" w:type="dxa"/>
            <w:tcBorders>
              <w:top w:val="single" w:sz="8" w:space="0" w:color="auto"/>
              <w:left w:val="nil"/>
              <w:bottom w:val="nil"/>
              <w:right w:val="nil"/>
            </w:tcBorders>
            <w:shd w:val="clear" w:color="auto" w:fill="auto"/>
            <w:noWrap/>
            <w:vAlign w:val="bottom"/>
            <w:hideMark/>
          </w:tcPr>
          <w:p w14:paraId="747D40DB" w14:textId="77777777" w:rsidR="00596A40" w:rsidRPr="00203E93" w:rsidRDefault="00596A40" w:rsidP="00596A40">
            <w:pPr>
              <w:spacing w:line="240" w:lineRule="auto"/>
              <w:rPr>
                <w:rFonts w:cs="Times New Roman"/>
                <w:color w:val="000000"/>
              </w:rPr>
            </w:pPr>
            <w:r w:rsidRPr="00203E93">
              <w:rPr>
                <w:rFonts w:cs="Times New Roman"/>
                <w:color w:val="000000"/>
              </w:rPr>
              <w:t> </w:t>
            </w:r>
          </w:p>
        </w:tc>
        <w:tc>
          <w:tcPr>
            <w:tcW w:w="6351" w:type="dxa"/>
            <w:gridSpan w:val="15"/>
            <w:tcBorders>
              <w:top w:val="single" w:sz="8" w:space="0" w:color="auto"/>
              <w:left w:val="nil"/>
              <w:bottom w:val="single" w:sz="4" w:space="0" w:color="auto"/>
              <w:right w:val="nil"/>
            </w:tcBorders>
            <w:shd w:val="clear" w:color="auto" w:fill="auto"/>
            <w:noWrap/>
            <w:vAlign w:val="bottom"/>
            <w:hideMark/>
          </w:tcPr>
          <w:p w14:paraId="042E1908" w14:textId="6E450FE8" w:rsidR="00596A40" w:rsidRPr="00203E93" w:rsidRDefault="00596A40" w:rsidP="009D15AB">
            <w:pPr>
              <w:spacing w:line="240" w:lineRule="auto"/>
              <w:jc w:val="center"/>
              <w:rPr>
                <w:rFonts w:cs="Times New Roman"/>
                <w:color w:val="000000"/>
              </w:rPr>
            </w:pPr>
            <w:r w:rsidRPr="00203E93">
              <w:rPr>
                <w:rFonts w:cs="Times New Roman"/>
                <w:color w:val="000000"/>
              </w:rPr>
              <w:t>Biomass Yield</w:t>
            </w:r>
            <w:r>
              <w:rPr>
                <w:rFonts w:cs="Times New Roman"/>
                <w:color w:val="000000"/>
              </w:rPr>
              <w:t xml:space="preserve"> </w:t>
            </w:r>
          </w:p>
        </w:tc>
      </w:tr>
      <w:tr w:rsidR="00596A40" w:rsidRPr="00203E93" w14:paraId="38CEED83" w14:textId="77777777" w:rsidTr="002B4489">
        <w:trPr>
          <w:trHeight w:val="330"/>
        </w:trPr>
        <w:tc>
          <w:tcPr>
            <w:tcW w:w="3016" w:type="dxa"/>
            <w:tcBorders>
              <w:top w:val="nil"/>
              <w:left w:val="nil"/>
              <w:bottom w:val="single" w:sz="8" w:space="0" w:color="auto"/>
              <w:right w:val="nil"/>
            </w:tcBorders>
            <w:shd w:val="clear" w:color="auto" w:fill="auto"/>
            <w:vAlign w:val="bottom"/>
            <w:hideMark/>
          </w:tcPr>
          <w:p w14:paraId="7948955F" w14:textId="77777777" w:rsidR="00596A40" w:rsidRPr="00203E93" w:rsidRDefault="00596A40" w:rsidP="00596A40">
            <w:pPr>
              <w:spacing w:line="240" w:lineRule="auto"/>
              <w:rPr>
                <w:rFonts w:cs="Times New Roman"/>
                <w:color w:val="000000"/>
              </w:rPr>
            </w:pPr>
            <w:r w:rsidRPr="00203E93">
              <w:rPr>
                <w:rFonts w:cs="Times New Roman"/>
                <w:color w:val="000000"/>
              </w:rPr>
              <w:t>Source of Variation</w:t>
            </w:r>
          </w:p>
        </w:tc>
        <w:tc>
          <w:tcPr>
            <w:tcW w:w="1963" w:type="dxa"/>
            <w:gridSpan w:val="5"/>
            <w:tcBorders>
              <w:top w:val="nil"/>
              <w:left w:val="nil"/>
              <w:bottom w:val="single" w:sz="8" w:space="0" w:color="auto"/>
              <w:right w:val="nil"/>
            </w:tcBorders>
            <w:shd w:val="clear" w:color="auto" w:fill="auto"/>
            <w:vAlign w:val="bottom"/>
            <w:hideMark/>
          </w:tcPr>
          <w:p w14:paraId="70975039" w14:textId="77777777" w:rsidR="00596A40" w:rsidRPr="00203E93" w:rsidRDefault="00596A40" w:rsidP="00596A40">
            <w:pPr>
              <w:spacing w:line="240" w:lineRule="auto"/>
              <w:jc w:val="center"/>
              <w:rPr>
                <w:rFonts w:cs="Times New Roman"/>
                <w:color w:val="000000"/>
              </w:rPr>
            </w:pPr>
            <w:r w:rsidRPr="00203E93">
              <w:rPr>
                <w:rFonts w:cs="Times New Roman"/>
                <w:color w:val="000000"/>
              </w:rPr>
              <w:t>2012</w:t>
            </w:r>
          </w:p>
        </w:tc>
        <w:tc>
          <w:tcPr>
            <w:tcW w:w="2198" w:type="dxa"/>
            <w:gridSpan w:val="6"/>
            <w:tcBorders>
              <w:top w:val="nil"/>
              <w:left w:val="nil"/>
              <w:bottom w:val="single" w:sz="8" w:space="0" w:color="auto"/>
              <w:right w:val="nil"/>
            </w:tcBorders>
            <w:shd w:val="clear" w:color="auto" w:fill="auto"/>
            <w:vAlign w:val="bottom"/>
            <w:hideMark/>
          </w:tcPr>
          <w:p w14:paraId="77ED9E81" w14:textId="77777777" w:rsidR="00596A40" w:rsidRPr="00203E93" w:rsidRDefault="00596A40" w:rsidP="00596A40">
            <w:pPr>
              <w:spacing w:line="240" w:lineRule="auto"/>
              <w:jc w:val="center"/>
              <w:rPr>
                <w:rFonts w:cs="Times New Roman"/>
                <w:color w:val="000000"/>
              </w:rPr>
            </w:pPr>
            <w:r w:rsidRPr="00203E93">
              <w:rPr>
                <w:rFonts w:cs="Times New Roman"/>
                <w:color w:val="000000"/>
              </w:rPr>
              <w:t>2013</w:t>
            </w:r>
          </w:p>
        </w:tc>
        <w:tc>
          <w:tcPr>
            <w:tcW w:w="2190" w:type="dxa"/>
            <w:gridSpan w:val="4"/>
            <w:tcBorders>
              <w:top w:val="nil"/>
              <w:left w:val="nil"/>
              <w:bottom w:val="single" w:sz="8" w:space="0" w:color="auto"/>
              <w:right w:val="nil"/>
            </w:tcBorders>
            <w:shd w:val="clear" w:color="auto" w:fill="auto"/>
            <w:vAlign w:val="bottom"/>
            <w:hideMark/>
          </w:tcPr>
          <w:p w14:paraId="71E6A82E" w14:textId="77777777" w:rsidR="00596A40" w:rsidRPr="00203E93" w:rsidRDefault="00596A40" w:rsidP="00596A40">
            <w:pPr>
              <w:spacing w:line="240" w:lineRule="auto"/>
              <w:jc w:val="center"/>
              <w:rPr>
                <w:rFonts w:cs="Times New Roman"/>
                <w:color w:val="000000"/>
              </w:rPr>
            </w:pPr>
            <w:r w:rsidRPr="00203E93">
              <w:rPr>
                <w:rFonts w:cs="Times New Roman"/>
                <w:color w:val="000000"/>
              </w:rPr>
              <w:t>Combined</w:t>
            </w:r>
          </w:p>
        </w:tc>
      </w:tr>
      <w:tr w:rsidR="00596A40" w:rsidRPr="00203E93" w14:paraId="2B642F80" w14:textId="77777777" w:rsidTr="002B4489">
        <w:trPr>
          <w:trHeight w:val="405"/>
        </w:trPr>
        <w:tc>
          <w:tcPr>
            <w:tcW w:w="3016" w:type="dxa"/>
            <w:tcBorders>
              <w:top w:val="nil"/>
              <w:left w:val="nil"/>
              <w:bottom w:val="nil"/>
              <w:right w:val="nil"/>
            </w:tcBorders>
            <w:shd w:val="clear" w:color="auto" w:fill="auto"/>
            <w:noWrap/>
            <w:vAlign w:val="bottom"/>
            <w:hideMark/>
          </w:tcPr>
          <w:p w14:paraId="757A9DB8" w14:textId="77777777" w:rsidR="00596A40" w:rsidRPr="00203E93" w:rsidRDefault="00596A40" w:rsidP="00596A40">
            <w:pPr>
              <w:spacing w:line="240" w:lineRule="auto"/>
              <w:rPr>
                <w:rFonts w:cs="Times New Roman"/>
                <w:color w:val="000000"/>
              </w:rPr>
            </w:pPr>
            <w:r w:rsidRPr="00203E93">
              <w:rPr>
                <w:rFonts w:cs="Times New Roman"/>
                <w:color w:val="000000"/>
              </w:rPr>
              <w:t>GCA</w:t>
            </w:r>
          </w:p>
        </w:tc>
        <w:tc>
          <w:tcPr>
            <w:tcW w:w="731" w:type="dxa"/>
            <w:tcBorders>
              <w:top w:val="nil"/>
              <w:left w:val="nil"/>
              <w:bottom w:val="nil"/>
              <w:right w:val="nil"/>
            </w:tcBorders>
            <w:shd w:val="clear" w:color="auto" w:fill="auto"/>
            <w:vAlign w:val="bottom"/>
            <w:hideMark/>
          </w:tcPr>
          <w:p w14:paraId="7C018198" w14:textId="77777777" w:rsidR="00596A40" w:rsidRPr="00203E93" w:rsidRDefault="00596A40" w:rsidP="00596A40">
            <w:pPr>
              <w:spacing w:line="240" w:lineRule="auto"/>
              <w:jc w:val="right"/>
              <w:rPr>
                <w:rFonts w:cs="Times New Roman"/>
                <w:color w:val="000000"/>
              </w:rPr>
            </w:pPr>
            <w:r w:rsidRPr="00203E93">
              <w:rPr>
                <w:rFonts w:cs="Times New Roman"/>
                <w:color w:val="000000"/>
              </w:rPr>
              <w:t>348</w:t>
            </w:r>
          </w:p>
        </w:tc>
        <w:tc>
          <w:tcPr>
            <w:tcW w:w="576" w:type="dxa"/>
            <w:gridSpan w:val="2"/>
            <w:tcBorders>
              <w:top w:val="nil"/>
              <w:left w:val="nil"/>
              <w:bottom w:val="nil"/>
              <w:right w:val="nil"/>
            </w:tcBorders>
            <w:shd w:val="clear" w:color="auto" w:fill="auto"/>
            <w:noWrap/>
            <w:vAlign w:val="bottom"/>
            <w:hideMark/>
          </w:tcPr>
          <w:p w14:paraId="60D597D5"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gridSpan w:val="2"/>
            <w:tcBorders>
              <w:top w:val="nil"/>
              <w:left w:val="nil"/>
              <w:bottom w:val="nil"/>
              <w:right w:val="nil"/>
            </w:tcBorders>
            <w:shd w:val="clear" w:color="auto" w:fill="auto"/>
            <w:vAlign w:val="bottom"/>
            <w:hideMark/>
          </w:tcPr>
          <w:p w14:paraId="7D2EAAB4" w14:textId="77777777" w:rsidR="00596A40" w:rsidRPr="00203E93" w:rsidRDefault="00596A40" w:rsidP="00596A40">
            <w:pPr>
              <w:spacing w:line="240" w:lineRule="auto"/>
              <w:jc w:val="center"/>
              <w:rPr>
                <w:rFonts w:cs="Times New Roman"/>
                <w:color w:val="000000"/>
              </w:rPr>
            </w:pPr>
            <w:r w:rsidRPr="00203E93">
              <w:rPr>
                <w:rFonts w:cs="Times New Roman"/>
                <w:color w:val="000000"/>
              </w:rPr>
              <w:t>4%</w:t>
            </w:r>
          </w:p>
        </w:tc>
        <w:tc>
          <w:tcPr>
            <w:tcW w:w="966" w:type="dxa"/>
            <w:gridSpan w:val="2"/>
            <w:tcBorders>
              <w:top w:val="nil"/>
              <w:left w:val="nil"/>
              <w:bottom w:val="nil"/>
              <w:right w:val="nil"/>
            </w:tcBorders>
            <w:shd w:val="clear" w:color="auto" w:fill="auto"/>
            <w:vAlign w:val="bottom"/>
            <w:hideMark/>
          </w:tcPr>
          <w:p w14:paraId="0257C3EA" w14:textId="77777777" w:rsidR="00596A40" w:rsidRPr="00203E93" w:rsidRDefault="00596A40" w:rsidP="00596A40">
            <w:pPr>
              <w:spacing w:line="240" w:lineRule="auto"/>
              <w:jc w:val="right"/>
              <w:rPr>
                <w:rFonts w:cs="Times New Roman"/>
                <w:color w:val="000000"/>
              </w:rPr>
            </w:pPr>
            <w:r w:rsidRPr="00203E93">
              <w:rPr>
                <w:rFonts w:cs="Times New Roman"/>
                <w:color w:val="000000"/>
              </w:rPr>
              <w:t>36441</w:t>
            </w:r>
          </w:p>
        </w:tc>
        <w:tc>
          <w:tcPr>
            <w:tcW w:w="576" w:type="dxa"/>
            <w:gridSpan w:val="2"/>
            <w:tcBorders>
              <w:top w:val="nil"/>
              <w:left w:val="nil"/>
              <w:bottom w:val="nil"/>
              <w:right w:val="nil"/>
            </w:tcBorders>
            <w:shd w:val="clear" w:color="auto" w:fill="auto"/>
            <w:noWrap/>
            <w:vAlign w:val="bottom"/>
            <w:hideMark/>
          </w:tcPr>
          <w:p w14:paraId="7C0399AF"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gridSpan w:val="2"/>
            <w:tcBorders>
              <w:top w:val="nil"/>
              <w:left w:val="nil"/>
              <w:bottom w:val="nil"/>
              <w:right w:val="nil"/>
            </w:tcBorders>
            <w:shd w:val="clear" w:color="auto" w:fill="auto"/>
            <w:vAlign w:val="bottom"/>
            <w:hideMark/>
          </w:tcPr>
          <w:p w14:paraId="312BB8D3" w14:textId="77777777" w:rsidR="00596A40" w:rsidRPr="00203E93" w:rsidRDefault="00596A40" w:rsidP="00596A40">
            <w:pPr>
              <w:spacing w:line="240" w:lineRule="auto"/>
              <w:jc w:val="center"/>
              <w:rPr>
                <w:rFonts w:cs="Times New Roman"/>
                <w:color w:val="000000"/>
              </w:rPr>
            </w:pPr>
            <w:r w:rsidRPr="00203E93">
              <w:rPr>
                <w:rFonts w:cs="Times New Roman"/>
                <w:color w:val="000000"/>
              </w:rPr>
              <w:t>5%</w:t>
            </w:r>
          </w:p>
        </w:tc>
        <w:tc>
          <w:tcPr>
            <w:tcW w:w="958" w:type="dxa"/>
            <w:gridSpan w:val="2"/>
            <w:tcBorders>
              <w:top w:val="nil"/>
              <w:left w:val="nil"/>
              <w:bottom w:val="nil"/>
              <w:right w:val="nil"/>
            </w:tcBorders>
            <w:shd w:val="clear" w:color="auto" w:fill="auto"/>
            <w:vAlign w:val="bottom"/>
            <w:hideMark/>
          </w:tcPr>
          <w:p w14:paraId="755E56EF" w14:textId="77777777" w:rsidR="00596A40" w:rsidRPr="00203E93" w:rsidRDefault="00596A40" w:rsidP="00596A40">
            <w:pPr>
              <w:spacing w:line="240" w:lineRule="auto"/>
              <w:jc w:val="right"/>
              <w:rPr>
                <w:rFonts w:cs="Times New Roman"/>
                <w:color w:val="000000"/>
              </w:rPr>
            </w:pPr>
            <w:r w:rsidRPr="00203E93">
              <w:rPr>
                <w:rFonts w:cs="Times New Roman"/>
                <w:color w:val="000000"/>
              </w:rPr>
              <w:t>5734</w:t>
            </w:r>
          </w:p>
        </w:tc>
        <w:tc>
          <w:tcPr>
            <w:tcW w:w="576" w:type="dxa"/>
            <w:tcBorders>
              <w:top w:val="nil"/>
              <w:left w:val="nil"/>
              <w:bottom w:val="nil"/>
              <w:right w:val="nil"/>
            </w:tcBorders>
            <w:shd w:val="clear" w:color="auto" w:fill="auto"/>
            <w:vAlign w:val="bottom"/>
            <w:hideMark/>
          </w:tcPr>
          <w:p w14:paraId="3F39F853" w14:textId="77777777" w:rsidR="00596A40" w:rsidRPr="00203E93" w:rsidRDefault="00596A40" w:rsidP="00596A40">
            <w:pPr>
              <w:spacing w:line="240" w:lineRule="auto"/>
              <w:jc w:val="center"/>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2DF85867" w14:textId="77777777" w:rsidR="00596A40" w:rsidRPr="00203E93" w:rsidRDefault="00596A40" w:rsidP="00596A40">
            <w:pPr>
              <w:spacing w:line="240" w:lineRule="auto"/>
              <w:jc w:val="center"/>
              <w:rPr>
                <w:rFonts w:cs="Times New Roman"/>
                <w:color w:val="000000"/>
              </w:rPr>
            </w:pPr>
            <w:r w:rsidRPr="00203E93">
              <w:rPr>
                <w:rFonts w:cs="Times New Roman"/>
                <w:color w:val="000000"/>
              </w:rPr>
              <w:t>2%</w:t>
            </w:r>
          </w:p>
        </w:tc>
      </w:tr>
      <w:tr w:rsidR="00596A40" w:rsidRPr="00203E93" w14:paraId="24835F92" w14:textId="77777777" w:rsidTr="002B4489">
        <w:trPr>
          <w:trHeight w:val="405"/>
        </w:trPr>
        <w:tc>
          <w:tcPr>
            <w:tcW w:w="3016" w:type="dxa"/>
            <w:tcBorders>
              <w:top w:val="nil"/>
              <w:left w:val="nil"/>
              <w:bottom w:val="nil"/>
              <w:right w:val="nil"/>
            </w:tcBorders>
            <w:shd w:val="clear" w:color="auto" w:fill="auto"/>
            <w:noWrap/>
            <w:vAlign w:val="bottom"/>
            <w:hideMark/>
          </w:tcPr>
          <w:p w14:paraId="3D7F114D" w14:textId="77777777" w:rsidR="00596A40" w:rsidRPr="00203E93" w:rsidRDefault="00596A40" w:rsidP="00596A40">
            <w:pPr>
              <w:spacing w:line="240" w:lineRule="auto"/>
              <w:rPr>
                <w:rFonts w:cs="Times New Roman"/>
                <w:color w:val="000000"/>
              </w:rPr>
            </w:pPr>
            <w:r w:rsidRPr="00203E93">
              <w:rPr>
                <w:rFonts w:cs="Times New Roman"/>
                <w:color w:val="000000"/>
              </w:rPr>
              <w:t>SCA</w:t>
            </w:r>
          </w:p>
        </w:tc>
        <w:tc>
          <w:tcPr>
            <w:tcW w:w="731" w:type="dxa"/>
            <w:tcBorders>
              <w:top w:val="nil"/>
              <w:left w:val="nil"/>
              <w:bottom w:val="nil"/>
              <w:right w:val="nil"/>
            </w:tcBorders>
            <w:shd w:val="clear" w:color="auto" w:fill="auto"/>
            <w:vAlign w:val="bottom"/>
            <w:hideMark/>
          </w:tcPr>
          <w:p w14:paraId="4EC77B9B" w14:textId="77777777" w:rsidR="00596A40" w:rsidRPr="00203E93" w:rsidRDefault="00596A40" w:rsidP="00596A40">
            <w:pPr>
              <w:spacing w:line="240" w:lineRule="auto"/>
              <w:jc w:val="right"/>
              <w:rPr>
                <w:rFonts w:cs="Times New Roman"/>
                <w:color w:val="000000"/>
              </w:rPr>
            </w:pPr>
            <w:r w:rsidRPr="00203E93">
              <w:rPr>
                <w:rFonts w:cs="Times New Roman"/>
                <w:color w:val="000000"/>
              </w:rPr>
              <w:t>715</w:t>
            </w:r>
          </w:p>
        </w:tc>
        <w:tc>
          <w:tcPr>
            <w:tcW w:w="576" w:type="dxa"/>
            <w:gridSpan w:val="2"/>
            <w:tcBorders>
              <w:top w:val="nil"/>
              <w:left w:val="nil"/>
              <w:bottom w:val="nil"/>
              <w:right w:val="nil"/>
            </w:tcBorders>
            <w:shd w:val="clear" w:color="auto" w:fill="auto"/>
            <w:noWrap/>
            <w:vAlign w:val="bottom"/>
            <w:hideMark/>
          </w:tcPr>
          <w:p w14:paraId="55DDD1D5"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gridSpan w:val="2"/>
            <w:tcBorders>
              <w:top w:val="nil"/>
              <w:left w:val="nil"/>
              <w:bottom w:val="nil"/>
              <w:right w:val="nil"/>
            </w:tcBorders>
            <w:shd w:val="clear" w:color="auto" w:fill="auto"/>
            <w:vAlign w:val="bottom"/>
            <w:hideMark/>
          </w:tcPr>
          <w:p w14:paraId="39C7C121" w14:textId="77777777" w:rsidR="00596A40" w:rsidRPr="00203E93" w:rsidRDefault="00596A40" w:rsidP="00596A40">
            <w:pPr>
              <w:spacing w:line="240" w:lineRule="auto"/>
              <w:jc w:val="center"/>
              <w:rPr>
                <w:rFonts w:cs="Times New Roman"/>
                <w:color w:val="000000"/>
              </w:rPr>
            </w:pPr>
            <w:r w:rsidRPr="00203E93">
              <w:rPr>
                <w:rFonts w:cs="Times New Roman"/>
                <w:color w:val="000000"/>
              </w:rPr>
              <w:t>7%</w:t>
            </w:r>
          </w:p>
        </w:tc>
        <w:tc>
          <w:tcPr>
            <w:tcW w:w="966" w:type="dxa"/>
            <w:gridSpan w:val="2"/>
            <w:tcBorders>
              <w:top w:val="nil"/>
              <w:left w:val="nil"/>
              <w:bottom w:val="nil"/>
              <w:right w:val="nil"/>
            </w:tcBorders>
            <w:shd w:val="clear" w:color="auto" w:fill="auto"/>
            <w:vAlign w:val="bottom"/>
            <w:hideMark/>
          </w:tcPr>
          <w:p w14:paraId="3F48E648" w14:textId="77777777" w:rsidR="00596A40" w:rsidRPr="00203E93" w:rsidRDefault="00596A40" w:rsidP="00596A40">
            <w:pPr>
              <w:spacing w:line="240" w:lineRule="auto"/>
              <w:jc w:val="right"/>
              <w:rPr>
                <w:rFonts w:cs="Times New Roman"/>
                <w:color w:val="000000"/>
              </w:rPr>
            </w:pPr>
            <w:r w:rsidRPr="00203E93">
              <w:rPr>
                <w:rFonts w:cs="Times New Roman"/>
                <w:color w:val="000000"/>
              </w:rPr>
              <w:t>75145</w:t>
            </w:r>
          </w:p>
        </w:tc>
        <w:tc>
          <w:tcPr>
            <w:tcW w:w="576" w:type="dxa"/>
            <w:gridSpan w:val="2"/>
            <w:tcBorders>
              <w:top w:val="nil"/>
              <w:left w:val="nil"/>
              <w:bottom w:val="nil"/>
              <w:right w:val="nil"/>
            </w:tcBorders>
            <w:shd w:val="clear" w:color="auto" w:fill="auto"/>
            <w:noWrap/>
            <w:vAlign w:val="bottom"/>
            <w:hideMark/>
          </w:tcPr>
          <w:p w14:paraId="6AB72315"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gridSpan w:val="2"/>
            <w:tcBorders>
              <w:top w:val="nil"/>
              <w:left w:val="nil"/>
              <w:bottom w:val="nil"/>
              <w:right w:val="nil"/>
            </w:tcBorders>
            <w:shd w:val="clear" w:color="auto" w:fill="auto"/>
            <w:vAlign w:val="bottom"/>
            <w:hideMark/>
          </w:tcPr>
          <w:p w14:paraId="0EC9CF0C" w14:textId="77777777" w:rsidR="00596A40" w:rsidRPr="00203E93" w:rsidRDefault="00596A40" w:rsidP="00596A40">
            <w:pPr>
              <w:spacing w:line="240" w:lineRule="auto"/>
              <w:jc w:val="center"/>
              <w:rPr>
                <w:rFonts w:cs="Times New Roman"/>
                <w:color w:val="000000"/>
              </w:rPr>
            </w:pPr>
            <w:r w:rsidRPr="00203E93">
              <w:rPr>
                <w:rFonts w:cs="Times New Roman"/>
                <w:color w:val="000000"/>
              </w:rPr>
              <w:t>10%</w:t>
            </w:r>
          </w:p>
        </w:tc>
        <w:tc>
          <w:tcPr>
            <w:tcW w:w="958" w:type="dxa"/>
            <w:gridSpan w:val="2"/>
            <w:tcBorders>
              <w:top w:val="nil"/>
              <w:left w:val="nil"/>
              <w:bottom w:val="nil"/>
              <w:right w:val="nil"/>
            </w:tcBorders>
            <w:shd w:val="clear" w:color="auto" w:fill="auto"/>
            <w:vAlign w:val="bottom"/>
            <w:hideMark/>
          </w:tcPr>
          <w:p w14:paraId="6F18C0D8" w14:textId="77777777" w:rsidR="00596A40" w:rsidRPr="00203E93" w:rsidRDefault="00596A40" w:rsidP="00596A40">
            <w:pPr>
              <w:spacing w:line="240" w:lineRule="auto"/>
              <w:jc w:val="right"/>
              <w:rPr>
                <w:rFonts w:cs="Times New Roman"/>
                <w:color w:val="000000"/>
              </w:rPr>
            </w:pPr>
            <w:r w:rsidRPr="00203E93">
              <w:rPr>
                <w:rFonts w:cs="Times New Roman"/>
                <w:color w:val="000000"/>
              </w:rPr>
              <w:t>7367</w:t>
            </w:r>
          </w:p>
        </w:tc>
        <w:tc>
          <w:tcPr>
            <w:tcW w:w="576" w:type="dxa"/>
            <w:tcBorders>
              <w:top w:val="nil"/>
              <w:left w:val="nil"/>
              <w:bottom w:val="nil"/>
              <w:right w:val="nil"/>
            </w:tcBorders>
            <w:shd w:val="clear" w:color="auto" w:fill="auto"/>
            <w:noWrap/>
            <w:vAlign w:val="bottom"/>
            <w:hideMark/>
          </w:tcPr>
          <w:p w14:paraId="23AB153B"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755A4E86" w14:textId="77777777" w:rsidR="00596A40" w:rsidRPr="00203E93" w:rsidRDefault="00596A40" w:rsidP="00596A40">
            <w:pPr>
              <w:spacing w:line="240" w:lineRule="auto"/>
              <w:jc w:val="center"/>
              <w:rPr>
                <w:rFonts w:cs="Times New Roman"/>
                <w:color w:val="000000"/>
              </w:rPr>
            </w:pPr>
            <w:r w:rsidRPr="00203E93">
              <w:rPr>
                <w:rFonts w:cs="Times New Roman"/>
                <w:color w:val="000000"/>
              </w:rPr>
              <w:t>2%</w:t>
            </w:r>
          </w:p>
        </w:tc>
      </w:tr>
      <w:tr w:rsidR="00596A40" w:rsidRPr="00203E93" w14:paraId="6A51D71A" w14:textId="77777777" w:rsidTr="002B4489">
        <w:trPr>
          <w:trHeight w:val="420"/>
        </w:trPr>
        <w:tc>
          <w:tcPr>
            <w:tcW w:w="3016" w:type="dxa"/>
            <w:tcBorders>
              <w:top w:val="nil"/>
              <w:left w:val="nil"/>
              <w:bottom w:val="nil"/>
              <w:right w:val="nil"/>
            </w:tcBorders>
            <w:shd w:val="clear" w:color="auto" w:fill="auto"/>
            <w:noWrap/>
            <w:vAlign w:val="bottom"/>
            <w:hideMark/>
          </w:tcPr>
          <w:p w14:paraId="5EF6254D" w14:textId="77777777" w:rsidR="00596A40" w:rsidRPr="00203E93" w:rsidRDefault="00596A40" w:rsidP="00596A40">
            <w:pPr>
              <w:spacing w:line="240" w:lineRule="auto"/>
              <w:rPr>
                <w:rFonts w:cs="Times New Roman"/>
                <w:color w:val="000000"/>
              </w:rPr>
            </w:pPr>
            <w:r w:rsidRPr="00203E93">
              <w:rPr>
                <w:rFonts w:cs="Times New Roman"/>
                <w:color w:val="000000"/>
              </w:rPr>
              <w:t>GCA*Year</w:t>
            </w:r>
          </w:p>
        </w:tc>
        <w:tc>
          <w:tcPr>
            <w:tcW w:w="731" w:type="dxa"/>
            <w:tcBorders>
              <w:top w:val="nil"/>
              <w:left w:val="nil"/>
              <w:bottom w:val="nil"/>
              <w:right w:val="nil"/>
            </w:tcBorders>
            <w:shd w:val="clear" w:color="auto" w:fill="auto"/>
            <w:vAlign w:val="bottom"/>
            <w:hideMark/>
          </w:tcPr>
          <w:p w14:paraId="2401DCD5" w14:textId="77777777" w:rsidR="00596A40" w:rsidRPr="00203E93" w:rsidRDefault="00596A40" w:rsidP="00596A40">
            <w:pPr>
              <w:spacing w:line="240" w:lineRule="auto"/>
              <w:jc w:val="right"/>
              <w:rPr>
                <w:rFonts w:cs="Times New Roman"/>
                <w:color w:val="000000"/>
              </w:rPr>
            </w:pPr>
          </w:p>
        </w:tc>
        <w:tc>
          <w:tcPr>
            <w:tcW w:w="576" w:type="dxa"/>
            <w:gridSpan w:val="2"/>
            <w:tcBorders>
              <w:top w:val="nil"/>
              <w:left w:val="nil"/>
              <w:bottom w:val="nil"/>
              <w:right w:val="nil"/>
            </w:tcBorders>
            <w:shd w:val="clear" w:color="auto" w:fill="auto"/>
            <w:noWrap/>
            <w:vAlign w:val="bottom"/>
            <w:hideMark/>
          </w:tcPr>
          <w:p w14:paraId="76819365" w14:textId="77777777" w:rsidR="00596A40" w:rsidRPr="00203E93" w:rsidRDefault="00596A40" w:rsidP="00596A40">
            <w:pPr>
              <w:spacing w:line="240" w:lineRule="auto"/>
              <w:rPr>
                <w:rFonts w:cs="Times New Roman"/>
                <w:color w:val="000000"/>
              </w:rPr>
            </w:pPr>
          </w:p>
        </w:tc>
        <w:tc>
          <w:tcPr>
            <w:tcW w:w="656" w:type="dxa"/>
            <w:gridSpan w:val="2"/>
            <w:tcBorders>
              <w:top w:val="nil"/>
              <w:left w:val="nil"/>
              <w:bottom w:val="nil"/>
              <w:right w:val="nil"/>
            </w:tcBorders>
            <w:shd w:val="clear" w:color="auto" w:fill="auto"/>
            <w:vAlign w:val="bottom"/>
            <w:hideMark/>
          </w:tcPr>
          <w:p w14:paraId="6400767C" w14:textId="77777777" w:rsidR="00596A40" w:rsidRPr="00203E93" w:rsidRDefault="00596A40" w:rsidP="00596A40">
            <w:pPr>
              <w:spacing w:line="240" w:lineRule="auto"/>
              <w:jc w:val="center"/>
              <w:rPr>
                <w:rFonts w:cs="Times New Roman"/>
                <w:color w:val="000000"/>
              </w:rPr>
            </w:pPr>
          </w:p>
        </w:tc>
        <w:tc>
          <w:tcPr>
            <w:tcW w:w="966" w:type="dxa"/>
            <w:gridSpan w:val="2"/>
            <w:tcBorders>
              <w:top w:val="nil"/>
              <w:left w:val="nil"/>
              <w:bottom w:val="nil"/>
              <w:right w:val="nil"/>
            </w:tcBorders>
            <w:shd w:val="clear" w:color="auto" w:fill="auto"/>
            <w:vAlign w:val="bottom"/>
            <w:hideMark/>
          </w:tcPr>
          <w:p w14:paraId="00CE695D" w14:textId="77777777" w:rsidR="00596A40" w:rsidRPr="00203E93" w:rsidRDefault="00596A40" w:rsidP="00596A40">
            <w:pPr>
              <w:spacing w:line="240" w:lineRule="auto"/>
              <w:jc w:val="right"/>
              <w:rPr>
                <w:rFonts w:cs="Times New Roman"/>
                <w:color w:val="000000"/>
              </w:rPr>
            </w:pPr>
          </w:p>
        </w:tc>
        <w:tc>
          <w:tcPr>
            <w:tcW w:w="576" w:type="dxa"/>
            <w:gridSpan w:val="2"/>
            <w:tcBorders>
              <w:top w:val="nil"/>
              <w:left w:val="nil"/>
              <w:bottom w:val="nil"/>
              <w:right w:val="nil"/>
            </w:tcBorders>
            <w:shd w:val="clear" w:color="auto" w:fill="auto"/>
            <w:noWrap/>
            <w:vAlign w:val="bottom"/>
            <w:hideMark/>
          </w:tcPr>
          <w:p w14:paraId="09ACC0FF" w14:textId="77777777" w:rsidR="00596A40" w:rsidRPr="00203E93" w:rsidRDefault="00596A40" w:rsidP="00596A40">
            <w:pPr>
              <w:spacing w:line="240" w:lineRule="auto"/>
              <w:rPr>
                <w:rFonts w:cs="Times New Roman"/>
                <w:color w:val="000000"/>
              </w:rPr>
            </w:pPr>
          </w:p>
        </w:tc>
        <w:tc>
          <w:tcPr>
            <w:tcW w:w="656" w:type="dxa"/>
            <w:gridSpan w:val="2"/>
            <w:tcBorders>
              <w:top w:val="nil"/>
              <w:left w:val="nil"/>
              <w:bottom w:val="nil"/>
              <w:right w:val="nil"/>
            </w:tcBorders>
            <w:shd w:val="clear" w:color="auto" w:fill="auto"/>
            <w:vAlign w:val="bottom"/>
            <w:hideMark/>
          </w:tcPr>
          <w:p w14:paraId="4374B08F" w14:textId="77777777" w:rsidR="00596A40" w:rsidRPr="00203E93" w:rsidRDefault="00596A40" w:rsidP="00596A40">
            <w:pPr>
              <w:spacing w:line="240" w:lineRule="auto"/>
              <w:jc w:val="center"/>
              <w:rPr>
                <w:rFonts w:cs="Times New Roman"/>
                <w:color w:val="000000"/>
              </w:rPr>
            </w:pPr>
          </w:p>
        </w:tc>
        <w:tc>
          <w:tcPr>
            <w:tcW w:w="958" w:type="dxa"/>
            <w:gridSpan w:val="2"/>
            <w:tcBorders>
              <w:top w:val="nil"/>
              <w:left w:val="nil"/>
              <w:bottom w:val="nil"/>
              <w:right w:val="nil"/>
            </w:tcBorders>
            <w:shd w:val="clear" w:color="auto" w:fill="auto"/>
            <w:vAlign w:val="bottom"/>
            <w:hideMark/>
          </w:tcPr>
          <w:p w14:paraId="6EA62C95" w14:textId="77777777" w:rsidR="00596A40" w:rsidRPr="00203E93" w:rsidRDefault="00596A40" w:rsidP="00596A40">
            <w:pPr>
              <w:spacing w:line="240" w:lineRule="auto"/>
              <w:jc w:val="right"/>
              <w:rPr>
                <w:rFonts w:cs="Times New Roman"/>
                <w:color w:val="000000"/>
              </w:rPr>
            </w:pPr>
            <w:r w:rsidRPr="00203E93">
              <w:rPr>
                <w:rFonts w:cs="Times New Roman"/>
                <w:color w:val="000000"/>
              </w:rPr>
              <w:t>13648</w:t>
            </w:r>
          </w:p>
        </w:tc>
        <w:tc>
          <w:tcPr>
            <w:tcW w:w="576" w:type="dxa"/>
            <w:tcBorders>
              <w:top w:val="nil"/>
              <w:left w:val="nil"/>
              <w:bottom w:val="nil"/>
              <w:right w:val="nil"/>
            </w:tcBorders>
            <w:shd w:val="clear" w:color="auto" w:fill="auto"/>
            <w:noWrap/>
            <w:vAlign w:val="bottom"/>
            <w:hideMark/>
          </w:tcPr>
          <w:p w14:paraId="78095559"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191C360A" w14:textId="77777777" w:rsidR="00596A40" w:rsidRPr="00203E93" w:rsidRDefault="00596A40" w:rsidP="00596A40">
            <w:pPr>
              <w:spacing w:line="240" w:lineRule="auto"/>
              <w:jc w:val="center"/>
              <w:rPr>
                <w:rFonts w:cs="Times New Roman"/>
                <w:color w:val="000000"/>
              </w:rPr>
            </w:pPr>
            <w:r w:rsidRPr="00203E93">
              <w:rPr>
                <w:rFonts w:cs="Times New Roman"/>
                <w:color w:val="000000"/>
              </w:rPr>
              <w:t>4%</w:t>
            </w:r>
          </w:p>
        </w:tc>
      </w:tr>
      <w:tr w:rsidR="00B54912" w:rsidRPr="00203E93" w14:paraId="6576C9DA" w14:textId="77777777" w:rsidTr="002B4489">
        <w:trPr>
          <w:trHeight w:val="405"/>
        </w:trPr>
        <w:tc>
          <w:tcPr>
            <w:tcW w:w="3016" w:type="dxa"/>
            <w:tcBorders>
              <w:top w:val="nil"/>
              <w:left w:val="nil"/>
              <w:bottom w:val="nil"/>
              <w:right w:val="nil"/>
            </w:tcBorders>
            <w:shd w:val="clear" w:color="auto" w:fill="auto"/>
            <w:noWrap/>
            <w:vAlign w:val="bottom"/>
            <w:hideMark/>
          </w:tcPr>
          <w:p w14:paraId="60B5E67F" w14:textId="77777777" w:rsidR="00B54912" w:rsidRPr="00203E93" w:rsidRDefault="00B54912" w:rsidP="00596A40">
            <w:pPr>
              <w:spacing w:line="240" w:lineRule="auto"/>
              <w:rPr>
                <w:rFonts w:cs="Times New Roman"/>
                <w:color w:val="000000"/>
              </w:rPr>
            </w:pPr>
            <w:r w:rsidRPr="00203E93">
              <w:rPr>
                <w:rFonts w:cs="Times New Roman"/>
                <w:color w:val="000000"/>
              </w:rPr>
              <w:t>SCA*Year</w:t>
            </w:r>
          </w:p>
        </w:tc>
        <w:tc>
          <w:tcPr>
            <w:tcW w:w="731" w:type="dxa"/>
            <w:tcBorders>
              <w:top w:val="nil"/>
              <w:left w:val="nil"/>
              <w:bottom w:val="nil"/>
              <w:right w:val="nil"/>
            </w:tcBorders>
            <w:shd w:val="clear" w:color="auto" w:fill="auto"/>
            <w:vAlign w:val="bottom"/>
            <w:hideMark/>
          </w:tcPr>
          <w:p w14:paraId="3D587F1D" w14:textId="77777777" w:rsidR="00B54912" w:rsidRPr="00203E93" w:rsidRDefault="00B54912" w:rsidP="00596A40">
            <w:pPr>
              <w:spacing w:line="240" w:lineRule="auto"/>
              <w:jc w:val="right"/>
              <w:rPr>
                <w:rFonts w:cs="Times New Roman"/>
                <w:color w:val="000000"/>
              </w:rPr>
            </w:pPr>
          </w:p>
        </w:tc>
        <w:tc>
          <w:tcPr>
            <w:tcW w:w="576" w:type="dxa"/>
            <w:gridSpan w:val="2"/>
            <w:tcBorders>
              <w:top w:val="nil"/>
              <w:left w:val="nil"/>
              <w:bottom w:val="nil"/>
              <w:right w:val="nil"/>
            </w:tcBorders>
            <w:shd w:val="clear" w:color="auto" w:fill="auto"/>
            <w:noWrap/>
            <w:vAlign w:val="bottom"/>
            <w:hideMark/>
          </w:tcPr>
          <w:p w14:paraId="0711415F" w14:textId="77777777" w:rsidR="00B54912" w:rsidRPr="00203E93" w:rsidRDefault="00B54912" w:rsidP="00596A40">
            <w:pPr>
              <w:spacing w:line="240" w:lineRule="auto"/>
              <w:rPr>
                <w:rFonts w:cs="Times New Roman"/>
                <w:color w:val="000000"/>
              </w:rPr>
            </w:pPr>
          </w:p>
        </w:tc>
        <w:tc>
          <w:tcPr>
            <w:tcW w:w="656" w:type="dxa"/>
            <w:gridSpan w:val="2"/>
            <w:tcBorders>
              <w:top w:val="nil"/>
              <w:left w:val="nil"/>
              <w:bottom w:val="nil"/>
              <w:right w:val="nil"/>
            </w:tcBorders>
            <w:shd w:val="clear" w:color="auto" w:fill="auto"/>
            <w:vAlign w:val="bottom"/>
            <w:hideMark/>
          </w:tcPr>
          <w:p w14:paraId="3C059814" w14:textId="77777777" w:rsidR="00B54912" w:rsidRPr="00203E93" w:rsidRDefault="00B54912" w:rsidP="00596A40">
            <w:pPr>
              <w:spacing w:line="240" w:lineRule="auto"/>
              <w:jc w:val="center"/>
              <w:rPr>
                <w:rFonts w:cs="Times New Roman"/>
                <w:color w:val="000000"/>
              </w:rPr>
            </w:pPr>
          </w:p>
        </w:tc>
        <w:tc>
          <w:tcPr>
            <w:tcW w:w="966" w:type="dxa"/>
            <w:gridSpan w:val="2"/>
            <w:tcBorders>
              <w:top w:val="nil"/>
              <w:left w:val="nil"/>
              <w:bottom w:val="nil"/>
              <w:right w:val="nil"/>
            </w:tcBorders>
            <w:shd w:val="clear" w:color="auto" w:fill="auto"/>
            <w:vAlign w:val="bottom"/>
            <w:hideMark/>
          </w:tcPr>
          <w:p w14:paraId="3DA80471" w14:textId="77777777" w:rsidR="00B54912" w:rsidRPr="00203E93" w:rsidRDefault="00B54912" w:rsidP="00596A40">
            <w:pPr>
              <w:spacing w:line="240" w:lineRule="auto"/>
              <w:jc w:val="right"/>
              <w:rPr>
                <w:rFonts w:cs="Times New Roman"/>
                <w:color w:val="000000"/>
              </w:rPr>
            </w:pPr>
          </w:p>
        </w:tc>
        <w:tc>
          <w:tcPr>
            <w:tcW w:w="576" w:type="dxa"/>
            <w:gridSpan w:val="2"/>
            <w:tcBorders>
              <w:top w:val="nil"/>
              <w:left w:val="nil"/>
              <w:bottom w:val="nil"/>
              <w:right w:val="nil"/>
            </w:tcBorders>
            <w:shd w:val="clear" w:color="auto" w:fill="auto"/>
            <w:noWrap/>
            <w:vAlign w:val="bottom"/>
            <w:hideMark/>
          </w:tcPr>
          <w:p w14:paraId="71BF4055" w14:textId="77777777" w:rsidR="00B54912" w:rsidRPr="00203E93" w:rsidRDefault="00B54912" w:rsidP="00596A40">
            <w:pPr>
              <w:spacing w:line="240" w:lineRule="auto"/>
              <w:rPr>
                <w:rFonts w:cs="Times New Roman"/>
                <w:color w:val="000000"/>
              </w:rPr>
            </w:pPr>
          </w:p>
        </w:tc>
        <w:tc>
          <w:tcPr>
            <w:tcW w:w="656" w:type="dxa"/>
            <w:gridSpan w:val="2"/>
            <w:tcBorders>
              <w:top w:val="nil"/>
              <w:left w:val="nil"/>
              <w:bottom w:val="nil"/>
              <w:right w:val="nil"/>
            </w:tcBorders>
            <w:shd w:val="clear" w:color="auto" w:fill="auto"/>
            <w:vAlign w:val="bottom"/>
            <w:hideMark/>
          </w:tcPr>
          <w:p w14:paraId="5114028D" w14:textId="77777777" w:rsidR="00B54912" w:rsidRPr="00203E93" w:rsidRDefault="00B54912" w:rsidP="00596A40">
            <w:pPr>
              <w:spacing w:line="240" w:lineRule="auto"/>
              <w:jc w:val="center"/>
              <w:rPr>
                <w:rFonts w:cs="Times New Roman"/>
                <w:color w:val="000000"/>
              </w:rPr>
            </w:pPr>
          </w:p>
        </w:tc>
        <w:tc>
          <w:tcPr>
            <w:tcW w:w="958" w:type="dxa"/>
            <w:gridSpan w:val="2"/>
            <w:tcBorders>
              <w:top w:val="nil"/>
              <w:left w:val="nil"/>
              <w:bottom w:val="nil"/>
              <w:right w:val="nil"/>
            </w:tcBorders>
            <w:shd w:val="clear" w:color="auto" w:fill="auto"/>
            <w:vAlign w:val="bottom"/>
            <w:hideMark/>
          </w:tcPr>
          <w:p w14:paraId="07B2B6DD" w14:textId="77777777" w:rsidR="00B54912" w:rsidRPr="00203E93" w:rsidRDefault="00B54912" w:rsidP="00596A40">
            <w:pPr>
              <w:spacing w:line="240" w:lineRule="auto"/>
              <w:jc w:val="right"/>
              <w:rPr>
                <w:rFonts w:cs="Times New Roman"/>
                <w:color w:val="000000"/>
              </w:rPr>
            </w:pPr>
            <w:r w:rsidRPr="00203E93">
              <w:rPr>
                <w:rFonts w:cs="Times New Roman"/>
                <w:color w:val="000000"/>
              </w:rPr>
              <w:t>30428</w:t>
            </w:r>
          </w:p>
        </w:tc>
        <w:tc>
          <w:tcPr>
            <w:tcW w:w="576" w:type="dxa"/>
            <w:tcBorders>
              <w:top w:val="nil"/>
              <w:left w:val="nil"/>
              <w:bottom w:val="nil"/>
              <w:right w:val="nil"/>
            </w:tcBorders>
            <w:shd w:val="clear" w:color="auto" w:fill="auto"/>
            <w:noWrap/>
            <w:vAlign w:val="bottom"/>
            <w:hideMark/>
          </w:tcPr>
          <w:p w14:paraId="6E1DF561" w14:textId="77777777" w:rsidR="00B54912" w:rsidRPr="00203E93" w:rsidRDefault="00B54912"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nil"/>
              <w:right w:val="nil"/>
            </w:tcBorders>
            <w:shd w:val="clear" w:color="auto" w:fill="auto"/>
            <w:vAlign w:val="bottom"/>
            <w:hideMark/>
          </w:tcPr>
          <w:p w14:paraId="0E5B73D1" w14:textId="77777777" w:rsidR="00B54912" w:rsidRPr="00203E93" w:rsidRDefault="00B54912" w:rsidP="00596A40">
            <w:pPr>
              <w:spacing w:line="240" w:lineRule="auto"/>
              <w:jc w:val="center"/>
              <w:rPr>
                <w:rFonts w:cs="Times New Roman"/>
                <w:color w:val="000000"/>
              </w:rPr>
            </w:pPr>
            <w:r w:rsidRPr="00203E93">
              <w:rPr>
                <w:rFonts w:cs="Times New Roman"/>
                <w:color w:val="000000"/>
              </w:rPr>
              <w:t>8%</w:t>
            </w:r>
          </w:p>
        </w:tc>
      </w:tr>
      <w:tr w:rsidR="00B54912" w:rsidRPr="00203E93" w14:paraId="4657AD03" w14:textId="77777777" w:rsidTr="002B4489">
        <w:trPr>
          <w:trHeight w:val="420"/>
        </w:trPr>
        <w:tc>
          <w:tcPr>
            <w:tcW w:w="3016" w:type="dxa"/>
            <w:tcBorders>
              <w:top w:val="nil"/>
              <w:left w:val="nil"/>
              <w:bottom w:val="nil"/>
              <w:right w:val="nil"/>
            </w:tcBorders>
            <w:shd w:val="clear" w:color="auto" w:fill="auto"/>
            <w:noWrap/>
            <w:vAlign w:val="bottom"/>
            <w:hideMark/>
          </w:tcPr>
          <w:p w14:paraId="192AA17D" w14:textId="77777777" w:rsidR="00B54912" w:rsidRPr="00203E93" w:rsidRDefault="00B54912" w:rsidP="00596A40">
            <w:pPr>
              <w:spacing w:line="240" w:lineRule="auto"/>
              <w:rPr>
                <w:rFonts w:cs="Times New Roman"/>
                <w:color w:val="000000"/>
              </w:rPr>
            </w:pPr>
            <w:r w:rsidRPr="00203E93">
              <w:rPr>
                <w:rFonts w:cs="Times New Roman"/>
                <w:color w:val="000000"/>
              </w:rPr>
              <w:t>SCA*Block(Location)</w:t>
            </w:r>
          </w:p>
        </w:tc>
        <w:tc>
          <w:tcPr>
            <w:tcW w:w="731" w:type="dxa"/>
            <w:tcBorders>
              <w:top w:val="nil"/>
              <w:left w:val="nil"/>
              <w:bottom w:val="nil"/>
              <w:right w:val="nil"/>
            </w:tcBorders>
            <w:shd w:val="clear" w:color="auto" w:fill="auto"/>
            <w:vAlign w:val="bottom"/>
            <w:hideMark/>
          </w:tcPr>
          <w:p w14:paraId="13820477" w14:textId="77777777" w:rsidR="00B54912" w:rsidRPr="00203E93" w:rsidRDefault="00B54912" w:rsidP="00596A40">
            <w:pPr>
              <w:spacing w:line="240" w:lineRule="auto"/>
              <w:jc w:val="right"/>
              <w:rPr>
                <w:rFonts w:cs="Times New Roman"/>
                <w:color w:val="000000"/>
              </w:rPr>
            </w:pPr>
            <w:r w:rsidRPr="00203E93">
              <w:rPr>
                <w:rFonts w:cs="Times New Roman"/>
                <w:color w:val="000000"/>
              </w:rPr>
              <w:t>0</w:t>
            </w:r>
          </w:p>
        </w:tc>
        <w:tc>
          <w:tcPr>
            <w:tcW w:w="576" w:type="dxa"/>
            <w:gridSpan w:val="2"/>
            <w:tcBorders>
              <w:top w:val="nil"/>
              <w:left w:val="nil"/>
              <w:bottom w:val="nil"/>
              <w:right w:val="nil"/>
            </w:tcBorders>
            <w:shd w:val="clear" w:color="auto" w:fill="auto"/>
            <w:noWrap/>
            <w:vAlign w:val="bottom"/>
            <w:hideMark/>
          </w:tcPr>
          <w:p w14:paraId="7DF20AB7" w14:textId="77777777" w:rsidR="00B54912" w:rsidRPr="00203E93" w:rsidRDefault="00B54912" w:rsidP="00596A40">
            <w:pPr>
              <w:spacing w:line="240" w:lineRule="auto"/>
              <w:rPr>
                <w:rFonts w:cs="Times New Roman"/>
                <w:color w:val="000000"/>
              </w:rPr>
            </w:pPr>
            <w:r w:rsidRPr="00203E93">
              <w:rPr>
                <w:rFonts w:cs="Times New Roman"/>
                <w:color w:val="000000"/>
              </w:rPr>
              <w:t xml:space="preserve"> </w:t>
            </w:r>
          </w:p>
        </w:tc>
        <w:tc>
          <w:tcPr>
            <w:tcW w:w="656" w:type="dxa"/>
            <w:gridSpan w:val="2"/>
            <w:tcBorders>
              <w:top w:val="nil"/>
              <w:left w:val="nil"/>
              <w:bottom w:val="nil"/>
              <w:right w:val="nil"/>
            </w:tcBorders>
            <w:shd w:val="clear" w:color="auto" w:fill="auto"/>
            <w:vAlign w:val="bottom"/>
            <w:hideMark/>
          </w:tcPr>
          <w:p w14:paraId="4992053E" w14:textId="77777777" w:rsidR="00B54912" w:rsidRPr="00203E93" w:rsidRDefault="00B54912" w:rsidP="00596A40">
            <w:pPr>
              <w:spacing w:line="240" w:lineRule="auto"/>
              <w:jc w:val="center"/>
              <w:rPr>
                <w:rFonts w:cs="Times New Roman"/>
                <w:color w:val="000000"/>
              </w:rPr>
            </w:pPr>
            <w:r w:rsidRPr="00203E93">
              <w:rPr>
                <w:rFonts w:cs="Times New Roman"/>
                <w:color w:val="000000"/>
              </w:rPr>
              <w:t>0%</w:t>
            </w:r>
          </w:p>
        </w:tc>
        <w:tc>
          <w:tcPr>
            <w:tcW w:w="966" w:type="dxa"/>
            <w:gridSpan w:val="2"/>
            <w:tcBorders>
              <w:top w:val="nil"/>
              <w:left w:val="nil"/>
              <w:bottom w:val="nil"/>
              <w:right w:val="nil"/>
            </w:tcBorders>
            <w:shd w:val="clear" w:color="auto" w:fill="auto"/>
            <w:vAlign w:val="bottom"/>
            <w:hideMark/>
          </w:tcPr>
          <w:p w14:paraId="01DFF19F" w14:textId="77777777" w:rsidR="00B54912" w:rsidRPr="00203E93" w:rsidRDefault="00B54912" w:rsidP="00596A40">
            <w:pPr>
              <w:spacing w:line="240" w:lineRule="auto"/>
              <w:jc w:val="right"/>
              <w:rPr>
                <w:rFonts w:cs="Times New Roman"/>
                <w:color w:val="000000"/>
              </w:rPr>
            </w:pPr>
            <w:r w:rsidRPr="00203E93">
              <w:rPr>
                <w:rFonts w:cs="Times New Roman"/>
                <w:color w:val="000000"/>
              </w:rPr>
              <w:t>13999</w:t>
            </w:r>
          </w:p>
        </w:tc>
        <w:tc>
          <w:tcPr>
            <w:tcW w:w="576" w:type="dxa"/>
            <w:gridSpan w:val="2"/>
            <w:tcBorders>
              <w:top w:val="nil"/>
              <w:left w:val="nil"/>
              <w:bottom w:val="nil"/>
              <w:right w:val="nil"/>
            </w:tcBorders>
            <w:shd w:val="clear" w:color="auto" w:fill="auto"/>
            <w:noWrap/>
            <w:vAlign w:val="bottom"/>
            <w:hideMark/>
          </w:tcPr>
          <w:p w14:paraId="074508ED" w14:textId="77777777" w:rsidR="00B54912" w:rsidRPr="00203E93" w:rsidRDefault="00B54912" w:rsidP="00596A40">
            <w:pPr>
              <w:spacing w:line="240" w:lineRule="auto"/>
              <w:rPr>
                <w:rFonts w:cs="Times New Roman"/>
                <w:color w:val="000000"/>
              </w:rPr>
            </w:pPr>
            <w:r w:rsidRPr="00203E93">
              <w:rPr>
                <w:rFonts w:cs="Times New Roman"/>
                <w:color w:val="000000"/>
              </w:rPr>
              <w:t xml:space="preserve"> </w:t>
            </w:r>
          </w:p>
        </w:tc>
        <w:tc>
          <w:tcPr>
            <w:tcW w:w="656" w:type="dxa"/>
            <w:gridSpan w:val="2"/>
            <w:tcBorders>
              <w:top w:val="nil"/>
              <w:left w:val="nil"/>
              <w:bottom w:val="nil"/>
              <w:right w:val="nil"/>
            </w:tcBorders>
            <w:shd w:val="clear" w:color="auto" w:fill="auto"/>
            <w:vAlign w:val="bottom"/>
            <w:hideMark/>
          </w:tcPr>
          <w:p w14:paraId="7E742D5C" w14:textId="77777777" w:rsidR="00B54912" w:rsidRPr="00203E93" w:rsidRDefault="00B54912" w:rsidP="00596A40">
            <w:pPr>
              <w:spacing w:line="240" w:lineRule="auto"/>
              <w:jc w:val="center"/>
              <w:rPr>
                <w:rFonts w:cs="Times New Roman"/>
                <w:color w:val="000000"/>
              </w:rPr>
            </w:pPr>
            <w:r w:rsidRPr="00203E93">
              <w:rPr>
                <w:rFonts w:cs="Times New Roman"/>
                <w:color w:val="000000"/>
              </w:rPr>
              <w:t>2%</w:t>
            </w:r>
          </w:p>
        </w:tc>
        <w:tc>
          <w:tcPr>
            <w:tcW w:w="958" w:type="dxa"/>
            <w:gridSpan w:val="2"/>
            <w:tcBorders>
              <w:top w:val="nil"/>
              <w:left w:val="nil"/>
              <w:bottom w:val="nil"/>
              <w:right w:val="nil"/>
            </w:tcBorders>
            <w:shd w:val="clear" w:color="auto" w:fill="auto"/>
            <w:vAlign w:val="bottom"/>
            <w:hideMark/>
          </w:tcPr>
          <w:p w14:paraId="49FD1B46" w14:textId="77777777" w:rsidR="00B54912" w:rsidRPr="00203E93" w:rsidRDefault="00B54912" w:rsidP="00596A40">
            <w:pPr>
              <w:spacing w:line="240" w:lineRule="auto"/>
              <w:jc w:val="right"/>
              <w:rPr>
                <w:rFonts w:cs="Times New Roman"/>
                <w:color w:val="000000"/>
              </w:rPr>
            </w:pPr>
            <w:r w:rsidRPr="00203E93">
              <w:rPr>
                <w:rFonts w:cs="Times New Roman"/>
                <w:color w:val="000000"/>
              </w:rPr>
              <w:t>10023</w:t>
            </w:r>
          </w:p>
        </w:tc>
        <w:tc>
          <w:tcPr>
            <w:tcW w:w="576" w:type="dxa"/>
            <w:tcBorders>
              <w:top w:val="nil"/>
              <w:left w:val="nil"/>
              <w:bottom w:val="nil"/>
              <w:right w:val="nil"/>
            </w:tcBorders>
            <w:shd w:val="clear" w:color="auto" w:fill="auto"/>
            <w:noWrap/>
            <w:vAlign w:val="bottom"/>
            <w:hideMark/>
          </w:tcPr>
          <w:p w14:paraId="0E0C168A" w14:textId="77777777" w:rsidR="00B54912" w:rsidRPr="00203E93" w:rsidRDefault="00B54912"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nil"/>
              <w:right w:val="nil"/>
            </w:tcBorders>
            <w:shd w:val="clear" w:color="auto" w:fill="auto"/>
            <w:vAlign w:val="bottom"/>
            <w:hideMark/>
          </w:tcPr>
          <w:p w14:paraId="00C951E7" w14:textId="77777777" w:rsidR="00B54912" w:rsidRPr="00203E93" w:rsidRDefault="00B54912" w:rsidP="00596A40">
            <w:pPr>
              <w:spacing w:line="240" w:lineRule="auto"/>
              <w:jc w:val="center"/>
              <w:rPr>
                <w:rFonts w:cs="Times New Roman"/>
                <w:color w:val="000000"/>
              </w:rPr>
            </w:pPr>
            <w:r w:rsidRPr="00203E93">
              <w:rPr>
                <w:rFonts w:cs="Times New Roman"/>
                <w:color w:val="000000"/>
              </w:rPr>
              <w:t>3%</w:t>
            </w:r>
          </w:p>
        </w:tc>
      </w:tr>
      <w:tr w:rsidR="00B54912" w:rsidRPr="00203E93" w14:paraId="5D547728" w14:textId="77777777" w:rsidTr="002B4489">
        <w:trPr>
          <w:trHeight w:val="315"/>
        </w:trPr>
        <w:tc>
          <w:tcPr>
            <w:tcW w:w="3016" w:type="dxa"/>
            <w:tcBorders>
              <w:top w:val="nil"/>
              <w:left w:val="nil"/>
              <w:bottom w:val="single" w:sz="8" w:space="0" w:color="auto"/>
              <w:right w:val="nil"/>
            </w:tcBorders>
            <w:shd w:val="clear" w:color="auto" w:fill="auto"/>
            <w:noWrap/>
            <w:vAlign w:val="bottom"/>
            <w:hideMark/>
          </w:tcPr>
          <w:p w14:paraId="2C95185F" w14:textId="77777777" w:rsidR="00B54912" w:rsidRPr="00203E93" w:rsidRDefault="00B54912" w:rsidP="00596A40">
            <w:pPr>
              <w:spacing w:line="240" w:lineRule="auto"/>
              <w:rPr>
                <w:rFonts w:cs="Times New Roman"/>
                <w:color w:val="000000"/>
              </w:rPr>
            </w:pPr>
            <w:r w:rsidRPr="00203E93">
              <w:rPr>
                <w:rFonts w:cs="Times New Roman"/>
                <w:color w:val="000000"/>
              </w:rPr>
              <w:t>Residual</w:t>
            </w:r>
          </w:p>
        </w:tc>
        <w:tc>
          <w:tcPr>
            <w:tcW w:w="731" w:type="dxa"/>
            <w:tcBorders>
              <w:top w:val="nil"/>
              <w:left w:val="nil"/>
              <w:bottom w:val="single" w:sz="8" w:space="0" w:color="auto"/>
              <w:right w:val="nil"/>
            </w:tcBorders>
            <w:shd w:val="clear" w:color="auto" w:fill="auto"/>
            <w:vAlign w:val="bottom"/>
            <w:hideMark/>
          </w:tcPr>
          <w:p w14:paraId="6ED4B001" w14:textId="77777777" w:rsidR="00B54912" w:rsidRPr="00203E93" w:rsidRDefault="00B54912" w:rsidP="00596A40">
            <w:pPr>
              <w:spacing w:line="240" w:lineRule="auto"/>
              <w:jc w:val="right"/>
              <w:rPr>
                <w:rFonts w:cs="Times New Roman"/>
                <w:color w:val="000000"/>
              </w:rPr>
            </w:pPr>
            <w:r w:rsidRPr="00203E93">
              <w:rPr>
                <w:rFonts w:cs="Times New Roman"/>
                <w:color w:val="000000"/>
              </w:rPr>
              <w:t>8490</w:t>
            </w:r>
          </w:p>
        </w:tc>
        <w:tc>
          <w:tcPr>
            <w:tcW w:w="576" w:type="dxa"/>
            <w:gridSpan w:val="2"/>
            <w:tcBorders>
              <w:top w:val="nil"/>
              <w:left w:val="nil"/>
              <w:bottom w:val="single" w:sz="8" w:space="0" w:color="auto"/>
              <w:right w:val="nil"/>
            </w:tcBorders>
            <w:shd w:val="clear" w:color="auto" w:fill="auto"/>
            <w:noWrap/>
            <w:vAlign w:val="bottom"/>
            <w:hideMark/>
          </w:tcPr>
          <w:p w14:paraId="7070F8BE" w14:textId="77777777" w:rsidR="00B54912" w:rsidRPr="00203E93" w:rsidRDefault="00B54912" w:rsidP="00596A40">
            <w:pPr>
              <w:spacing w:line="240" w:lineRule="auto"/>
              <w:rPr>
                <w:rFonts w:cs="Times New Roman"/>
                <w:color w:val="000000"/>
              </w:rPr>
            </w:pPr>
            <w:r w:rsidRPr="00203E93">
              <w:rPr>
                <w:rFonts w:cs="Times New Roman"/>
                <w:color w:val="000000"/>
              </w:rPr>
              <w:t>***</w:t>
            </w:r>
          </w:p>
        </w:tc>
        <w:tc>
          <w:tcPr>
            <w:tcW w:w="656" w:type="dxa"/>
            <w:gridSpan w:val="2"/>
            <w:tcBorders>
              <w:top w:val="nil"/>
              <w:left w:val="nil"/>
              <w:bottom w:val="single" w:sz="8" w:space="0" w:color="auto"/>
              <w:right w:val="nil"/>
            </w:tcBorders>
            <w:shd w:val="clear" w:color="auto" w:fill="auto"/>
            <w:vAlign w:val="bottom"/>
            <w:hideMark/>
          </w:tcPr>
          <w:p w14:paraId="39037DE5" w14:textId="77777777" w:rsidR="00B54912" w:rsidRPr="00203E93" w:rsidRDefault="00B54912" w:rsidP="00596A40">
            <w:pPr>
              <w:spacing w:line="240" w:lineRule="auto"/>
              <w:jc w:val="center"/>
              <w:rPr>
                <w:rFonts w:cs="Times New Roman"/>
                <w:color w:val="000000"/>
              </w:rPr>
            </w:pPr>
            <w:r w:rsidRPr="00203E93">
              <w:rPr>
                <w:rFonts w:cs="Times New Roman"/>
                <w:color w:val="000000"/>
              </w:rPr>
              <w:t>89%</w:t>
            </w:r>
          </w:p>
        </w:tc>
        <w:tc>
          <w:tcPr>
            <w:tcW w:w="966" w:type="dxa"/>
            <w:gridSpan w:val="2"/>
            <w:tcBorders>
              <w:top w:val="nil"/>
              <w:left w:val="nil"/>
              <w:bottom w:val="single" w:sz="8" w:space="0" w:color="auto"/>
              <w:right w:val="nil"/>
            </w:tcBorders>
            <w:shd w:val="clear" w:color="auto" w:fill="auto"/>
            <w:vAlign w:val="bottom"/>
            <w:hideMark/>
          </w:tcPr>
          <w:p w14:paraId="5601912F" w14:textId="77777777" w:rsidR="00B54912" w:rsidRPr="00203E93" w:rsidRDefault="00B54912" w:rsidP="00596A40">
            <w:pPr>
              <w:spacing w:line="240" w:lineRule="auto"/>
              <w:jc w:val="right"/>
              <w:rPr>
                <w:rFonts w:cs="Times New Roman"/>
                <w:color w:val="000000"/>
              </w:rPr>
            </w:pPr>
            <w:r w:rsidRPr="00203E93">
              <w:rPr>
                <w:rFonts w:cs="Times New Roman"/>
                <w:color w:val="000000"/>
              </w:rPr>
              <w:t>640991</w:t>
            </w:r>
          </w:p>
        </w:tc>
        <w:tc>
          <w:tcPr>
            <w:tcW w:w="576" w:type="dxa"/>
            <w:gridSpan w:val="2"/>
            <w:tcBorders>
              <w:top w:val="nil"/>
              <w:left w:val="nil"/>
              <w:bottom w:val="single" w:sz="8" w:space="0" w:color="auto"/>
              <w:right w:val="nil"/>
            </w:tcBorders>
            <w:shd w:val="clear" w:color="auto" w:fill="auto"/>
            <w:noWrap/>
            <w:vAlign w:val="bottom"/>
            <w:hideMark/>
          </w:tcPr>
          <w:p w14:paraId="152B8D7F" w14:textId="77777777" w:rsidR="00B54912" w:rsidRPr="00203E93" w:rsidRDefault="00B54912" w:rsidP="00596A40">
            <w:pPr>
              <w:spacing w:line="240" w:lineRule="auto"/>
              <w:rPr>
                <w:rFonts w:cs="Times New Roman"/>
                <w:color w:val="000000"/>
              </w:rPr>
            </w:pPr>
            <w:r w:rsidRPr="00203E93">
              <w:rPr>
                <w:rFonts w:cs="Times New Roman"/>
                <w:color w:val="000000"/>
              </w:rPr>
              <w:t>***</w:t>
            </w:r>
          </w:p>
        </w:tc>
        <w:tc>
          <w:tcPr>
            <w:tcW w:w="656" w:type="dxa"/>
            <w:gridSpan w:val="2"/>
            <w:tcBorders>
              <w:top w:val="nil"/>
              <w:left w:val="nil"/>
              <w:bottom w:val="single" w:sz="8" w:space="0" w:color="auto"/>
              <w:right w:val="nil"/>
            </w:tcBorders>
            <w:shd w:val="clear" w:color="auto" w:fill="auto"/>
            <w:vAlign w:val="bottom"/>
            <w:hideMark/>
          </w:tcPr>
          <w:p w14:paraId="42DFF74F" w14:textId="77777777" w:rsidR="00B54912" w:rsidRPr="00203E93" w:rsidRDefault="00B54912" w:rsidP="00596A40">
            <w:pPr>
              <w:spacing w:line="240" w:lineRule="auto"/>
              <w:jc w:val="center"/>
              <w:rPr>
                <w:rFonts w:cs="Times New Roman"/>
                <w:color w:val="000000"/>
              </w:rPr>
            </w:pPr>
            <w:r w:rsidRPr="00203E93">
              <w:rPr>
                <w:rFonts w:cs="Times New Roman"/>
                <w:color w:val="000000"/>
              </w:rPr>
              <w:t>84%</w:t>
            </w:r>
          </w:p>
        </w:tc>
        <w:tc>
          <w:tcPr>
            <w:tcW w:w="958" w:type="dxa"/>
            <w:gridSpan w:val="2"/>
            <w:tcBorders>
              <w:top w:val="nil"/>
              <w:left w:val="nil"/>
              <w:bottom w:val="single" w:sz="8" w:space="0" w:color="auto"/>
              <w:right w:val="nil"/>
            </w:tcBorders>
            <w:shd w:val="clear" w:color="auto" w:fill="auto"/>
            <w:vAlign w:val="bottom"/>
            <w:hideMark/>
          </w:tcPr>
          <w:p w14:paraId="251F780E" w14:textId="77777777" w:rsidR="00B54912" w:rsidRPr="00203E93" w:rsidRDefault="00B54912" w:rsidP="00596A40">
            <w:pPr>
              <w:spacing w:line="240" w:lineRule="auto"/>
              <w:jc w:val="right"/>
              <w:rPr>
                <w:rFonts w:cs="Times New Roman"/>
                <w:color w:val="000000"/>
              </w:rPr>
            </w:pPr>
            <w:r w:rsidRPr="00203E93">
              <w:rPr>
                <w:rFonts w:cs="Times New Roman"/>
                <w:color w:val="000000"/>
              </w:rPr>
              <w:t>308101</w:t>
            </w:r>
          </w:p>
        </w:tc>
        <w:tc>
          <w:tcPr>
            <w:tcW w:w="576" w:type="dxa"/>
            <w:tcBorders>
              <w:top w:val="nil"/>
              <w:left w:val="nil"/>
              <w:bottom w:val="single" w:sz="8" w:space="0" w:color="auto"/>
              <w:right w:val="nil"/>
            </w:tcBorders>
            <w:shd w:val="clear" w:color="auto" w:fill="auto"/>
            <w:noWrap/>
            <w:vAlign w:val="bottom"/>
            <w:hideMark/>
          </w:tcPr>
          <w:p w14:paraId="434D6935" w14:textId="77777777" w:rsidR="00B54912" w:rsidRPr="00203E93" w:rsidRDefault="00B54912"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single" w:sz="8" w:space="0" w:color="auto"/>
              <w:right w:val="nil"/>
            </w:tcBorders>
            <w:shd w:val="clear" w:color="auto" w:fill="auto"/>
            <w:vAlign w:val="bottom"/>
            <w:hideMark/>
          </w:tcPr>
          <w:p w14:paraId="0BC9F1F8" w14:textId="77777777" w:rsidR="00B54912" w:rsidRPr="00203E93" w:rsidRDefault="00B54912" w:rsidP="00596A40">
            <w:pPr>
              <w:spacing w:line="240" w:lineRule="auto"/>
              <w:jc w:val="center"/>
              <w:rPr>
                <w:rFonts w:cs="Times New Roman"/>
                <w:color w:val="000000"/>
              </w:rPr>
            </w:pPr>
            <w:r w:rsidRPr="00203E93">
              <w:rPr>
                <w:rFonts w:cs="Times New Roman"/>
                <w:color w:val="000000"/>
              </w:rPr>
              <w:t>82%</w:t>
            </w:r>
          </w:p>
        </w:tc>
      </w:tr>
      <w:tr w:rsidR="00596A40" w:rsidRPr="00203E93" w14:paraId="74800283" w14:textId="77777777" w:rsidTr="002B4489">
        <w:trPr>
          <w:trHeight w:val="315"/>
        </w:trPr>
        <w:tc>
          <w:tcPr>
            <w:tcW w:w="3016" w:type="dxa"/>
            <w:tcBorders>
              <w:top w:val="single" w:sz="8" w:space="0" w:color="auto"/>
              <w:left w:val="nil"/>
              <w:bottom w:val="nil"/>
              <w:right w:val="nil"/>
            </w:tcBorders>
            <w:shd w:val="clear" w:color="auto" w:fill="auto"/>
            <w:noWrap/>
            <w:vAlign w:val="bottom"/>
            <w:hideMark/>
          </w:tcPr>
          <w:p w14:paraId="0C6C1EFD" w14:textId="77777777" w:rsidR="00596A40" w:rsidRPr="00203E93" w:rsidRDefault="00596A40" w:rsidP="00596A40">
            <w:pPr>
              <w:spacing w:line="240" w:lineRule="auto"/>
              <w:rPr>
                <w:rFonts w:cs="Times New Roman"/>
                <w:color w:val="000000"/>
              </w:rPr>
            </w:pPr>
            <w:r w:rsidRPr="00203E93">
              <w:rPr>
                <w:rFonts w:cs="Times New Roman"/>
                <w:color w:val="000000"/>
              </w:rPr>
              <w:t> </w:t>
            </w:r>
          </w:p>
        </w:tc>
        <w:tc>
          <w:tcPr>
            <w:tcW w:w="6350" w:type="dxa"/>
            <w:gridSpan w:val="15"/>
            <w:tcBorders>
              <w:top w:val="single" w:sz="8" w:space="0" w:color="auto"/>
              <w:left w:val="nil"/>
              <w:bottom w:val="single" w:sz="4" w:space="0" w:color="auto"/>
              <w:right w:val="nil"/>
            </w:tcBorders>
            <w:shd w:val="clear" w:color="auto" w:fill="auto"/>
            <w:noWrap/>
            <w:vAlign w:val="bottom"/>
            <w:hideMark/>
          </w:tcPr>
          <w:p w14:paraId="2AED8124" w14:textId="6A801829" w:rsidR="00596A40" w:rsidRPr="00C30849" w:rsidRDefault="00596A40" w:rsidP="009D15AB">
            <w:pPr>
              <w:spacing w:line="240" w:lineRule="auto"/>
              <w:jc w:val="center"/>
              <w:rPr>
                <w:rFonts w:cs="Times New Roman"/>
                <w:color w:val="000000"/>
              </w:rPr>
            </w:pPr>
            <w:r>
              <w:rPr>
                <w:rFonts w:cs="Times New Roman"/>
                <w:color w:val="000000"/>
              </w:rPr>
              <w:t xml:space="preserve">Predicted Ethanol Yield </w:t>
            </w:r>
          </w:p>
        </w:tc>
      </w:tr>
      <w:tr w:rsidR="00596A40" w:rsidRPr="00203E93" w14:paraId="03588261" w14:textId="77777777" w:rsidTr="002B4489">
        <w:trPr>
          <w:trHeight w:val="330"/>
        </w:trPr>
        <w:tc>
          <w:tcPr>
            <w:tcW w:w="3016" w:type="dxa"/>
            <w:tcBorders>
              <w:top w:val="nil"/>
              <w:left w:val="nil"/>
              <w:bottom w:val="single" w:sz="8" w:space="0" w:color="auto"/>
              <w:right w:val="nil"/>
            </w:tcBorders>
            <w:shd w:val="clear" w:color="auto" w:fill="auto"/>
            <w:vAlign w:val="bottom"/>
            <w:hideMark/>
          </w:tcPr>
          <w:p w14:paraId="6DED63E2" w14:textId="77777777" w:rsidR="00596A40" w:rsidRPr="00203E93" w:rsidRDefault="00596A40" w:rsidP="00596A40">
            <w:pPr>
              <w:spacing w:line="240" w:lineRule="auto"/>
              <w:rPr>
                <w:rFonts w:cs="Times New Roman"/>
                <w:color w:val="000000"/>
              </w:rPr>
            </w:pPr>
            <w:r w:rsidRPr="00203E93">
              <w:rPr>
                <w:rFonts w:cs="Times New Roman"/>
                <w:color w:val="000000"/>
              </w:rPr>
              <w:t>Source of Variation</w:t>
            </w:r>
          </w:p>
        </w:tc>
        <w:tc>
          <w:tcPr>
            <w:tcW w:w="2192" w:type="dxa"/>
            <w:gridSpan w:val="6"/>
            <w:tcBorders>
              <w:top w:val="nil"/>
              <w:left w:val="nil"/>
              <w:bottom w:val="single" w:sz="8" w:space="0" w:color="auto"/>
              <w:right w:val="nil"/>
            </w:tcBorders>
            <w:shd w:val="clear" w:color="auto" w:fill="auto"/>
            <w:vAlign w:val="bottom"/>
            <w:hideMark/>
          </w:tcPr>
          <w:p w14:paraId="471DBE87" w14:textId="77777777" w:rsidR="00596A40" w:rsidRPr="00203E93" w:rsidRDefault="00596A40" w:rsidP="00596A40">
            <w:pPr>
              <w:spacing w:line="240" w:lineRule="auto"/>
              <w:jc w:val="center"/>
              <w:rPr>
                <w:rFonts w:cs="Times New Roman"/>
                <w:color w:val="000000"/>
              </w:rPr>
            </w:pPr>
            <w:r w:rsidRPr="00203E93">
              <w:rPr>
                <w:rFonts w:cs="Times New Roman"/>
                <w:color w:val="000000"/>
              </w:rPr>
              <w:t>2012</w:t>
            </w:r>
          </w:p>
        </w:tc>
        <w:tc>
          <w:tcPr>
            <w:tcW w:w="2108" w:type="dxa"/>
            <w:gridSpan w:val="6"/>
            <w:tcBorders>
              <w:top w:val="nil"/>
              <w:left w:val="nil"/>
              <w:bottom w:val="single" w:sz="8" w:space="0" w:color="auto"/>
              <w:right w:val="nil"/>
            </w:tcBorders>
            <w:shd w:val="clear" w:color="auto" w:fill="auto"/>
            <w:vAlign w:val="bottom"/>
            <w:hideMark/>
          </w:tcPr>
          <w:p w14:paraId="5B230A65" w14:textId="77777777" w:rsidR="00596A40" w:rsidRPr="00203E93" w:rsidRDefault="00596A40" w:rsidP="00596A40">
            <w:pPr>
              <w:spacing w:line="240" w:lineRule="auto"/>
              <w:jc w:val="center"/>
              <w:rPr>
                <w:rFonts w:cs="Times New Roman"/>
                <w:color w:val="000000"/>
              </w:rPr>
            </w:pPr>
            <w:r w:rsidRPr="00203E93">
              <w:rPr>
                <w:rFonts w:cs="Times New Roman"/>
                <w:color w:val="000000"/>
              </w:rPr>
              <w:t>2013</w:t>
            </w:r>
          </w:p>
        </w:tc>
        <w:tc>
          <w:tcPr>
            <w:tcW w:w="2050" w:type="dxa"/>
            <w:gridSpan w:val="3"/>
            <w:tcBorders>
              <w:top w:val="nil"/>
              <w:left w:val="nil"/>
              <w:bottom w:val="single" w:sz="8" w:space="0" w:color="auto"/>
              <w:right w:val="nil"/>
            </w:tcBorders>
            <w:shd w:val="clear" w:color="auto" w:fill="auto"/>
            <w:vAlign w:val="bottom"/>
            <w:hideMark/>
          </w:tcPr>
          <w:p w14:paraId="6A52BE39" w14:textId="77777777" w:rsidR="00596A40" w:rsidRPr="00203E93" w:rsidRDefault="00596A40" w:rsidP="00596A40">
            <w:pPr>
              <w:spacing w:line="240" w:lineRule="auto"/>
              <w:jc w:val="center"/>
              <w:rPr>
                <w:rFonts w:cs="Times New Roman"/>
                <w:color w:val="000000"/>
              </w:rPr>
            </w:pPr>
            <w:r w:rsidRPr="00203E93">
              <w:rPr>
                <w:rFonts w:cs="Times New Roman"/>
                <w:color w:val="000000"/>
              </w:rPr>
              <w:t>Combined</w:t>
            </w:r>
          </w:p>
        </w:tc>
      </w:tr>
      <w:tr w:rsidR="00596A40" w:rsidRPr="00203E93" w14:paraId="1B95B35B" w14:textId="77777777" w:rsidTr="002B4489">
        <w:trPr>
          <w:trHeight w:val="405"/>
        </w:trPr>
        <w:tc>
          <w:tcPr>
            <w:tcW w:w="3016" w:type="dxa"/>
            <w:tcBorders>
              <w:top w:val="nil"/>
              <w:left w:val="nil"/>
              <w:bottom w:val="nil"/>
              <w:right w:val="nil"/>
            </w:tcBorders>
            <w:shd w:val="clear" w:color="auto" w:fill="auto"/>
            <w:noWrap/>
            <w:vAlign w:val="bottom"/>
            <w:hideMark/>
          </w:tcPr>
          <w:p w14:paraId="758E6567" w14:textId="77777777" w:rsidR="00596A40" w:rsidRPr="00203E93" w:rsidRDefault="00596A40" w:rsidP="00596A40">
            <w:pPr>
              <w:spacing w:line="240" w:lineRule="auto"/>
              <w:rPr>
                <w:rFonts w:cs="Times New Roman"/>
                <w:color w:val="000000"/>
              </w:rPr>
            </w:pPr>
            <w:r w:rsidRPr="00203E93">
              <w:rPr>
                <w:rFonts w:cs="Times New Roman"/>
                <w:color w:val="000000"/>
              </w:rPr>
              <w:t>GCA</w:t>
            </w:r>
          </w:p>
        </w:tc>
        <w:tc>
          <w:tcPr>
            <w:tcW w:w="960" w:type="dxa"/>
            <w:gridSpan w:val="2"/>
            <w:tcBorders>
              <w:top w:val="nil"/>
              <w:left w:val="nil"/>
              <w:bottom w:val="nil"/>
              <w:right w:val="nil"/>
            </w:tcBorders>
            <w:shd w:val="clear" w:color="auto" w:fill="auto"/>
            <w:vAlign w:val="bottom"/>
            <w:hideMark/>
          </w:tcPr>
          <w:p w14:paraId="72D51A06" w14:textId="77777777" w:rsidR="00596A40" w:rsidRPr="00203E93" w:rsidRDefault="00596A40" w:rsidP="00596A40">
            <w:pPr>
              <w:spacing w:line="240" w:lineRule="auto"/>
              <w:jc w:val="right"/>
              <w:rPr>
                <w:rFonts w:cs="Times New Roman"/>
                <w:color w:val="000000"/>
              </w:rPr>
            </w:pPr>
            <w:r w:rsidRPr="00203E93">
              <w:rPr>
                <w:rFonts w:cs="Times New Roman"/>
                <w:color w:val="000000"/>
              </w:rPr>
              <w:t>2.9</w:t>
            </w:r>
          </w:p>
        </w:tc>
        <w:tc>
          <w:tcPr>
            <w:tcW w:w="576" w:type="dxa"/>
            <w:gridSpan w:val="2"/>
            <w:tcBorders>
              <w:top w:val="nil"/>
              <w:left w:val="nil"/>
              <w:bottom w:val="nil"/>
              <w:right w:val="nil"/>
            </w:tcBorders>
            <w:shd w:val="clear" w:color="auto" w:fill="auto"/>
            <w:noWrap/>
            <w:vAlign w:val="bottom"/>
            <w:hideMark/>
          </w:tcPr>
          <w:p w14:paraId="745450E3"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gridSpan w:val="2"/>
            <w:tcBorders>
              <w:top w:val="nil"/>
              <w:left w:val="nil"/>
              <w:bottom w:val="nil"/>
              <w:right w:val="nil"/>
            </w:tcBorders>
            <w:shd w:val="clear" w:color="auto" w:fill="auto"/>
            <w:vAlign w:val="bottom"/>
            <w:hideMark/>
          </w:tcPr>
          <w:p w14:paraId="61B00647" w14:textId="77777777" w:rsidR="00596A40" w:rsidRPr="00203E93" w:rsidRDefault="00596A40" w:rsidP="00596A40">
            <w:pPr>
              <w:spacing w:line="240" w:lineRule="auto"/>
              <w:jc w:val="center"/>
              <w:rPr>
                <w:rFonts w:cs="Times New Roman"/>
                <w:color w:val="000000"/>
              </w:rPr>
            </w:pPr>
            <w:r w:rsidRPr="00203E93">
              <w:rPr>
                <w:rFonts w:cs="Times New Roman"/>
                <w:color w:val="000000"/>
              </w:rPr>
              <w:t>6%</w:t>
            </w:r>
          </w:p>
        </w:tc>
        <w:tc>
          <w:tcPr>
            <w:tcW w:w="876" w:type="dxa"/>
            <w:gridSpan w:val="2"/>
            <w:tcBorders>
              <w:top w:val="nil"/>
              <w:left w:val="nil"/>
              <w:bottom w:val="nil"/>
              <w:right w:val="nil"/>
            </w:tcBorders>
            <w:shd w:val="clear" w:color="auto" w:fill="auto"/>
            <w:vAlign w:val="bottom"/>
            <w:hideMark/>
          </w:tcPr>
          <w:p w14:paraId="38EDCEB3" w14:textId="77777777" w:rsidR="00596A40" w:rsidRPr="00203E93" w:rsidRDefault="00596A40" w:rsidP="00596A40">
            <w:pPr>
              <w:spacing w:line="240" w:lineRule="auto"/>
              <w:jc w:val="right"/>
              <w:rPr>
                <w:rFonts w:cs="Times New Roman"/>
                <w:color w:val="000000"/>
              </w:rPr>
            </w:pPr>
            <w:r w:rsidRPr="00203E93">
              <w:rPr>
                <w:rFonts w:cs="Times New Roman"/>
                <w:color w:val="000000"/>
              </w:rPr>
              <w:t>3.0</w:t>
            </w:r>
          </w:p>
        </w:tc>
        <w:tc>
          <w:tcPr>
            <w:tcW w:w="576" w:type="dxa"/>
            <w:gridSpan w:val="2"/>
            <w:tcBorders>
              <w:top w:val="nil"/>
              <w:left w:val="nil"/>
              <w:bottom w:val="nil"/>
              <w:right w:val="nil"/>
            </w:tcBorders>
            <w:shd w:val="clear" w:color="auto" w:fill="auto"/>
            <w:noWrap/>
            <w:vAlign w:val="bottom"/>
            <w:hideMark/>
          </w:tcPr>
          <w:p w14:paraId="161F7B00"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gridSpan w:val="2"/>
            <w:tcBorders>
              <w:top w:val="nil"/>
              <w:left w:val="nil"/>
              <w:bottom w:val="nil"/>
              <w:right w:val="nil"/>
            </w:tcBorders>
            <w:shd w:val="clear" w:color="auto" w:fill="auto"/>
            <w:vAlign w:val="bottom"/>
            <w:hideMark/>
          </w:tcPr>
          <w:p w14:paraId="50BE7DE6" w14:textId="77777777" w:rsidR="00596A40" w:rsidRPr="00203E93" w:rsidRDefault="00596A40" w:rsidP="00596A40">
            <w:pPr>
              <w:spacing w:line="240" w:lineRule="auto"/>
              <w:jc w:val="center"/>
              <w:rPr>
                <w:rFonts w:cs="Times New Roman"/>
                <w:color w:val="000000"/>
              </w:rPr>
            </w:pPr>
            <w:r w:rsidRPr="00203E93">
              <w:rPr>
                <w:rFonts w:cs="Times New Roman"/>
                <w:color w:val="000000"/>
              </w:rPr>
              <w:t>14%</w:t>
            </w:r>
          </w:p>
        </w:tc>
        <w:tc>
          <w:tcPr>
            <w:tcW w:w="818" w:type="dxa"/>
            <w:tcBorders>
              <w:top w:val="nil"/>
              <w:left w:val="nil"/>
              <w:bottom w:val="nil"/>
              <w:right w:val="nil"/>
            </w:tcBorders>
            <w:shd w:val="clear" w:color="auto" w:fill="auto"/>
            <w:vAlign w:val="bottom"/>
            <w:hideMark/>
          </w:tcPr>
          <w:p w14:paraId="36F0C4A9" w14:textId="77777777" w:rsidR="00596A40" w:rsidRPr="00203E93" w:rsidRDefault="00596A40" w:rsidP="00596A40">
            <w:pPr>
              <w:spacing w:line="240" w:lineRule="auto"/>
              <w:jc w:val="right"/>
              <w:rPr>
                <w:rFonts w:cs="Times New Roman"/>
                <w:color w:val="000000"/>
              </w:rPr>
            </w:pPr>
            <w:r w:rsidRPr="00203E93">
              <w:rPr>
                <w:rFonts w:cs="Times New Roman"/>
                <w:color w:val="000000"/>
              </w:rPr>
              <w:t>0.2</w:t>
            </w:r>
          </w:p>
        </w:tc>
        <w:tc>
          <w:tcPr>
            <w:tcW w:w="576" w:type="dxa"/>
            <w:tcBorders>
              <w:top w:val="nil"/>
              <w:left w:val="nil"/>
              <w:bottom w:val="nil"/>
              <w:right w:val="nil"/>
            </w:tcBorders>
            <w:shd w:val="clear" w:color="auto" w:fill="auto"/>
            <w:noWrap/>
            <w:vAlign w:val="bottom"/>
            <w:hideMark/>
          </w:tcPr>
          <w:p w14:paraId="4DB554A5"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407D2232" w14:textId="77777777" w:rsidR="00596A40" w:rsidRPr="00203E93" w:rsidRDefault="00596A40" w:rsidP="00596A40">
            <w:pPr>
              <w:spacing w:line="240" w:lineRule="auto"/>
              <w:jc w:val="center"/>
              <w:rPr>
                <w:rFonts w:cs="Times New Roman"/>
                <w:color w:val="000000"/>
              </w:rPr>
            </w:pPr>
            <w:r w:rsidRPr="00203E93">
              <w:rPr>
                <w:rFonts w:cs="Times New Roman"/>
                <w:color w:val="000000"/>
              </w:rPr>
              <w:t>1%</w:t>
            </w:r>
          </w:p>
        </w:tc>
      </w:tr>
      <w:tr w:rsidR="00596A40" w:rsidRPr="00203E93" w14:paraId="761268AF" w14:textId="77777777" w:rsidTr="002B4489">
        <w:trPr>
          <w:trHeight w:val="405"/>
        </w:trPr>
        <w:tc>
          <w:tcPr>
            <w:tcW w:w="3016" w:type="dxa"/>
            <w:tcBorders>
              <w:top w:val="nil"/>
              <w:left w:val="nil"/>
              <w:bottom w:val="nil"/>
              <w:right w:val="nil"/>
            </w:tcBorders>
            <w:shd w:val="clear" w:color="auto" w:fill="auto"/>
            <w:noWrap/>
            <w:vAlign w:val="bottom"/>
            <w:hideMark/>
          </w:tcPr>
          <w:p w14:paraId="590E5FB5" w14:textId="77777777" w:rsidR="00596A40" w:rsidRPr="00203E93" w:rsidRDefault="00596A40" w:rsidP="00596A40">
            <w:pPr>
              <w:spacing w:line="240" w:lineRule="auto"/>
              <w:rPr>
                <w:rFonts w:cs="Times New Roman"/>
                <w:color w:val="000000"/>
              </w:rPr>
            </w:pPr>
            <w:r w:rsidRPr="00203E93">
              <w:rPr>
                <w:rFonts w:cs="Times New Roman"/>
                <w:color w:val="000000"/>
              </w:rPr>
              <w:t>SCA</w:t>
            </w:r>
          </w:p>
        </w:tc>
        <w:tc>
          <w:tcPr>
            <w:tcW w:w="960" w:type="dxa"/>
            <w:gridSpan w:val="2"/>
            <w:tcBorders>
              <w:top w:val="nil"/>
              <w:left w:val="nil"/>
              <w:bottom w:val="nil"/>
              <w:right w:val="nil"/>
            </w:tcBorders>
            <w:shd w:val="clear" w:color="auto" w:fill="auto"/>
            <w:vAlign w:val="bottom"/>
            <w:hideMark/>
          </w:tcPr>
          <w:p w14:paraId="177A7EB2" w14:textId="77777777" w:rsidR="00596A40" w:rsidRPr="00203E93" w:rsidRDefault="00596A40" w:rsidP="00596A40">
            <w:pPr>
              <w:spacing w:line="240" w:lineRule="auto"/>
              <w:jc w:val="right"/>
              <w:rPr>
                <w:rFonts w:cs="Times New Roman"/>
                <w:color w:val="000000"/>
              </w:rPr>
            </w:pPr>
            <w:r w:rsidRPr="00203E93">
              <w:rPr>
                <w:rFonts w:cs="Times New Roman"/>
                <w:color w:val="000000"/>
              </w:rPr>
              <w:t>3.5</w:t>
            </w:r>
          </w:p>
        </w:tc>
        <w:tc>
          <w:tcPr>
            <w:tcW w:w="576" w:type="dxa"/>
            <w:gridSpan w:val="2"/>
            <w:tcBorders>
              <w:top w:val="nil"/>
              <w:left w:val="nil"/>
              <w:bottom w:val="nil"/>
              <w:right w:val="nil"/>
            </w:tcBorders>
            <w:shd w:val="clear" w:color="auto" w:fill="auto"/>
            <w:noWrap/>
            <w:vAlign w:val="bottom"/>
            <w:hideMark/>
          </w:tcPr>
          <w:p w14:paraId="515B2145"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gridSpan w:val="2"/>
            <w:tcBorders>
              <w:top w:val="nil"/>
              <w:left w:val="nil"/>
              <w:bottom w:val="nil"/>
              <w:right w:val="nil"/>
            </w:tcBorders>
            <w:shd w:val="clear" w:color="auto" w:fill="auto"/>
            <w:vAlign w:val="bottom"/>
            <w:hideMark/>
          </w:tcPr>
          <w:p w14:paraId="30182D28" w14:textId="77777777" w:rsidR="00596A40" w:rsidRPr="00203E93" w:rsidRDefault="00596A40" w:rsidP="00596A40">
            <w:pPr>
              <w:spacing w:line="240" w:lineRule="auto"/>
              <w:jc w:val="center"/>
              <w:rPr>
                <w:rFonts w:cs="Times New Roman"/>
                <w:color w:val="000000"/>
              </w:rPr>
            </w:pPr>
            <w:r w:rsidRPr="00203E93">
              <w:rPr>
                <w:rFonts w:cs="Times New Roman"/>
                <w:color w:val="000000"/>
              </w:rPr>
              <w:t>7%</w:t>
            </w:r>
          </w:p>
        </w:tc>
        <w:tc>
          <w:tcPr>
            <w:tcW w:w="876" w:type="dxa"/>
            <w:gridSpan w:val="2"/>
            <w:tcBorders>
              <w:top w:val="nil"/>
              <w:left w:val="nil"/>
              <w:bottom w:val="nil"/>
              <w:right w:val="nil"/>
            </w:tcBorders>
            <w:shd w:val="clear" w:color="auto" w:fill="auto"/>
            <w:vAlign w:val="bottom"/>
            <w:hideMark/>
          </w:tcPr>
          <w:p w14:paraId="2A89303F" w14:textId="77777777" w:rsidR="00596A40" w:rsidRPr="00203E93" w:rsidRDefault="00596A40" w:rsidP="00596A40">
            <w:pPr>
              <w:spacing w:line="240" w:lineRule="auto"/>
              <w:jc w:val="right"/>
              <w:rPr>
                <w:rFonts w:cs="Times New Roman"/>
                <w:color w:val="000000"/>
              </w:rPr>
            </w:pPr>
            <w:r w:rsidRPr="00203E93">
              <w:rPr>
                <w:rFonts w:cs="Times New Roman"/>
                <w:color w:val="000000"/>
              </w:rPr>
              <w:t>1.1</w:t>
            </w:r>
          </w:p>
        </w:tc>
        <w:tc>
          <w:tcPr>
            <w:tcW w:w="576" w:type="dxa"/>
            <w:gridSpan w:val="2"/>
            <w:tcBorders>
              <w:top w:val="nil"/>
              <w:left w:val="nil"/>
              <w:bottom w:val="nil"/>
              <w:right w:val="nil"/>
            </w:tcBorders>
            <w:shd w:val="clear" w:color="auto" w:fill="auto"/>
            <w:noWrap/>
            <w:vAlign w:val="bottom"/>
            <w:hideMark/>
          </w:tcPr>
          <w:p w14:paraId="6C0CBD1F"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gridSpan w:val="2"/>
            <w:tcBorders>
              <w:top w:val="nil"/>
              <w:left w:val="nil"/>
              <w:bottom w:val="nil"/>
              <w:right w:val="nil"/>
            </w:tcBorders>
            <w:shd w:val="clear" w:color="auto" w:fill="auto"/>
            <w:vAlign w:val="bottom"/>
            <w:hideMark/>
          </w:tcPr>
          <w:p w14:paraId="3FC03F1B" w14:textId="77777777" w:rsidR="00596A40" w:rsidRPr="00203E93" w:rsidRDefault="00596A40" w:rsidP="00596A40">
            <w:pPr>
              <w:spacing w:line="240" w:lineRule="auto"/>
              <w:jc w:val="center"/>
              <w:rPr>
                <w:rFonts w:cs="Times New Roman"/>
                <w:color w:val="000000"/>
              </w:rPr>
            </w:pPr>
            <w:r w:rsidRPr="00203E93">
              <w:rPr>
                <w:rFonts w:cs="Times New Roman"/>
                <w:color w:val="000000"/>
              </w:rPr>
              <w:t>5%</w:t>
            </w:r>
          </w:p>
        </w:tc>
        <w:tc>
          <w:tcPr>
            <w:tcW w:w="818" w:type="dxa"/>
            <w:tcBorders>
              <w:top w:val="nil"/>
              <w:left w:val="nil"/>
              <w:bottom w:val="nil"/>
              <w:right w:val="nil"/>
            </w:tcBorders>
            <w:shd w:val="clear" w:color="auto" w:fill="auto"/>
            <w:vAlign w:val="bottom"/>
            <w:hideMark/>
          </w:tcPr>
          <w:p w14:paraId="4D41B790" w14:textId="77777777" w:rsidR="00596A40" w:rsidRPr="00203E93" w:rsidRDefault="00596A40" w:rsidP="00596A40">
            <w:pPr>
              <w:spacing w:line="240" w:lineRule="auto"/>
              <w:jc w:val="right"/>
              <w:rPr>
                <w:rFonts w:cs="Times New Roman"/>
                <w:color w:val="000000"/>
              </w:rPr>
            </w:pPr>
            <w:r w:rsidRPr="00203E93">
              <w:rPr>
                <w:rFonts w:cs="Times New Roman"/>
                <w:color w:val="000000"/>
              </w:rPr>
              <w:t>0.7</w:t>
            </w:r>
          </w:p>
        </w:tc>
        <w:tc>
          <w:tcPr>
            <w:tcW w:w="576" w:type="dxa"/>
            <w:tcBorders>
              <w:top w:val="nil"/>
              <w:left w:val="nil"/>
              <w:bottom w:val="nil"/>
              <w:right w:val="nil"/>
            </w:tcBorders>
            <w:shd w:val="clear" w:color="auto" w:fill="auto"/>
            <w:noWrap/>
            <w:vAlign w:val="bottom"/>
            <w:hideMark/>
          </w:tcPr>
          <w:p w14:paraId="6D2BF776"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4AC15623" w14:textId="77777777" w:rsidR="00596A40" w:rsidRPr="00203E93" w:rsidRDefault="00596A40" w:rsidP="00596A40">
            <w:pPr>
              <w:spacing w:line="240" w:lineRule="auto"/>
              <w:jc w:val="center"/>
              <w:rPr>
                <w:rFonts w:cs="Times New Roman"/>
                <w:color w:val="000000"/>
              </w:rPr>
            </w:pPr>
            <w:r w:rsidRPr="00203E93">
              <w:rPr>
                <w:rFonts w:cs="Times New Roman"/>
                <w:color w:val="000000"/>
              </w:rPr>
              <w:t>2%</w:t>
            </w:r>
          </w:p>
        </w:tc>
      </w:tr>
      <w:tr w:rsidR="00596A40" w:rsidRPr="00203E93" w14:paraId="59F815E4" w14:textId="77777777" w:rsidTr="002B4489">
        <w:trPr>
          <w:trHeight w:val="420"/>
        </w:trPr>
        <w:tc>
          <w:tcPr>
            <w:tcW w:w="3016" w:type="dxa"/>
            <w:tcBorders>
              <w:top w:val="nil"/>
              <w:left w:val="nil"/>
              <w:bottom w:val="nil"/>
              <w:right w:val="nil"/>
            </w:tcBorders>
            <w:shd w:val="clear" w:color="auto" w:fill="auto"/>
            <w:noWrap/>
            <w:vAlign w:val="bottom"/>
            <w:hideMark/>
          </w:tcPr>
          <w:p w14:paraId="3B46F7F6" w14:textId="77777777" w:rsidR="00596A40" w:rsidRPr="00203E93" w:rsidRDefault="00596A40" w:rsidP="00596A40">
            <w:pPr>
              <w:spacing w:line="240" w:lineRule="auto"/>
              <w:rPr>
                <w:rFonts w:cs="Times New Roman"/>
                <w:color w:val="000000"/>
              </w:rPr>
            </w:pPr>
            <w:r w:rsidRPr="00203E93">
              <w:rPr>
                <w:rFonts w:cs="Times New Roman"/>
                <w:color w:val="000000"/>
              </w:rPr>
              <w:t>GCA*Year</w:t>
            </w:r>
          </w:p>
        </w:tc>
        <w:tc>
          <w:tcPr>
            <w:tcW w:w="960" w:type="dxa"/>
            <w:gridSpan w:val="2"/>
            <w:tcBorders>
              <w:top w:val="nil"/>
              <w:left w:val="nil"/>
              <w:bottom w:val="nil"/>
              <w:right w:val="nil"/>
            </w:tcBorders>
            <w:shd w:val="clear" w:color="auto" w:fill="auto"/>
            <w:vAlign w:val="bottom"/>
            <w:hideMark/>
          </w:tcPr>
          <w:p w14:paraId="2CA371E8" w14:textId="77777777" w:rsidR="00596A40" w:rsidRPr="00203E93" w:rsidRDefault="00596A40" w:rsidP="00596A40">
            <w:pPr>
              <w:spacing w:line="240" w:lineRule="auto"/>
              <w:jc w:val="right"/>
              <w:rPr>
                <w:rFonts w:cs="Times New Roman"/>
                <w:color w:val="000000"/>
              </w:rPr>
            </w:pPr>
          </w:p>
        </w:tc>
        <w:tc>
          <w:tcPr>
            <w:tcW w:w="576" w:type="dxa"/>
            <w:gridSpan w:val="2"/>
            <w:tcBorders>
              <w:top w:val="nil"/>
              <w:left w:val="nil"/>
              <w:bottom w:val="nil"/>
              <w:right w:val="nil"/>
            </w:tcBorders>
            <w:shd w:val="clear" w:color="auto" w:fill="auto"/>
            <w:noWrap/>
            <w:vAlign w:val="bottom"/>
            <w:hideMark/>
          </w:tcPr>
          <w:p w14:paraId="1555AD72" w14:textId="77777777" w:rsidR="00596A40" w:rsidRPr="00203E93" w:rsidRDefault="00596A40" w:rsidP="00596A40">
            <w:pPr>
              <w:spacing w:line="240" w:lineRule="auto"/>
              <w:rPr>
                <w:rFonts w:cs="Times New Roman"/>
                <w:color w:val="000000"/>
              </w:rPr>
            </w:pPr>
          </w:p>
        </w:tc>
        <w:tc>
          <w:tcPr>
            <w:tcW w:w="656" w:type="dxa"/>
            <w:gridSpan w:val="2"/>
            <w:tcBorders>
              <w:top w:val="nil"/>
              <w:left w:val="nil"/>
              <w:bottom w:val="nil"/>
              <w:right w:val="nil"/>
            </w:tcBorders>
            <w:shd w:val="clear" w:color="auto" w:fill="auto"/>
            <w:vAlign w:val="bottom"/>
            <w:hideMark/>
          </w:tcPr>
          <w:p w14:paraId="12EBB1ED" w14:textId="77777777" w:rsidR="00596A40" w:rsidRPr="00203E93" w:rsidRDefault="00596A40" w:rsidP="00596A40">
            <w:pPr>
              <w:spacing w:line="240" w:lineRule="auto"/>
              <w:jc w:val="center"/>
              <w:rPr>
                <w:rFonts w:cs="Times New Roman"/>
                <w:color w:val="000000"/>
              </w:rPr>
            </w:pPr>
          </w:p>
        </w:tc>
        <w:tc>
          <w:tcPr>
            <w:tcW w:w="876" w:type="dxa"/>
            <w:gridSpan w:val="2"/>
            <w:tcBorders>
              <w:top w:val="nil"/>
              <w:left w:val="nil"/>
              <w:bottom w:val="nil"/>
              <w:right w:val="nil"/>
            </w:tcBorders>
            <w:shd w:val="clear" w:color="auto" w:fill="auto"/>
            <w:vAlign w:val="bottom"/>
            <w:hideMark/>
          </w:tcPr>
          <w:p w14:paraId="77159DD2" w14:textId="77777777" w:rsidR="00596A40" w:rsidRPr="00203E93" w:rsidRDefault="00596A40" w:rsidP="00596A40">
            <w:pPr>
              <w:spacing w:line="240" w:lineRule="auto"/>
              <w:jc w:val="right"/>
              <w:rPr>
                <w:rFonts w:cs="Times New Roman"/>
                <w:color w:val="000000"/>
              </w:rPr>
            </w:pPr>
          </w:p>
        </w:tc>
        <w:tc>
          <w:tcPr>
            <w:tcW w:w="576" w:type="dxa"/>
            <w:gridSpan w:val="2"/>
            <w:tcBorders>
              <w:top w:val="nil"/>
              <w:left w:val="nil"/>
              <w:bottom w:val="nil"/>
              <w:right w:val="nil"/>
            </w:tcBorders>
            <w:shd w:val="clear" w:color="auto" w:fill="auto"/>
            <w:noWrap/>
            <w:vAlign w:val="bottom"/>
            <w:hideMark/>
          </w:tcPr>
          <w:p w14:paraId="1354817F" w14:textId="77777777" w:rsidR="00596A40" w:rsidRPr="00203E93" w:rsidRDefault="00596A40" w:rsidP="00596A40">
            <w:pPr>
              <w:spacing w:line="240" w:lineRule="auto"/>
              <w:rPr>
                <w:rFonts w:cs="Times New Roman"/>
                <w:color w:val="000000"/>
              </w:rPr>
            </w:pPr>
          </w:p>
        </w:tc>
        <w:tc>
          <w:tcPr>
            <w:tcW w:w="656" w:type="dxa"/>
            <w:gridSpan w:val="2"/>
            <w:tcBorders>
              <w:top w:val="nil"/>
              <w:left w:val="nil"/>
              <w:bottom w:val="nil"/>
              <w:right w:val="nil"/>
            </w:tcBorders>
            <w:shd w:val="clear" w:color="auto" w:fill="auto"/>
            <w:vAlign w:val="bottom"/>
            <w:hideMark/>
          </w:tcPr>
          <w:p w14:paraId="2BF89086" w14:textId="77777777" w:rsidR="00596A40" w:rsidRPr="00203E93" w:rsidRDefault="00596A40" w:rsidP="00596A40">
            <w:pPr>
              <w:spacing w:line="240" w:lineRule="auto"/>
              <w:jc w:val="center"/>
              <w:rPr>
                <w:rFonts w:cs="Times New Roman"/>
                <w:color w:val="000000"/>
              </w:rPr>
            </w:pPr>
          </w:p>
        </w:tc>
        <w:tc>
          <w:tcPr>
            <w:tcW w:w="818" w:type="dxa"/>
            <w:tcBorders>
              <w:top w:val="nil"/>
              <w:left w:val="nil"/>
              <w:bottom w:val="nil"/>
              <w:right w:val="nil"/>
            </w:tcBorders>
            <w:shd w:val="clear" w:color="auto" w:fill="auto"/>
            <w:vAlign w:val="bottom"/>
            <w:hideMark/>
          </w:tcPr>
          <w:p w14:paraId="79CD1EAC" w14:textId="77777777" w:rsidR="00596A40" w:rsidRPr="00203E93" w:rsidRDefault="00596A40" w:rsidP="00596A40">
            <w:pPr>
              <w:spacing w:line="240" w:lineRule="auto"/>
              <w:jc w:val="right"/>
              <w:rPr>
                <w:rFonts w:cs="Times New Roman"/>
                <w:color w:val="000000"/>
              </w:rPr>
            </w:pPr>
            <w:r w:rsidRPr="00203E93">
              <w:rPr>
                <w:rFonts w:cs="Times New Roman"/>
                <w:color w:val="000000"/>
              </w:rPr>
              <w:t>3.5</w:t>
            </w:r>
          </w:p>
        </w:tc>
        <w:tc>
          <w:tcPr>
            <w:tcW w:w="576" w:type="dxa"/>
            <w:tcBorders>
              <w:top w:val="nil"/>
              <w:left w:val="nil"/>
              <w:bottom w:val="nil"/>
              <w:right w:val="nil"/>
            </w:tcBorders>
            <w:shd w:val="clear" w:color="auto" w:fill="auto"/>
            <w:noWrap/>
            <w:vAlign w:val="bottom"/>
            <w:hideMark/>
          </w:tcPr>
          <w:p w14:paraId="4D1E9CF4"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2A7808D8" w14:textId="77777777" w:rsidR="00596A40" w:rsidRPr="00203E93" w:rsidRDefault="00596A40" w:rsidP="00596A40">
            <w:pPr>
              <w:spacing w:line="240" w:lineRule="auto"/>
              <w:jc w:val="center"/>
              <w:rPr>
                <w:rFonts w:cs="Times New Roman"/>
                <w:color w:val="000000"/>
              </w:rPr>
            </w:pPr>
            <w:r w:rsidRPr="00203E93">
              <w:rPr>
                <w:rFonts w:cs="Times New Roman"/>
                <w:color w:val="000000"/>
              </w:rPr>
              <w:t>10%</w:t>
            </w:r>
          </w:p>
        </w:tc>
      </w:tr>
      <w:tr w:rsidR="00596A40" w:rsidRPr="00203E93" w14:paraId="337FD1B1" w14:textId="77777777" w:rsidTr="002B4489">
        <w:trPr>
          <w:trHeight w:val="405"/>
        </w:trPr>
        <w:tc>
          <w:tcPr>
            <w:tcW w:w="3016" w:type="dxa"/>
            <w:tcBorders>
              <w:top w:val="nil"/>
              <w:left w:val="nil"/>
              <w:bottom w:val="nil"/>
              <w:right w:val="nil"/>
            </w:tcBorders>
            <w:shd w:val="clear" w:color="auto" w:fill="auto"/>
            <w:noWrap/>
            <w:vAlign w:val="bottom"/>
            <w:hideMark/>
          </w:tcPr>
          <w:p w14:paraId="1D6CBA5A" w14:textId="77777777" w:rsidR="00596A40" w:rsidRPr="00203E93" w:rsidRDefault="00596A40" w:rsidP="00596A40">
            <w:pPr>
              <w:spacing w:line="240" w:lineRule="auto"/>
              <w:rPr>
                <w:rFonts w:cs="Times New Roman"/>
                <w:color w:val="000000"/>
              </w:rPr>
            </w:pPr>
            <w:r w:rsidRPr="00203E93">
              <w:rPr>
                <w:rFonts w:cs="Times New Roman"/>
                <w:color w:val="000000"/>
              </w:rPr>
              <w:t>GCA*Location</w:t>
            </w:r>
          </w:p>
        </w:tc>
        <w:tc>
          <w:tcPr>
            <w:tcW w:w="960" w:type="dxa"/>
            <w:gridSpan w:val="2"/>
            <w:tcBorders>
              <w:top w:val="nil"/>
              <w:left w:val="nil"/>
              <w:bottom w:val="nil"/>
              <w:right w:val="nil"/>
            </w:tcBorders>
            <w:shd w:val="clear" w:color="auto" w:fill="auto"/>
            <w:vAlign w:val="bottom"/>
            <w:hideMark/>
          </w:tcPr>
          <w:p w14:paraId="6F35BF19" w14:textId="77777777" w:rsidR="00596A40" w:rsidRPr="00203E93" w:rsidRDefault="00596A40" w:rsidP="00596A40">
            <w:pPr>
              <w:spacing w:line="240" w:lineRule="auto"/>
              <w:jc w:val="right"/>
              <w:rPr>
                <w:rFonts w:cs="Times New Roman"/>
                <w:color w:val="000000"/>
              </w:rPr>
            </w:pPr>
            <w:r w:rsidRPr="00203E93">
              <w:rPr>
                <w:rFonts w:cs="Times New Roman"/>
                <w:color w:val="000000"/>
              </w:rPr>
              <w:t>0.4</w:t>
            </w:r>
          </w:p>
        </w:tc>
        <w:tc>
          <w:tcPr>
            <w:tcW w:w="576" w:type="dxa"/>
            <w:gridSpan w:val="2"/>
            <w:tcBorders>
              <w:top w:val="nil"/>
              <w:left w:val="nil"/>
              <w:bottom w:val="nil"/>
              <w:right w:val="nil"/>
            </w:tcBorders>
            <w:shd w:val="clear" w:color="auto" w:fill="auto"/>
            <w:noWrap/>
            <w:vAlign w:val="bottom"/>
            <w:hideMark/>
          </w:tcPr>
          <w:p w14:paraId="7BF108F5"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gridSpan w:val="2"/>
            <w:tcBorders>
              <w:top w:val="nil"/>
              <w:left w:val="nil"/>
              <w:bottom w:val="nil"/>
              <w:right w:val="nil"/>
            </w:tcBorders>
            <w:shd w:val="clear" w:color="auto" w:fill="auto"/>
            <w:vAlign w:val="bottom"/>
            <w:hideMark/>
          </w:tcPr>
          <w:p w14:paraId="68F187FA" w14:textId="77777777" w:rsidR="00596A40" w:rsidRPr="00203E93" w:rsidRDefault="00596A40" w:rsidP="00596A40">
            <w:pPr>
              <w:spacing w:line="240" w:lineRule="auto"/>
              <w:jc w:val="center"/>
              <w:rPr>
                <w:rFonts w:cs="Times New Roman"/>
                <w:color w:val="000000"/>
              </w:rPr>
            </w:pPr>
            <w:r w:rsidRPr="00203E93">
              <w:rPr>
                <w:rFonts w:cs="Times New Roman"/>
                <w:color w:val="000000"/>
              </w:rPr>
              <w:t>1%</w:t>
            </w:r>
          </w:p>
        </w:tc>
        <w:tc>
          <w:tcPr>
            <w:tcW w:w="876" w:type="dxa"/>
            <w:gridSpan w:val="2"/>
            <w:tcBorders>
              <w:top w:val="nil"/>
              <w:left w:val="nil"/>
              <w:bottom w:val="nil"/>
              <w:right w:val="nil"/>
            </w:tcBorders>
            <w:shd w:val="clear" w:color="auto" w:fill="auto"/>
            <w:vAlign w:val="bottom"/>
            <w:hideMark/>
          </w:tcPr>
          <w:p w14:paraId="14FA6E18" w14:textId="77777777" w:rsidR="00596A40" w:rsidRPr="00203E93" w:rsidRDefault="00596A40" w:rsidP="00596A40">
            <w:pPr>
              <w:spacing w:line="240" w:lineRule="auto"/>
              <w:jc w:val="right"/>
              <w:rPr>
                <w:rFonts w:cs="Times New Roman"/>
                <w:color w:val="000000"/>
              </w:rPr>
            </w:pPr>
            <w:r w:rsidRPr="00203E93">
              <w:rPr>
                <w:rFonts w:cs="Times New Roman"/>
                <w:color w:val="000000"/>
              </w:rPr>
              <w:t>0.1</w:t>
            </w:r>
          </w:p>
        </w:tc>
        <w:tc>
          <w:tcPr>
            <w:tcW w:w="576" w:type="dxa"/>
            <w:gridSpan w:val="2"/>
            <w:tcBorders>
              <w:top w:val="nil"/>
              <w:left w:val="nil"/>
              <w:bottom w:val="nil"/>
              <w:right w:val="nil"/>
            </w:tcBorders>
            <w:shd w:val="clear" w:color="auto" w:fill="auto"/>
            <w:noWrap/>
            <w:vAlign w:val="bottom"/>
            <w:hideMark/>
          </w:tcPr>
          <w:p w14:paraId="665E5440"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gridSpan w:val="2"/>
            <w:tcBorders>
              <w:top w:val="nil"/>
              <w:left w:val="nil"/>
              <w:bottom w:val="nil"/>
              <w:right w:val="nil"/>
            </w:tcBorders>
            <w:shd w:val="clear" w:color="auto" w:fill="auto"/>
            <w:vAlign w:val="bottom"/>
            <w:hideMark/>
          </w:tcPr>
          <w:p w14:paraId="4BD30AAB" w14:textId="77777777" w:rsidR="00596A40" w:rsidRPr="00203E93" w:rsidRDefault="00596A40" w:rsidP="00596A40">
            <w:pPr>
              <w:spacing w:line="240" w:lineRule="auto"/>
              <w:jc w:val="center"/>
              <w:rPr>
                <w:rFonts w:cs="Times New Roman"/>
                <w:color w:val="000000"/>
              </w:rPr>
            </w:pPr>
            <w:r w:rsidRPr="00203E93">
              <w:rPr>
                <w:rFonts w:cs="Times New Roman"/>
                <w:color w:val="000000"/>
              </w:rPr>
              <w:t>0%</w:t>
            </w:r>
          </w:p>
        </w:tc>
        <w:tc>
          <w:tcPr>
            <w:tcW w:w="818" w:type="dxa"/>
            <w:tcBorders>
              <w:top w:val="nil"/>
              <w:left w:val="nil"/>
              <w:bottom w:val="nil"/>
              <w:right w:val="nil"/>
            </w:tcBorders>
            <w:shd w:val="clear" w:color="auto" w:fill="auto"/>
            <w:vAlign w:val="bottom"/>
            <w:hideMark/>
          </w:tcPr>
          <w:p w14:paraId="7A4D1FC7" w14:textId="77777777" w:rsidR="00596A40" w:rsidRPr="00203E93" w:rsidRDefault="00596A40" w:rsidP="00596A40">
            <w:pPr>
              <w:spacing w:line="240" w:lineRule="auto"/>
              <w:jc w:val="right"/>
              <w:rPr>
                <w:rFonts w:cs="Times New Roman"/>
                <w:color w:val="000000"/>
              </w:rPr>
            </w:pPr>
            <w:r w:rsidRPr="00203E93">
              <w:rPr>
                <w:rFonts w:cs="Times New Roman"/>
                <w:color w:val="000000"/>
              </w:rPr>
              <w:t>0.0</w:t>
            </w:r>
          </w:p>
        </w:tc>
        <w:tc>
          <w:tcPr>
            <w:tcW w:w="576" w:type="dxa"/>
            <w:tcBorders>
              <w:top w:val="nil"/>
              <w:left w:val="nil"/>
              <w:bottom w:val="nil"/>
              <w:right w:val="nil"/>
            </w:tcBorders>
            <w:shd w:val="clear" w:color="auto" w:fill="auto"/>
            <w:noWrap/>
            <w:vAlign w:val="bottom"/>
            <w:hideMark/>
          </w:tcPr>
          <w:p w14:paraId="7BC91771" w14:textId="77777777" w:rsidR="00596A40" w:rsidRPr="00203E93" w:rsidRDefault="00596A40" w:rsidP="00596A40">
            <w:pPr>
              <w:spacing w:line="240" w:lineRule="auto"/>
              <w:rPr>
                <w:rFonts w:cs="Times New Roman"/>
                <w:color w:val="000000"/>
              </w:rPr>
            </w:pPr>
          </w:p>
        </w:tc>
        <w:tc>
          <w:tcPr>
            <w:tcW w:w="656" w:type="dxa"/>
            <w:tcBorders>
              <w:top w:val="nil"/>
              <w:left w:val="nil"/>
              <w:bottom w:val="nil"/>
              <w:right w:val="nil"/>
            </w:tcBorders>
            <w:shd w:val="clear" w:color="auto" w:fill="auto"/>
            <w:vAlign w:val="bottom"/>
            <w:hideMark/>
          </w:tcPr>
          <w:p w14:paraId="6C953785" w14:textId="77777777" w:rsidR="00596A40" w:rsidRPr="00203E93" w:rsidRDefault="00596A40" w:rsidP="00596A40">
            <w:pPr>
              <w:spacing w:line="240" w:lineRule="auto"/>
              <w:jc w:val="center"/>
              <w:rPr>
                <w:rFonts w:cs="Times New Roman"/>
                <w:color w:val="000000"/>
              </w:rPr>
            </w:pPr>
            <w:r w:rsidRPr="00203E93">
              <w:rPr>
                <w:rFonts w:cs="Times New Roman"/>
                <w:color w:val="000000"/>
              </w:rPr>
              <w:t>0%</w:t>
            </w:r>
          </w:p>
        </w:tc>
      </w:tr>
      <w:tr w:rsidR="00596A40" w:rsidRPr="00203E93" w14:paraId="1926F8B1" w14:textId="77777777" w:rsidTr="002B4489">
        <w:trPr>
          <w:trHeight w:val="420"/>
        </w:trPr>
        <w:tc>
          <w:tcPr>
            <w:tcW w:w="3016" w:type="dxa"/>
            <w:tcBorders>
              <w:top w:val="nil"/>
              <w:left w:val="nil"/>
              <w:bottom w:val="nil"/>
              <w:right w:val="nil"/>
            </w:tcBorders>
            <w:shd w:val="clear" w:color="auto" w:fill="auto"/>
            <w:noWrap/>
            <w:vAlign w:val="bottom"/>
            <w:hideMark/>
          </w:tcPr>
          <w:p w14:paraId="499C4E30" w14:textId="77777777" w:rsidR="00596A40" w:rsidRPr="00203E93" w:rsidRDefault="00596A40" w:rsidP="00596A40">
            <w:pPr>
              <w:spacing w:line="240" w:lineRule="auto"/>
              <w:rPr>
                <w:rFonts w:cs="Times New Roman"/>
                <w:color w:val="000000"/>
              </w:rPr>
            </w:pPr>
            <w:r w:rsidRPr="00203E93">
              <w:rPr>
                <w:rFonts w:cs="Times New Roman"/>
                <w:color w:val="000000"/>
              </w:rPr>
              <w:t>GCA*Block(Location)</w:t>
            </w:r>
          </w:p>
        </w:tc>
        <w:tc>
          <w:tcPr>
            <w:tcW w:w="960" w:type="dxa"/>
            <w:gridSpan w:val="2"/>
            <w:tcBorders>
              <w:top w:val="nil"/>
              <w:left w:val="nil"/>
              <w:bottom w:val="nil"/>
              <w:right w:val="nil"/>
            </w:tcBorders>
            <w:shd w:val="clear" w:color="auto" w:fill="auto"/>
            <w:vAlign w:val="bottom"/>
            <w:hideMark/>
          </w:tcPr>
          <w:p w14:paraId="0C706DF1" w14:textId="77777777" w:rsidR="00596A40" w:rsidRPr="00203E93" w:rsidRDefault="00596A40" w:rsidP="00596A40">
            <w:pPr>
              <w:spacing w:line="240" w:lineRule="auto"/>
              <w:jc w:val="right"/>
              <w:rPr>
                <w:rFonts w:cs="Times New Roman"/>
                <w:color w:val="000000"/>
              </w:rPr>
            </w:pPr>
            <w:r w:rsidRPr="00203E93">
              <w:rPr>
                <w:rFonts w:cs="Times New Roman"/>
                <w:color w:val="000000"/>
              </w:rPr>
              <w:t>0.3</w:t>
            </w:r>
          </w:p>
        </w:tc>
        <w:tc>
          <w:tcPr>
            <w:tcW w:w="576" w:type="dxa"/>
            <w:gridSpan w:val="2"/>
            <w:tcBorders>
              <w:top w:val="nil"/>
              <w:left w:val="nil"/>
              <w:bottom w:val="nil"/>
              <w:right w:val="nil"/>
            </w:tcBorders>
            <w:shd w:val="clear" w:color="auto" w:fill="auto"/>
            <w:noWrap/>
            <w:vAlign w:val="bottom"/>
            <w:hideMark/>
          </w:tcPr>
          <w:p w14:paraId="50367C9C"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gridSpan w:val="2"/>
            <w:tcBorders>
              <w:top w:val="nil"/>
              <w:left w:val="nil"/>
              <w:bottom w:val="nil"/>
              <w:right w:val="nil"/>
            </w:tcBorders>
            <w:shd w:val="clear" w:color="auto" w:fill="auto"/>
            <w:vAlign w:val="bottom"/>
            <w:hideMark/>
          </w:tcPr>
          <w:p w14:paraId="55574024" w14:textId="77777777" w:rsidR="00596A40" w:rsidRPr="00203E93" w:rsidRDefault="00596A40" w:rsidP="00596A40">
            <w:pPr>
              <w:spacing w:line="240" w:lineRule="auto"/>
              <w:jc w:val="center"/>
              <w:rPr>
                <w:rFonts w:cs="Times New Roman"/>
                <w:color w:val="000000"/>
              </w:rPr>
            </w:pPr>
            <w:r w:rsidRPr="00203E93">
              <w:rPr>
                <w:rFonts w:cs="Times New Roman"/>
                <w:color w:val="000000"/>
              </w:rPr>
              <w:t>1%</w:t>
            </w:r>
          </w:p>
        </w:tc>
        <w:tc>
          <w:tcPr>
            <w:tcW w:w="876" w:type="dxa"/>
            <w:gridSpan w:val="2"/>
            <w:tcBorders>
              <w:top w:val="nil"/>
              <w:left w:val="nil"/>
              <w:bottom w:val="nil"/>
              <w:right w:val="nil"/>
            </w:tcBorders>
            <w:shd w:val="clear" w:color="auto" w:fill="auto"/>
            <w:vAlign w:val="bottom"/>
            <w:hideMark/>
          </w:tcPr>
          <w:p w14:paraId="0F448C42" w14:textId="77777777" w:rsidR="00596A40" w:rsidRPr="00203E93" w:rsidRDefault="00596A40" w:rsidP="00596A40">
            <w:pPr>
              <w:spacing w:line="240" w:lineRule="auto"/>
              <w:jc w:val="right"/>
              <w:rPr>
                <w:rFonts w:cs="Times New Roman"/>
                <w:color w:val="000000"/>
              </w:rPr>
            </w:pPr>
            <w:r w:rsidRPr="00203E93">
              <w:rPr>
                <w:rFonts w:cs="Times New Roman"/>
                <w:color w:val="000000"/>
              </w:rPr>
              <w:t>0.0</w:t>
            </w:r>
          </w:p>
        </w:tc>
        <w:tc>
          <w:tcPr>
            <w:tcW w:w="576" w:type="dxa"/>
            <w:gridSpan w:val="2"/>
            <w:tcBorders>
              <w:top w:val="nil"/>
              <w:left w:val="nil"/>
              <w:bottom w:val="nil"/>
              <w:right w:val="nil"/>
            </w:tcBorders>
            <w:shd w:val="clear" w:color="auto" w:fill="auto"/>
            <w:noWrap/>
            <w:vAlign w:val="bottom"/>
            <w:hideMark/>
          </w:tcPr>
          <w:p w14:paraId="53C57806"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gridSpan w:val="2"/>
            <w:tcBorders>
              <w:top w:val="nil"/>
              <w:left w:val="nil"/>
              <w:bottom w:val="nil"/>
              <w:right w:val="nil"/>
            </w:tcBorders>
            <w:shd w:val="clear" w:color="auto" w:fill="auto"/>
            <w:vAlign w:val="bottom"/>
            <w:hideMark/>
          </w:tcPr>
          <w:p w14:paraId="599A52EC" w14:textId="77777777" w:rsidR="00596A40" w:rsidRPr="00203E93" w:rsidRDefault="00596A40" w:rsidP="00596A40">
            <w:pPr>
              <w:spacing w:line="240" w:lineRule="auto"/>
              <w:jc w:val="center"/>
              <w:rPr>
                <w:rFonts w:cs="Times New Roman"/>
                <w:color w:val="000000"/>
              </w:rPr>
            </w:pPr>
            <w:r w:rsidRPr="00203E93">
              <w:rPr>
                <w:rFonts w:cs="Times New Roman"/>
                <w:color w:val="000000"/>
              </w:rPr>
              <w:t>0%</w:t>
            </w:r>
          </w:p>
        </w:tc>
        <w:tc>
          <w:tcPr>
            <w:tcW w:w="818" w:type="dxa"/>
            <w:tcBorders>
              <w:top w:val="nil"/>
              <w:left w:val="nil"/>
              <w:bottom w:val="nil"/>
              <w:right w:val="nil"/>
            </w:tcBorders>
            <w:shd w:val="clear" w:color="auto" w:fill="auto"/>
            <w:vAlign w:val="bottom"/>
            <w:hideMark/>
          </w:tcPr>
          <w:p w14:paraId="106C1249" w14:textId="77777777" w:rsidR="00596A40" w:rsidRPr="00203E93" w:rsidRDefault="00596A40" w:rsidP="00596A40">
            <w:pPr>
              <w:spacing w:line="240" w:lineRule="auto"/>
              <w:jc w:val="right"/>
              <w:rPr>
                <w:rFonts w:cs="Times New Roman"/>
                <w:color w:val="000000"/>
              </w:rPr>
            </w:pPr>
            <w:r w:rsidRPr="00203E93">
              <w:rPr>
                <w:rFonts w:cs="Times New Roman"/>
                <w:color w:val="000000"/>
              </w:rPr>
              <w:t>0.1</w:t>
            </w:r>
          </w:p>
        </w:tc>
        <w:tc>
          <w:tcPr>
            <w:tcW w:w="576" w:type="dxa"/>
            <w:tcBorders>
              <w:top w:val="nil"/>
              <w:left w:val="nil"/>
              <w:bottom w:val="nil"/>
              <w:right w:val="nil"/>
            </w:tcBorders>
            <w:shd w:val="clear" w:color="auto" w:fill="auto"/>
            <w:noWrap/>
            <w:vAlign w:val="bottom"/>
            <w:hideMark/>
          </w:tcPr>
          <w:p w14:paraId="1D06393D"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12CE8DEA" w14:textId="77777777" w:rsidR="00596A40" w:rsidRPr="00203E93" w:rsidRDefault="00596A40" w:rsidP="00596A40">
            <w:pPr>
              <w:spacing w:line="240" w:lineRule="auto"/>
              <w:jc w:val="center"/>
              <w:rPr>
                <w:rFonts w:cs="Times New Roman"/>
                <w:color w:val="000000"/>
              </w:rPr>
            </w:pPr>
            <w:r w:rsidRPr="00203E93">
              <w:rPr>
                <w:rFonts w:cs="Times New Roman"/>
                <w:color w:val="000000"/>
              </w:rPr>
              <w:t>0%</w:t>
            </w:r>
          </w:p>
        </w:tc>
      </w:tr>
      <w:tr w:rsidR="00596A40" w:rsidRPr="00203E93" w14:paraId="0E8A6D57" w14:textId="77777777" w:rsidTr="002B4489">
        <w:trPr>
          <w:trHeight w:val="315"/>
        </w:trPr>
        <w:tc>
          <w:tcPr>
            <w:tcW w:w="3016" w:type="dxa"/>
            <w:tcBorders>
              <w:top w:val="nil"/>
              <w:left w:val="nil"/>
              <w:bottom w:val="nil"/>
              <w:right w:val="nil"/>
            </w:tcBorders>
            <w:shd w:val="clear" w:color="auto" w:fill="auto"/>
            <w:noWrap/>
            <w:vAlign w:val="bottom"/>
            <w:hideMark/>
          </w:tcPr>
          <w:p w14:paraId="071F5800" w14:textId="77777777" w:rsidR="00596A40" w:rsidRPr="00203E93" w:rsidRDefault="00596A40" w:rsidP="00596A40">
            <w:pPr>
              <w:spacing w:line="240" w:lineRule="auto"/>
              <w:rPr>
                <w:rFonts w:cs="Times New Roman"/>
                <w:color w:val="000000"/>
              </w:rPr>
            </w:pPr>
            <w:r w:rsidRPr="00203E93">
              <w:rPr>
                <w:rFonts w:cs="Times New Roman"/>
                <w:color w:val="000000"/>
              </w:rPr>
              <w:t>GCA*Location*Year</w:t>
            </w:r>
          </w:p>
        </w:tc>
        <w:tc>
          <w:tcPr>
            <w:tcW w:w="960" w:type="dxa"/>
            <w:gridSpan w:val="2"/>
            <w:tcBorders>
              <w:top w:val="nil"/>
              <w:left w:val="nil"/>
              <w:bottom w:val="nil"/>
              <w:right w:val="nil"/>
            </w:tcBorders>
            <w:shd w:val="clear" w:color="auto" w:fill="auto"/>
            <w:vAlign w:val="bottom"/>
            <w:hideMark/>
          </w:tcPr>
          <w:p w14:paraId="587FA63B" w14:textId="77777777" w:rsidR="00596A40" w:rsidRPr="00203E93" w:rsidRDefault="00596A40" w:rsidP="00596A40">
            <w:pPr>
              <w:spacing w:line="240" w:lineRule="auto"/>
              <w:jc w:val="right"/>
              <w:rPr>
                <w:rFonts w:cs="Times New Roman"/>
                <w:color w:val="000000"/>
              </w:rPr>
            </w:pPr>
          </w:p>
        </w:tc>
        <w:tc>
          <w:tcPr>
            <w:tcW w:w="576" w:type="dxa"/>
            <w:gridSpan w:val="2"/>
            <w:tcBorders>
              <w:top w:val="nil"/>
              <w:left w:val="nil"/>
              <w:bottom w:val="nil"/>
              <w:right w:val="nil"/>
            </w:tcBorders>
            <w:shd w:val="clear" w:color="auto" w:fill="auto"/>
            <w:noWrap/>
            <w:vAlign w:val="bottom"/>
            <w:hideMark/>
          </w:tcPr>
          <w:p w14:paraId="3419020C" w14:textId="77777777" w:rsidR="00596A40" w:rsidRPr="00203E93" w:rsidRDefault="00596A40" w:rsidP="00596A40">
            <w:pPr>
              <w:spacing w:line="240" w:lineRule="auto"/>
              <w:rPr>
                <w:rFonts w:cs="Times New Roman"/>
                <w:color w:val="000000"/>
              </w:rPr>
            </w:pPr>
          </w:p>
        </w:tc>
        <w:tc>
          <w:tcPr>
            <w:tcW w:w="656" w:type="dxa"/>
            <w:gridSpan w:val="2"/>
            <w:tcBorders>
              <w:top w:val="nil"/>
              <w:left w:val="nil"/>
              <w:bottom w:val="nil"/>
              <w:right w:val="nil"/>
            </w:tcBorders>
            <w:shd w:val="clear" w:color="auto" w:fill="auto"/>
            <w:vAlign w:val="bottom"/>
            <w:hideMark/>
          </w:tcPr>
          <w:p w14:paraId="3E704D51" w14:textId="77777777" w:rsidR="00596A40" w:rsidRPr="00203E93" w:rsidRDefault="00596A40" w:rsidP="00596A40">
            <w:pPr>
              <w:spacing w:line="240" w:lineRule="auto"/>
              <w:jc w:val="center"/>
              <w:rPr>
                <w:rFonts w:cs="Times New Roman"/>
                <w:color w:val="000000"/>
              </w:rPr>
            </w:pPr>
          </w:p>
        </w:tc>
        <w:tc>
          <w:tcPr>
            <w:tcW w:w="876" w:type="dxa"/>
            <w:gridSpan w:val="2"/>
            <w:tcBorders>
              <w:top w:val="nil"/>
              <w:left w:val="nil"/>
              <w:bottom w:val="nil"/>
              <w:right w:val="nil"/>
            </w:tcBorders>
            <w:shd w:val="clear" w:color="auto" w:fill="auto"/>
            <w:vAlign w:val="bottom"/>
            <w:hideMark/>
          </w:tcPr>
          <w:p w14:paraId="7552F6C9" w14:textId="77777777" w:rsidR="00596A40" w:rsidRPr="00203E93" w:rsidRDefault="00596A40" w:rsidP="00596A40">
            <w:pPr>
              <w:spacing w:line="240" w:lineRule="auto"/>
              <w:jc w:val="right"/>
              <w:rPr>
                <w:rFonts w:cs="Times New Roman"/>
                <w:color w:val="000000"/>
              </w:rPr>
            </w:pPr>
          </w:p>
        </w:tc>
        <w:tc>
          <w:tcPr>
            <w:tcW w:w="576" w:type="dxa"/>
            <w:gridSpan w:val="2"/>
            <w:tcBorders>
              <w:top w:val="nil"/>
              <w:left w:val="nil"/>
              <w:bottom w:val="nil"/>
              <w:right w:val="nil"/>
            </w:tcBorders>
            <w:shd w:val="clear" w:color="auto" w:fill="auto"/>
            <w:noWrap/>
            <w:vAlign w:val="bottom"/>
            <w:hideMark/>
          </w:tcPr>
          <w:p w14:paraId="0AD27F79" w14:textId="77777777" w:rsidR="00596A40" w:rsidRPr="00203E93" w:rsidRDefault="00596A40" w:rsidP="00596A40">
            <w:pPr>
              <w:spacing w:line="240" w:lineRule="auto"/>
              <w:rPr>
                <w:rFonts w:cs="Times New Roman"/>
                <w:color w:val="000000"/>
              </w:rPr>
            </w:pPr>
          </w:p>
        </w:tc>
        <w:tc>
          <w:tcPr>
            <w:tcW w:w="656" w:type="dxa"/>
            <w:gridSpan w:val="2"/>
            <w:tcBorders>
              <w:top w:val="nil"/>
              <w:left w:val="nil"/>
              <w:bottom w:val="nil"/>
              <w:right w:val="nil"/>
            </w:tcBorders>
            <w:shd w:val="clear" w:color="auto" w:fill="auto"/>
            <w:vAlign w:val="bottom"/>
            <w:hideMark/>
          </w:tcPr>
          <w:p w14:paraId="48710193" w14:textId="77777777" w:rsidR="00596A40" w:rsidRPr="00203E93" w:rsidRDefault="00596A40" w:rsidP="00596A40">
            <w:pPr>
              <w:spacing w:line="240" w:lineRule="auto"/>
              <w:jc w:val="center"/>
              <w:rPr>
                <w:rFonts w:cs="Times New Roman"/>
                <w:color w:val="000000"/>
              </w:rPr>
            </w:pPr>
          </w:p>
        </w:tc>
        <w:tc>
          <w:tcPr>
            <w:tcW w:w="818" w:type="dxa"/>
            <w:tcBorders>
              <w:top w:val="nil"/>
              <w:left w:val="nil"/>
              <w:bottom w:val="nil"/>
              <w:right w:val="nil"/>
            </w:tcBorders>
            <w:shd w:val="clear" w:color="auto" w:fill="auto"/>
            <w:vAlign w:val="bottom"/>
            <w:hideMark/>
          </w:tcPr>
          <w:p w14:paraId="32563C38" w14:textId="77777777" w:rsidR="00596A40" w:rsidRPr="00203E93" w:rsidRDefault="00596A40" w:rsidP="00596A40">
            <w:pPr>
              <w:spacing w:line="240" w:lineRule="auto"/>
              <w:jc w:val="right"/>
              <w:rPr>
                <w:rFonts w:cs="Times New Roman"/>
                <w:color w:val="000000"/>
              </w:rPr>
            </w:pPr>
            <w:r w:rsidRPr="00203E93">
              <w:rPr>
                <w:rFonts w:cs="Times New Roman"/>
                <w:color w:val="000000"/>
              </w:rPr>
              <w:t>0.2</w:t>
            </w:r>
          </w:p>
        </w:tc>
        <w:tc>
          <w:tcPr>
            <w:tcW w:w="576" w:type="dxa"/>
            <w:tcBorders>
              <w:top w:val="nil"/>
              <w:left w:val="nil"/>
              <w:bottom w:val="nil"/>
              <w:right w:val="nil"/>
            </w:tcBorders>
            <w:shd w:val="clear" w:color="auto" w:fill="auto"/>
            <w:noWrap/>
            <w:vAlign w:val="bottom"/>
            <w:hideMark/>
          </w:tcPr>
          <w:p w14:paraId="315105B0"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0C540682" w14:textId="77777777" w:rsidR="00596A40" w:rsidRPr="00203E93" w:rsidRDefault="00596A40" w:rsidP="00596A40">
            <w:pPr>
              <w:spacing w:line="240" w:lineRule="auto"/>
              <w:jc w:val="center"/>
              <w:rPr>
                <w:rFonts w:cs="Times New Roman"/>
                <w:color w:val="000000"/>
              </w:rPr>
            </w:pPr>
            <w:r w:rsidRPr="00203E93">
              <w:rPr>
                <w:rFonts w:cs="Times New Roman"/>
                <w:color w:val="000000"/>
              </w:rPr>
              <w:t>1%</w:t>
            </w:r>
          </w:p>
        </w:tc>
      </w:tr>
      <w:tr w:rsidR="00596A40" w:rsidRPr="00203E93" w14:paraId="7C62BFE7" w14:textId="77777777" w:rsidTr="002B4489">
        <w:trPr>
          <w:trHeight w:val="315"/>
        </w:trPr>
        <w:tc>
          <w:tcPr>
            <w:tcW w:w="3016" w:type="dxa"/>
            <w:tcBorders>
              <w:top w:val="nil"/>
              <w:left w:val="nil"/>
              <w:bottom w:val="nil"/>
              <w:right w:val="nil"/>
            </w:tcBorders>
            <w:shd w:val="clear" w:color="auto" w:fill="auto"/>
            <w:noWrap/>
            <w:vAlign w:val="bottom"/>
            <w:hideMark/>
          </w:tcPr>
          <w:p w14:paraId="6F915A59" w14:textId="77777777" w:rsidR="00596A40" w:rsidRPr="00203E93" w:rsidRDefault="00596A40" w:rsidP="00596A40">
            <w:pPr>
              <w:spacing w:line="240" w:lineRule="auto"/>
              <w:rPr>
                <w:rFonts w:cs="Times New Roman"/>
                <w:color w:val="000000"/>
              </w:rPr>
            </w:pPr>
            <w:r w:rsidRPr="00203E93">
              <w:rPr>
                <w:rFonts w:cs="Times New Roman"/>
                <w:color w:val="000000"/>
              </w:rPr>
              <w:t>SCA*Year</w:t>
            </w:r>
          </w:p>
        </w:tc>
        <w:tc>
          <w:tcPr>
            <w:tcW w:w="960" w:type="dxa"/>
            <w:gridSpan w:val="2"/>
            <w:tcBorders>
              <w:top w:val="nil"/>
              <w:left w:val="nil"/>
              <w:bottom w:val="nil"/>
              <w:right w:val="nil"/>
            </w:tcBorders>
            <w:shd w:val="clear" w:color="auto" w:fill="auto"/>
            <w:vAlign w:val="bottom"/>
            <w:hideMark/>
          </w:tcPr>
          <w:p w14:paraId="36440DEE" w14:textId="77777777" w:rsidR="00596A40" w:rsidRPr="00203E93" w:rsidRDefault="00596A40" w:rsidP="00596A40">
            <w:pPr>
              <w:spacing w:line="240" w:lineRule="auto"/>
              <w:jc w:val="right"/>
              <w:rPr>
                <w:rFonts w:cs="Times New Roman"/>
                <w:color w:val="000000"/>
              </w:rPr>
            </w:pPr>
          </w:p>
        </w:tc>
        <w:tc>
          <w:tcPr>
            <w:tcW w:w="576" w:type="dxa"/>
            <w:gridSpan w:val="2"/>
            <w:tcBorders>
              <w:top w:val="nil"/>
              <w:left w:val="nil"/>
              <w:bottom w:val="nil"/>
              <w:right w:val="nil"/>
            </w:tcBorders>
            <w:shd w:val="clear" w:color="auto" w:fill="auto"/>
            <w:noWrap/>
            <w:vAlign w:val="bottom"/>
            <w:hideMark/>
          </w:tcPr>
          <w:p w14:paraId="6BD73834" w14:textId="77777777" w:rsidR="00596A40" w:rsidRPr="00203E93" w:rsidRDefault="00596A40" w:rsidP="00596A40">
            <w:pPr>
              <w:spacing w:line="240" w:lineRule="auto"/>
              <w:rPr>
                <w:rFonts w:cs="Times New Roman"/>
                <w:color w:val="000000"/>
              </w:rPr>
            </w:pPr>
          </w:p>
        </w:tc>
        <w:tc>
          <w:tcPr>
            <w:tcW w:w="656" w:type="dxa"/>
            <w:gridSpan w:val="2"/>
            <w:tcBorders>
              <w:top w:val="nil"/>
              <w:left w:val="nil"/>
              <w:bottom w:val="nil"/>
              <w:right w:val="nil"/>
            </w:tcBorders>
            <w:shd w:val="clear" w:color="auto" w:fill="auto"/>
            <w:vAlign w:val="bottom"/>
            <w:hideMark/>
          </w:tcPr>
          <w:p w14:paraId="3A940D70" w14:textId="77777777" w:rsidR="00596A40" w:rsidRPr="00203E93" w:rsidRDefault="00596A40" w:rsidP="00596A40">
            <w:pPr>
              <w:spacing w:line="240" w:lineRule="auto"/>
              <w:jc w:val="center"/>
              <w:rPr>
                <w:rFonts w:cs="Times New Roman"/>
                <w:color w:val="000000"/>
              </w:rPr>
            </w:pPr>
          </w:p>
        </w:tc>
        <w:tc>
          <w:tcPr>
            <w:tcW w:w="876" w:type="dxa"/>
            <w:gridSpan w:val="2"/>
            <w:tcBorders>
              <w:top w:val="nil"/>
              <w:left w:val="nil"/>
              <w:bottom w:val="nil"/>
              <w:right w:val="nil"/>
            </w:tcBorders>
            <w:shd w:val="clear" w:color="auto" w:fill="auto"/>
            <w:vAlign w:val="bottom"/>
            <w:hideMark/>
          </w:tcPr>
          <w:p w14:paraId="5CD466EA" w14:textId="77777777" w:rsidR="00596A40" w:rsidRPr="00203E93" w:rsidRDefault="00596A40" w:rsidP="00596A40">
            <w:pPr>
              <w:spacing w:line="240" w:lineRule="auto"/>
              <w:jc w:val="right"/>
              <w:rPr>
                <w:rFonts w:cs="Times New Roman"/>
                <w:color w:val="000000"/>
              </w:rPr>
            </w:pPr>
          </w:p>
        </w:tc>
        <w:tc>
          <w:tcPr>
            <w:tcW w:w="576" w:type="dxa"/>
            <w:gridSpan w:val="2"/>
            <w:tcBorders>
              <w:top w:val="nil"/>
              <w:left w:val="nil"/>
              <w:bottom w:val="nil"/>
              <w:right w:val="nil"/>
            </w:tcBorders>
            <w:shd w:val="clear" w:color="auto" w:fill="auto"/>
            <w:noWrap/>
            <w:vAlign w:val="bottom"/>
            <w:hideMark/>
          </w:tcPr>
          <w:p w14:paraId="5B7D080E" w14:textId="77777777" w:rsidR="00596A40" w:rsidRPr="00203E93" w:rsidRDefault="00596A40" w:rsidP="00596A40">
            <w:pPr>
              <w:spacing w:line="240" w:lineRule="auto"/>
              <w:rPr>
                <w:rFonts w:cs="Times New Roman"/>
                <w:color w:val="000000"/>
              </w:rPr>
            </w:pPr>
          </w:p>
        </w:tc>
        <w:tc>
          <w:tcPr>
            <w:tcW w:w="656" w:type="dxa"/>
            <w:gridSpan w:val="2"/>
            <w:tcBorders>
              <w:top w:val="nil"/>
              <w:left w:val="nil"/>
              <w:bottom w:val="nil"/>
              <w:right w:val="nil"/>
            </w:tcBorders>
            <w:shd w:val="clear" w:color="auto" w:fill="auto"/>
            <w:vAlign w:val="bottom"/>
            <w:hideMark/>
          </w:tcPr>
          <w:p w14:paraId="66AAF440" w14:textId="77777777" w:rsidR="00596A40" w:rsidRPr="00203E93" w:rsidRDefault="00596A40" w:rsidP="00596A40">
            <w:pPr>
              <w:spacing w:line="240" w:lineRule="auto"/>
              <w:jc w:val="center"/>
              <w:rPr>
                <w:rFonts w:cs="Times New Roman"/>
                <w:color w:val="000000"/>
              </w:rPr>
            </w:pPr>
          </w:p>
        </w:tc>
        <w:tc>
          <w:tcPr>
            <w:tcW w:w="818" w:type="dxa"/>
            <w:tcBorders>
              <w:top w:val="nil"/>
              <w:left w:val="nil"/>
              <w:bottom w:val="nil"/>
              <w:right w:val="nil"/>
            </w:tcBorders>
            <w:shd w:val="clear" w:color="auto" w:fill="auto"/>
            <w:vAlign w:val="bottom"/>
            <w:hideMark/>
          </w:tcPr>
          <w:p w14:paraId="47691C0F" w14:textId="77777777" w:rsidR="00596A40" w:rsidRPr="00203E93" w:rsidRDefault="00596A40" w:rsidP="00596A40">
            <w:pPr>
              <w:spacing w:line="240" w:lineRule="auto"/>
              <w:jc w:val="right"/>
              <w:rPr>
                <w:rFonts w:cs="Times New Roman"/>
                <w:color w:val="000000"/>
              </w:rPr>
            </w:pPr>
            <w:r w:rsidRPr="00203E93">
              <w:rPr>
                <w:rFonts w:cs="Times New Roman"/>
                <w:color w:val="000000"/>
              </w:rPr>
              <w:t>1.2</w:t>
            </w:r>
          </w:p>
        </w:tc>
        <w:tc>
          <w:tcPr>
            <w:tcW w:w="576" w:type="dxa"/>
            <w:tcBorders>
              <w:top w:val="nil"/>
              <w:left w:val="nil"/>
              <w:bottom w:val="nil"/>
              <w:right w:val="nil"/>
            </w:tcBorders>
            <w:shd w:val="clear" w:color="auto" w:fill="auto"/>
            <w:noWrap/>
            <w:vAlign w:val="bottom"/>
            <w:hideMark/>
          </w:tcPr>
          <w:p w14:paraId="26663900"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nil"/>
              <w:right w:val="nil"/>
            </w:tcBorders>
            <w:shd w:val="clear" w:color="auto" w:fill="auto"/>
            <w:vAlign w:val="bottom"/>
            <w:hideMark/>
          </w:tcPr>
          <w:p w14:paraId="3AA58EC4" w14:textId="77777777" w:rsidR="00596A40" w:rsidRPr="00203E93" w:rsidRDefault="00596A40" w:rsidP="00596A40">
            <w:pPr>
              <w:spacing w:line="240" w:lineRule="auto"/>
              <w:jc w:val="center"/>
              <w:rPr>
                <w:rFonts w:cs="Times New Roman"/>
                <w:color w:val="000000"/>
              </w:rPr>
            </w:pPr>
            <w:r w:rsidRPr="00203E93">
              <w:rPr>
                <w:rFonts w:cs="Times New Roman"/>
                <w:color w:val="000000"/>
              </w:rPr>
              <w:t>3%</w:t>
            </w:r>
          </w:p>
        </w:tc>
      </w:tr>
      <w:tr w:rsidR="00596A40" w:rsidRPr="00203E93" w14:paraId="4B5E1CA6" w14:textId="77777777" w:rsidTr="002B4489">
        <w:trPr>
          <w:trHeight w:val="315"/>
        </w:trPr>
        <w:tc>
          <w:tcPr>
            <w:tcW w:w="3016" w:type="dxa"/>
            <w:tcBorders>
              <w:top w:val="nil"/>
              <w:left w:val="nil"/>
              <w:bottom w:val="nil"/>
              <w:right w:val="nil"/>
            </w:tcBorders>
            <w:shd w:val="clear" w:color="auto" w:fill="auto"/>
            <w:noWrap/>
            <w:vAlign w:val="bottom"/>
            <w:hideMark/>
          </w:tcPr>
          <w:p w14:paraId="736904CA" w14:textId="77777777" w:rsidR="00596A40" w:rsidRPr="00203E93" w:rsidRDefault="00596A40" w:rsidP="00596A40">
            <w:pPr>
              <w:spacing w:line="240" w:lineRule="auto"/>
              <w:rPr>
                <w:rFonts w:cs="Times New Roman"/>
                <w:color w:val="000000"/>
              </w:rPr>
            </w:pPr>
            <w:r w:rsidRPr="00203E93">
              <w:rPr>
                <w:rFonts w:cs="Times New Roman"/>
                <w:color w:val="000000"/>
              </w:rPr>
              <w:t>SCA*Block(Location)</w:t>
            </w:r>
          </w:p>
        </w:tc>
        <w:tc>
          <w:tcPr>
            <w:tcW w:w="960" w:type="dxa"/>
            <w:gridSpan w:val="2"/>
            <w:tcBorders>
              <w:top w:val="nil"/>
              <w:left w:val="nil"/>
              <w:bottom w:val="nil"/>
              <w:right w:val="nil"/>
            </w:tcBorders>
            <w:shd w:val="clear" w:color="auto" w:fill="auto"/>
            <w:vAlign w:val="bottom"/>
            <w:hideMark/>
          </w:tcPr>
          <w:p w14:paraId="1EE9AD99" w14:textId="77777777" w:rsidR="00596A40" w:rsidRPr="00203E93" w:rsidRDefault="00596A40" w:rsidP="00596A40">
            <w:pPr>
              <w:spacing w:line="240" w:lineRule="auto"/>
              <w:jc w:val="right"/>
              <w:rPr>
                <w:rFonts w:cs="Times New Roman"/>
                <w:color w:val="000000"/>
              </w:rPr>
            </w:pPr>
            <w:r w:rsidRPr="00203E93">
              <w:rPr>
                <w:rFonts w:cs="Times New Roman"/>
                <w:color w:val="000000"/>
              </w:rPr>
              <w:t>0.3</w:t>
            </w:r>
          </w:p>
        </w:tc>
        <w:tc>
          <w:tcPr>
            <w:tcW w:w="576" w:type="dxa"/>
            <w:gridSpan w:val="2"/>
            <w:tcBorders>
              <w:top w:val="nil"/>
              <w:left w:val="nil"/>
              <w:bottom w:val="nil"/>
              <w:right w:val="nil"/>
            </w:tcBorders>
            <w:shd w:val="clear" w:color="auto" w:fill="auto"/>
            <w:noWrap/>
            <w:vAlign w:val="bottom"/>
            <w:hideMark/>
          </w:tcPr>
          <w:p w14:paraId="05B595EF"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gridSpan w:val="2"/>
            <w:tcBorders>
              <w:top w:val="nil"/>
              <w:left w:val="nil"/>
              <w:bottom w:val="nil"/>
              <w:right w:val="nil"/>
            </w:tcBorders>
            <w:shd w:val="clear" w:color="auto" w:fill="auto"/>
            <w:vAlign w:val="bottom"/>
            <w:hideMark/>
          </w:tcPr>
          <w:p w14:paraId="2245B304" w14:textId="77777777" w:rsidR="00596A40" w:rsidRPr="00203E93" w:rsidRDefault="00596A40" w:rsidP="00596A40">
            <w:pPr>
              <w:spacing w:line="240" w:lineRule="auto"/>
              <w:jc w:val="center"/>
              <w:rPr>
                <w:rFonts w:cs="Times New Roman"/>
                <w:color w:val="000000"/>
              </w:rPr>
            </w:pPr>
            <w:r w:rsidRPr="00203E93">
              <w:rPr>
                <w:rFonts w:cs="Times New Roman"/>
                <w:color w:val="000000"/>
              </w:rPr>
              <w:t>1%</w:t>
            </w:r>
          </w:p>
        </w:tc>
        <w:tc>
          <w:tcPr>
            <w:tcW w:w="876" w:type="dxa"/>
            <w:gridSpan w:val="2"/>
            <w:tcBorders>
              <w:top w:val="nil"/>
              <w:left w:val="nil"/>
              <w:bottom w:val="nil"/>
              <w:right w:val="nil"/>
            </w:tcBorders>
            <w:shd w:val="clear" w:color="auto" w:fill="auto"/>
            <w:vAlign w:val="bottom"/>
            <w:hideMark/>
          </w:tcPr>
          <w:p w14:paraId="66F154FA" w14:textId="77777777" w:rsidR="00596A40" w:rsidRPr="00203E93" w:rsidRDefault="00596A40" w:rsidP="00596A40">
            <w:pPr>
              <w:spacing w:line="240" w:lineRule="auto"/>
              <w:jc w:val="right"/>
              <w:rPr>
                <w:rFonts w:cs="Times New Roman"/>
                <w:color w:val="000000"/>
              </w:rPr>
            </w:pPr>
            <w:r w:rsidRPr="00203E93">
              <w:rPr>
                <w:rFonts w:cs="Times New Roman"/>
                <w:color w:val="000000"/>
              </w:rPr>
              <w:t>0.0</w:t>
            </w:r>
          </w:p>
        </w:tc>
        <w:tc>
          <w:tcPr>
            <w:tcW w:w="576" w:type="dxa"/>
            <w:gridSpan w:val="2"/>
            <w:tcBorders>
              <w:top w:val="nil"/>
              <w:left w:val="nil"/>
              <w:bottom w:val="nil"/>
              <w:right w:val="nil"/>
            </w:tcBorders>
            <w:shd w:val="clear" w:color="auto" w:fill="auto"/>
            <w:noWrap/>
            <w:vAlign w:val="bottom"/>
            <w:hideMark/>
          </w:tcPr>
          <w:p w14:paraId="5355E152"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gridSpan w:val="2"/>
            <w:tcBorders>
              <w:top w:val="nil"/>
              <w:left w:val="nil"/>
              <w:bottom w:val="nil"/>
              <w:right w:val="nil"/>
            </w:tcBorders>
            <w:shd w:val="clear" w:color="auto" w:fill="auto"/>
            <w:vAlign w:val="bottom"/>
            <w:hideMark/>
          </w:tcPr>
          <w:p w14:paraId="20B1F336" w14:textId="77777777" w:rsidR="00596A40" w:rsidRPr="00203E93" w:rsidRDefault="00596A40" w:rsidP="00596A40">
            <w:pPr>
              <w:spacing w:line="240" w:lineRule="auto"/>
              <w:jc w:val="center"/>
              <w:rPr>
                <w:rFonts w:cs="Times New Roman"/>
                <w:color w:val="000000"/>
              </w:rPr>
            </w:pPr>
            <w:r w:rsidRPr="00203E93">
              <w:rPr>
                <w:rFonts w:cs="Times New Roman"/>
                <w:color w:val="000000"/>
              </w:rPr>
              <w:t>0%</w:t>
            </w:r>
          </w:p>
        </w:tc>
        <w:tc>
          <w:tcPr>
            <w:tcW w:w="818" w:type="dxa"/>
            <w:tcBorders>
              <w:top w:val="nil"/>
              <w:left w:val="nil"/>
              <w:bottom w:val="nil"/>
              <w:right w:val="nil"/>
            </w:tcBorders>
            <w:shd w:val="clear" w:color="auto" w:fill="auto"/>
            <w:vAlign w:val="bottom"/>
            <w:hideMark/>
          </w:tcPr>
          <w:p w14:paraId="65CC3216" w14:textId="77777777" w:rsidR="00596A40" w:rsidRPr="00203E93" w:rsidRDefault="00596A40" w:rsidP="00596A40">
            <w:pPr>
              <w:spacing w:line="240" w:lineRule="auto"/>
              <w:jc w:val="right"/>
              <w:rPr>
                <w:rFonts w:cs="Times New Roman"/>
                <w:color w:val="000000"/>
              </w:rPr>
            </w:pPr>
            <w:r w:rsidRPr="00203E93">
              <w:rPr>
                <w:rFonts w:cs="Times New Roman"/>
                <w:color w:val="000000"/>
              </w:rPr>
              <w:t>1.2</w:t>
            </w:r>
          </w:p>
        </w:tc>
        <w:tc>
          <w:tcPr>
            <w:tcW w:w="576" w:type="dxa"/>
            <w:tcBorders>
              <w:top w:val="nil"/>
              <w:left w:val="nil"/>
              <w:bottom w:val="nil"/>
              <w:right w:val="nil"/>
            </w:tcBorders>
            <w:shd w:val="clear" w:color="auto" w:fill="auto"/>
            <w:noWrap/>
            <w:vAlign w:val="bottom"/>
            <w:hideMark/>
          </w:tcPr>
          <w:p w14:paraId="65AA5D2B"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nil"/>
              <w:right w:val="nil"/>
            </w:tcBorders>
            <w:shd w:val="clear" w:color="auto" w:fill="auto"/>
            <w:vAlign w:val="bottom"/>
            <w:hideMark/>
          </w:tcPr>
          <w:p w14:paraId="53C51908" w14:textId="77777777" w:rsidR="00596A40" w:rsidRPr="00203E93" w:rsidRDefault="00596A40" w:rsidP="00596A40">
            <w:pPr>
              <w:spacing w:line="240" w:lineRule="auto"/>
              <w:jc w:val="center"/>
              <w:rPr>
                <w:rFonts w:cs="Times New Roman"/>
                <w:color w:val="000000"/>
              </w:rPr>
            </w:pPr>
            <w:r w:rsidRPr="00203E93">
              <w:rPr>
                <w:rFonts w:cs="Times New Roman"/>
                <w:color w:val="000000"/>
              </w:rPr>
              <w:t>3%</w:t>
            </w:r>
          </w:p>
        </w:tc>
      </w:tr>
      <w:tr w:rsidR="00596A40" w:rsidRPr="00203E93" w14:paraId="7CCE1D0C" w14:textId="77777777" w:rsidTr="002B4489">
        <w:trPr>
          <w:trHeight w:val="330"/>
        </w:trPr>
        <w:tc>
          <w:tcPr>
            <w:tcW w:w="3016" w:type="dxa"/>
            <w:tcBorders>
              <w:top w:val="nil"/>
              <w:left w:val="nil"/>
              <w:bottom w:val="single" w:sz="8" w:space="0" w:color="auto"/>
              <w:right w:val="nil"/>
            </w:tcBorders>
            <w:shd w:val="clear" w:color="auto" w:fill="auto"/>
            <w:noWrap/>
            <w:vAlign w:val="bottom"/>
            <w:hideMark/>
          </w:tcPr>
          <w:p w14:paraId="747DF6DA" w14:textId="77777777" w:rsidR="00596A40" w:rsidRPr="00203E93" w:rsidRDefault="00596A40" w:rsidP="00596A40">
            <w:pPr>
              <w:spacing w:line="240" w:lineRule="auto"/>
              <w:rPr>
                <w:rFonts w:cs="Times New Roman"/>
                <w:color w:val="000000"/>
              </w:rPr>
            </w:pPr>
            <w:r w:rsidRPr="00203E93">
              <w:rPr>
                <w:rFonts w:cs="Times New Roman"/>
                <w:color w:val="000000"/>
              </w:rPr>
              <w:t>Residual</w:t>
            </w:r>
          </w:p>
        </w:tc>
        <w:tc>
          <w:tcPr>
            <w:tcW w:w="960" w:type="dxa"/>
            <w:gridSpan w:val="2"/>
            <w:tcBorders>
              <w:top w:val="nil"/>
              <w:left w:val="nil"/>
              <w:bottom w:val="single" w:sz="8" w:space="0" w:color="auto"/>
              <w:right w:val="nil"/>
            </w:tcBorders>
            <w:shd w:val="clear" w:color="auto" w:fill="auto"/>
            <w:vAlign w:val="bottom"/>
            <w:hideMark/>
          </w:tcPr>
          <w:p w14:paraId="1F73EE47" w14:textId="77777777" w:rsidR="00596A40" w:rsidRPr="00203E93" w:rsidRDefault="00596A40" w:rsidP="00596A40">
            <w:pPr>
              <w:spacing w:line="240" w:lineRule="auto"/>
              <w:jc w:val="right"/>
              <w:rPr>
                <w:rFonts w:cs="Times New Roman"/>
                <w:color w:val="000000"/>
              </w:rPr>
            </w:pPr>
            <w:r w:rsidRPr="00203E93">
              <w:rPr>
                <w:rFonts w:cs="Times New Roman"/>
                <w:color w:val="000000"/>
              </w:rPr>
              <w:t>42.2</w:t>
            </w:r>
          </w:p>
        </w:tc>
        <w:tc>
          <w:tcPr>
            <w:tcW w:w="576" w:type="dxa"/>
            <w:gridSpan w:val="2"/>
            <w:tcBorders>
              <w:top w:val="nil"/>
              <w:left w:val="nil"/>
              <w:bottom w:val="single" w:sz="8" w:space="0" w:color="auto"/>
              <w:right w:val="nil"/>
            </w:tcBorders>
            <w:shd w:val="clear" w:color="auto" w:fill="auto"/>
            <w:noWrap/>
            <w:vAlign w:val="bottom"/>
            <w:hideMark/>
          </w:tcPr>
          <w:p w14:paraId="3D88CE9E"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gridSpan w:val="2"/>
            <w:tcBorders>
              <w:top w:val="nil"/>
              <w:left w:val="nil"/>
              <w:bottom w:val="single" w:sz="8" w:space="0" w:color="auto"/>
              <w:right w:val="nil"/>
            </w:tcBorders>
            <w:shd w:val="clear" w:color="auto" w:fill="auto"/>
            <w:vAlign w:val="bottom"/>
            <w:hideMark/>
          </w:tcPr>
          <w:p w14:paraId="446B5F69" w14:textId="77777777" w:rsidR="00596A40" w:rsidRPr="00203E93" w:rsidRDefault="00596A40" w:rsidP="00596A40">
            <w:pPr>
              <w:spacing w:line="240" w:lineRule="auto"/>
              <w:jc w:val="center"/>
              <w:rPr>
                <w:rFonts w:cs="Times New Roman"/>
                <w:color w:val="000000"/>
              </w:rPr>
            </w:pPr>
            <w:r w:rsidRPr="00203E93">
              <w:rPr>
                <w:rFonts w:cs="Times New Roman"/>
                <w:color w:val="000000"/>
              </w:rPr>
              <w:t>85%</w:t>
            </w:r>
          </w:p>
        </w:tc>
        <w:tc>
          <w:tcPr>
            <w:tcW w:w="876" w:type="dxa"/>
            <w:gridSpan w:val="2"/>
            <w:tcBorders>
              <w:top w:val="nil"/>
              <w:left w:val="nil"/>
              <w:bottom w:val="single" w:sz="8" w:space="0" w:color="auto"/>
              <w:right w:val="nil"/>
            </w:tcBorders>
            <w:shd w:val="clear" w:color="auto" w:fill="auto"/>
            <w:vAlign w:val="bottom"/>
            <w:hideMark/>
          </w:tcPr>
          <w:p w14:paraId="66381B14" w14:textId="77777777" w:rsidR="00596A40" w:rsidRPr="00203E93" w:rsidRDefault="00596A40" w:rsidP="00596A40">
            <w:pPr>
              <w:spacing w:line="240" w:lineRule="auto"/>
              <w:jc w:val="right"/>
              <w:rPr>
                <w:rFonts w:cs="Times New Roman"/>
                <w:color w:val="000000"/>
              </w:rPr>
            </w:pPr>
            <w:r w:rsidRPr="00203E93">
              <w:rPr>
                <w:rFonts w:cs="Times New Roman"/>
                <w:color w:val="000000"/>
              </w:rPr>
              <w:t>17.8</w:t>
            </w:r>
          </w:p>
        </w:tc>
        <w:tc>
          <w:tcPr>
            <w:tcW w:w="576" w:type="dxa"/>
            <w:gridSpan w:val="2"/>
            <w:tcBorders>
              <w:top w:val="nil"/>
              <w:left w:val="nil"/>
              <w:bottom w:val="single" w:sz="8" w:space="0" w:color="auto"/>
              <w:right w:val="nil"/>
            </w:tcBorders>
            <w:shd w:val="clear" w:color="auto" w:fill="auto"/>
            <w:noWrap/>
            <w:vAlign w:val="bottom"/>
            <w:hideMark/>
          </w:tcPr>
          <w:p w14:paraId="1173C99A"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gridSpan w:val="2"/>
            <w:tcBorders>
              <w:top w:val="nil"/>
              <w:left w:val="nil"/>
              <w:bottom w:val="single" w:sz="8" w:space="0" w:color="auto"/>
              <w:right w:val="nil"/>
            </w:tcBorders>
            <w:shd w:val="clear" w:color="auto" w:fill="auto"/>
            <w:vAlign w:val="bottom"/>
            <w:hideMark/>
          </w:tcPr>
          <w:p w14:paraId="2209CBAD" w14:textId="77777777" w:rsidR="00596A40" w:rsidRPr="00203E93" w:rsidRDefault="00596A40" w:rsidP="00596A40">
            <w:pPr>
              <w:spacing w:line="240" w:lineRule="auto"/>
              <w:jc w:val="center"/>
              <w:rPr>
                <w:rFonts w:cs="Times New Roman"/>
                <w:color w:val="000000"/>
              </w:rPr>
            </w:pPr>
            <w:r w:rsidRPr="00203E93">
              <w:rPr>
                <w:rFonts w:cs="Times New Roman"/>
                <w:color w:val="000000"/>
              </w:rPr>
              <w:t>81%</w:t>
            </w:r>
          </w:p>
        </w:tc>
        <w:tc>
          <w:tcPr>
            <w:tcW w:w="818" w:type="dxa"/>
            <w:tcBorders>
              <w:top w:val="nil"/>
              <w:left w:val="nil"/>
              <w:bottom w:val="single" w:sz="8" w:space="0" w:color="auto"/>
              <w:right w:val="nil"/>
            </w:tcBorders>
            <w:shd w:val="clear" w:color="auto" w:fill="auto"/>
            <w:vAlign w:val="bottom"/>
            <w:hideMark/>
          </w:tcPr>
          <w:p w14:paraId="6CD75E32" w14:textId="77777777" w:rsidR="00596A40" w:rsidRPr="00203E93" w:rsidRDefault="00596A40" w:rsidP="00596A40">
            <w:pPr>
              <w:spacing w:line="240" w:lineRule="auto"/>
              <w:jc w:val="right"/>
              <w:rPr>
                <w:rFonts w:cs="Times New Roman"/>
                <w:color w:val="000000"/>
              </w:rPr>
            </w:pPr>
            <w:r w:rsidRPr="00203E93">
              <w:rPr>
                <w:rFonts w:cs="Times New Roman"/>
                <w:color w:val="000000"/>
              </w:rPr>
              <w:t>28.9</w:t>
            </w:r>
          </w:p>
        </w:tc>
        <w:tc>
          <w:tcPr>
            <w:tcW w:w="576" w:type="dxa"/>
            <w:tcBorders>
              <w:top w:val="nil"/>
              <w:left w:val="nil"/>
              <w:bottom w:val="single" w:sz="8" w:space="0" w:color="auto"/>
              <w:right w:val="nil"/>
            </w:tcBorders>
            <w:shd w:val="clear" w:color="auto" w:fill="auto"/>
            <w:noWrap/>
            <w:vAlign w:val="bottom"/>
            <w:hideMark/>
          </w:tcPr>
          <w:p w14:paraId="1D45A6C4"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single" w:sz="8" w:space="0" w:color="auto"/>
              <w:right w:val="nil"/>
            </w:tcBorders>
            <w:shd w:val="clear" w:color="auto" w:fill="auto"/>
            <w:vAlign w:val="bottom"/>
            <w:hideMark/>
          </w:tcPr>
          <w:p w14:paraId="141B77C3" w14:textId="77777777" w:rsidR="00596A40" w:rsidRPr="00203E93" w:rsidRDefault="00596A40" w:rsidP="00596A40">
            <w:pPr>
              <w:spacing w:line="240" w:lineRule="auto"/>
              <w:jc w:val="center"/>
              <w:rPr>
                <w:rFonts w:cs="Times New Roman"/>
                <w:color w:val="000000"/>
              </w:rPr>
            </w:pPr>
            <w:r w:rsidRPr="00203E93">
              <w:rPr>
                <w:rFonts w:cs="Times New Roman"/>
                <w:color w:val="000000"/>
              </w:rPr>
              <w:t>80%</w:t>
            </w:r>
          </w:p>
        </w:tc>
      </w:tr>
      <w:tr w:rsidR="00596A40" w:rsidRPr="00203E93" w14:paraId="6D788D86" w14:textId="77777777" w:rsidTr="002B4489">
        <w:trPr>
          <w:trHeight w:val="315"/>
        </w:trPr>
        <w:tc>
          <w:tcPr>
            <w:tcW w:w="9366" w:type="dxa"/>
            <w:gridSpan w:val="16"/>
            <w:tcBorders>
              <w:top w:val="single" w:sz="8" w:space="0" w:color="auto"/>
              <w:left w:val="nil"/>
              <w:bottom w:val="nil"/>
              <w:right w:val="nil"/>
            </w:tcBorders>
            <w:shd w:val="clear" w:color="auto" w:fill="auto"/>
            <w:noWrap/>
            <w:vAlign w:val="bottom"/>
            <w:hideMark/>
          </w:tcPr>
          <w:p w14:paraId="0A3D51D2" w14:textId="3091CD56" w:rsidR="00596A40" w:rsidRPr="000F73C0" w:rsidRDefault="00596A40" w:rsidP="00596A40">
            <w:pPr>
              <w:spacing w:line="240" w:lineRule="auto"/>
              <w:rPr>
                <w:rFonts w:cs="Times New Roman"/>
                <w:color w:val="000000"/>
                <w:vertAlign w:val="subscript"/>
              </w:rPr>
            </w:pPr>
            <w:r w:rsidRPr="000F73C0">
              <w:rPr>
                <w:rFonts w:cs="Times New Roman"/>
                <w:color w:val="000000"/>
                <w:vertAlign w:val="subscript"/>
              </w:rPr>
              <w:t xml:space="preserve">* </w:t>
            </w:r>
            <w:r w:rsidR="00B7572A">
              <w:rPr>
                <w:rFonts w:cs="Times New Roman"/>
                <w:color w:val="000000"/>
                <w:vertAlign w:val="subscript"/>
              </w:rPr>
              <w:t xml:space="preserve">P </w:t>
            </w:r>
            <w:r w:rsidR="009021A8">
              <w:rPr>
                <w:rFonts w:cs="Times New Roman"/>
                <w:color w:val="000000"/>
                <w:vertAlign w:val="subscript"/>
              </w:rPr>
              <w:t xml:space="preserve">&lt; </w:t>
            </w:r>
            <w:r w:rsidRPr="000F73C0">
              <w:rPr>
                <w:rFonts w:cs="Times New Roman"/>
                <w:color w:val="000000"/>
                <w:vertAlign w:val="subscript"/>
              </w:rPr>
              <w:t>0.05, **</w:t>
            </w:r>
            <w:r w:rsidR="00B7572A">
              <w:rPr>
                <w:rFonts w:cs="Times New Roman"/>
                <w:color w:val="000000"/>
                <w:vertAlign w:val="subscript"/>
              </w:rPr>
              <w:t xml:space="preserve">P </w:t>
            </w:r>
            <w:r w:rsidR="009021A8">
              <w:rPr>
                <w:rFonts w:cs="Times New Roman"/>
                <w:color w:val="000000"/>
                <w:vertAlign w:val="subscript"/>
              </w:rPr>
              <w:t xml:space="preserve">&lt; </w:t>
            </w:r>
            <w:r w:rsidRPr="000F73C0">
              <w:rPr>
                <w:rFonts w:cs="Times New Roman"/>
                <w:color w:val="000000"/>
                <w:vertAlign w:val="subscript"/>
              </w:rPr>
              <w:t>0.01, ***</w:t>
            </w:r>
            <w:r w:rsidR="00B7572A">
              <w:rPr>
                <w:rFonts w:cs="Times New Roman"/>
                <w:color w:val="000000"/>
                <w:vertAlign w:val="subscript"/>
              </w:rPr>
              <w:t xml:space="preserve">P </w:t>
            </w:r>
            <w:r w:rsidR="009021A8">
              <w:rPr>
                <w:rFonts w:cs="Times New Roman"/>
                <w:color w:val="000000"/>
                <w:vertAlign w:val="subscript"/>
              </w:rPr>
              <w:t xml:space="preserve">&lt; </w:t>
            </w:r>
            <w:r w:rsidRPr="000F73C0">
              <w:rPr>
                <w:rFonts w:cs="Times New Roman"/>
                <w:color w:val="000000"/>
                <w:vertAlign w:val="subscript"/>
              </w:rPr>
              <w:t>0.001 respectively</w:t>
            </w:r>
          </w:p>
        </w:tc>
      </w:tr>
    </w:tbl>
    <w:p w14:paraId="44DA3C46" w14:textId="77777777" w:rsidR="002B4489" w:rsidRDefault="002B4489">
      <w:pPr>
        <w:spacing w:line="240" w:lineRule="auto"/>
        <w:rPr>
          <w:b/>
          <w:bCs/>
        </w:rPr>
      </w:pPr>
    </w:p>
    <w:p w14:paraId="45479EF9" w14:textId="55360816" w:rsidR="00EC28CD" w:rsidRPr="00E7669F" w:rsidRDefault="00CC74A4" w:rsidP="00CC74A4">
      <w:pPr>
        <w:rPr>
          <w:b/>
        </w:rPr>
      </w:pPr>
      <w:r w:rsidRPr="00E7669F">
        <w:rPr>
          <w:b/>
        </w:rPr>
        <w:lastRenderedPageBreak/>
        <w:t>Table 2-3</w:t>
      </w:r>
      <w:r w:rsidR="00EC28CD" w:rsidRPr="00E7669F">
        <w:rPr>
          <w:b/>
        </w:rPr>
        <w:t xml:space="preserve">, </w:t>
      </w:r>
      <w:r w:rsidR="000B7ED3" w:rsidRPr="00E7669F">
        <w:rPr>
          <w:b/>
        </w:rPr>
        <w:t>continued</w:t>
      </w:r>
      <w:r w:rsidR="00EC28CD" w:rsidRPr="00E7669F">
        <w:rPr>
          <w:b/>
        </w:rPr>
        <w:t>.</w:t>
      </w:r>
      <w:r w:rsidRPr="00E7669F">
        <w:rPr>
          <w:b/>
        </w:rPr>
        <w:t xml:space="preserve"> </w:t>
      </w:r>
    </w:p>
    <w:p w14:paraId="40A00B63" w14:textId="56E19F4B" w:rsidR="00E7669F" w:rsidRPr="00E7669F" w:rsidRDefault="00E7669F" w:rsidP="00E7669F">
      <w:pPr>
        <w:spacing w:line="240" w:lineRule="auto"/>
        <w:rPr>
          <w:b/>
        </w:rPr>
      </w:pPr>
      <w:r w:rsidRPr="00E7669F">
        <w:rPr>
          <w:b/>
        </w:rPr>
        <w:t>Table 2-3 B.</w:t>
      </w:r>
    </w:p>
    <w:tbl>
      <w:tblPr>
        <w:tblW w:w="9368" w:type="dxa"/>
        <w:tblInd w:w="93" w:type="dxa"/>
        <w:tblLook w:val="04A0" w:firstRow="1" w:lastRow="0" w:firstColumn="1" w:lastColumn="0" w:noHBand="0" w:noVBand="1"/>
      </w:tblPr>
      <w:tblGrid>
        <w:gridCol w:w="3016"/>
        <w:gridCol w:w="1000"/>
        <w:gridCol w:w="576"/>
        <w:gridCol w:w="19"/>
        <w:gridCol w:w="8"/>
        <w:gridCol w:w="629"/>
        <w:gridCol w:w="19"/>
        <w:gridCol w:w="8"/>
        <w:gridCol w:w="889"/>
        <w:gridCol w:w="71"/>
        <w:gridCol w:w="8"/>
        <w:gridCol w:w="497"/>
        <w:gridCol w:w="90"/>
        <w:gridCol w:w="16"/>
        <w:gridCol w:w="550"/>
        <w:gridCol w:w="90"/>
        <w:gridCol w:w="16"/>
        <w:gridCol w:w="468"/>
        <w:gridCol w:w="127"/>
        <w:gridCol w:w="37"/>
        <w:gridCol w:w="513"/>
        <w:gridCol w:w="63"/>
        <w:gridCol w:w="658"/>
      </w:tblGrid>
      <w:tr w:rsidR="00596A40" w:rsidRPr="00203E93" w14:paraId="737E357E" w14:textId="77777777" w:rsidTr="00CC74A4">
        <w:trPr>
          <w:trHeight w:val="315"/>
        </w:trPr>
        <w:tc>
          <w:tcPr>
            <w:tcW w:w="3016" w:type="dxa"/>
            <w:tcBorders>
              <w:top w:val="single" w:sz="8" w:space="0" w:color="auto"/>
              <w:left w:val="nil"/>
              <w:bottom w:val="nil"/>
              <w:right w:val="nil"/>
            </w:tcBorders>
            <w:shd w:val="clear" w:color="auto" w:fill="auto"/>
            <w:noWrap/>
            <w:vAlign w:val="bottom"/>
            <w:hideMark/>
          </w:tcPr>
          <w:p w14:paraId="5BB65903" w14:textId="0842C489" w:rsidR="00596A40" w:rsidRPr="00203E93" w:rsidRDefault="00596A40" w:rsidP="00596A40">
            <w:pPr>
              <w:spacing w:line="240" w:lineRule="auto"/>
              <w:rPr>
                <w:rFonts w:cs="Times New Roman"/>
                <w:color w:val="000000"/>
              </w:rPr>
            </w:pPr>
          </w:p>
        </w:tc>
        <w:tc>
          <w:tcPr>
            <w:tcW w:w="6352" w:type="dxa"/>
            <w:gridSpan w:val="22"/>
            <w:tcBorders>
              <w:top w:val="single" w:sz="8" w:space="0" w:color="auto"/>
              <w:left w:val="nil"/>
              <w:bottom w:val="single" w:sz="4" w:space="0" w:color="auto"/>
              <w:right w:val="nil"/>
            </w:tcBorders>
            <w:shd w:val="clear" w:color="auto" w:fill="auto"/>
            <w:noWrap/>
            <w:vAlign w:val="bottom"/>
            <w:hideMark/>
          </w:tcPr>
          <w:p w14:paraId="7D81B15D" w14:textId="4F2BD7DA" w:rsidR="00596A40" w:rsidRPr="00203E93" w:rsidRDefault="00596A40" w:rsidP="009D15AB">
            <w:pPr>
              <w:spacing w:line="240" w:lineRule="auto"/>
              <w:jc w:val="center"/>
              <w:rPr>
                <w:rFonts w:cs="Times New Roman"/>
                <w:color w:val="000000"/>
              </w:rPr>
            </w:pPr>
            <w:r>
              <w:rPr>
                <w:rFonts w:cs="Times New Roman"/>
                <w:color w:val="000000"/>
              </w:rPr>
              <w:t xml:space="preserve">Fall Height </w:t>
            </w:r>
          </w:p>
        </w:tc>
      </w:tr>
      <w:tr w:rsidR="00596A40" w:rsidRPr="00203E93" w14:paraId="70F53C3A" w14:textId="77777777" w:rsidTr="00CC74A4">
        <w:trPr>
          <w:trHeight w:val="330"/>
        </w:trPr>
        <w:tc>
          <w:tcPr>
            <w:tcW w:w="3016" w:type="dxa"/>
            <w:tcBorders>
              <w:top w:val="nil"/>
              <w:left w:val="nil"/>
              <w:bottom w:val="single" w:sz="8" w:space="0" w:color="auto"/>
              <w:right w:val="nil"/>
            </w:tcBorders>
            <w:shd w:val="clear" w:color="auto" w:fill="auto"/>
            <w:vAlign w:val="bottom"/>
            <w:hideMark/>
          </w:tcPr>
          <w:p w14:paraId="4BD71497" w14:textId="77777777" w:rsidR="00596A40" w:rsidRPr="00203E93" w:rsidRDefault="00596A40" w:rsidP="00596A40">
            <w:pPr>
              <w:spacing w:line="240" w:lineRule="auto"/>
              <w:rPr>
                <w:rFonts w:cs="Times New Roman"/>
                <w:color w:val="000000"/>
              </w:rPr>
            </w:pPr>
            <w:r w:rsidRPr="00203E93">
              <w:rPr>
                <w:rFonts w:cs="Times New Roman"/>
                <w:color w:val="000000"/>
              </w:rPr>
              <w:t>Source of Variation</w:t>
            </w:r>
          </w:p>
        </w:tc>
        <w:tc>
          <w:tcPr>
            <w:tcW w:w="2251" w:type="dxa"/>
            <w:gridSpan w:val="6"/>
            <w:tcBorders>
              <w:top w:val="nil"/>
              <w:left w:val="nil"/>
              <w:bottom w:val="single" w:sz="8" w:space="0" w:color="auto"/>
              <w:right w:val="nil"/>
            </w:tcBorders>
            <w:shd w:val="clear" w:color="auto" w:fill="auto"/>
            <w:vAlign w:val="bottom"/>
            <w:hideMark/>
          </w:tcPr>
          <w:p w14:paraId="153DBB67" w14:textId="77777777" w:rsidR="00596A40" w:rsidRPr="00203E93" w:rsidRDefault="00596A40" w:rsidP="00596A40">
            <w:pPr>
              <w:spacing w:line="240" w:lineRule="auto"/>
              <w:jc w:val="center"/>
              <w:rPr>
                <w:rFonts w:cs="Times New Roman"/>
                <w:color w:val="000000"/>
              </w:rPr>
            </w:pPr>
            <w:r w:rsidRPr="00203E93">
              <w:rPr>
                <w:rFonts w:cs="Times New Roman"/>
                <w:color w:val="000000"/>
              </w:rPr>
              <w:t>2012</w:t>
            </w:r>
          </w:p>
        </w:tc>
        <w:tc>
          <w:tcPr>
            <w:tcW w:w="2219" w:type="dxa"/>
            <w:gridSpan w:val="9"/>
            <w:tcBorders>
              <w:top w:val="nil"/>
              <w:left w:val="nil"/>
              <w:bottom w:val="single" w:sz="8" w:space="0" w:color="auto"/>
              <w:right w:val="nil"/>
            </w:tcBorders>
            <w:shd w:val="clear" w:color="auto" w:fill="auto"/>
            <w:vAlign w:val="bottom"/>
            <w:hideMark/>
          </w:tcPr>
          <w:p w14:paraId="7C4B0A06" w14:textId="77777777" w:rsidR="00596A40" w:rsidRPr="00203E93" w:rsidRDefault="00596A40" w:rsidP="00596A40">
            <w:pPr>
              <w:spacing w:line="240" w:lineRule="auto"/>
              <w:jc w:val="center"/>
              <w:rPr>
                <w:rFonts w:cs="Times New Roman"/>
                <w:color w:val="000000"/>
              </w:rPr>
            </w:pPr>
            <w:r w:rsidRPr="00203E93">
              <w:rPr>
                <w:rFonts w:cs="Times New Roman"/>
                <w:color w:val="000000"/>
              </w:rPr>
              <w:t>2013</w:t>
            </w:r>
          </w:p>
        </w:tc>
        <w:tc>
          <w:tcPr>
            <w:tcW w:w="1882" w:type="dxa"/>
            <w:gridSpan w:val="7"/>
            <w:tcBorders>
              <w:top w:val="nil"/>
              <w:left w:val="nil"/>
              <w:bottom w:val="single" w:sz="8" w:space="0" w:color="auto"/>
              <w:right w:val="nil"/>
            </w:tcBorders>
            <w:shd w:val="clear" w:color="auto" w:fill="auto"/>
            <w:vAlign w:val="bottom"/>
            <w:hideMark/>
          </w:tcPr>
          <w:p w14:paraId="65CC7D71" w14:textId="77777777" w:rsidR="00596A40" w:rsidRPr="00203E93" w:rsidRDefault="00596A40" w:rsidP="00596A40">
            <w:pPr>
              <w:spacing w:line="240" w:lineRule="auto"/>
              <w:jc w:val="center"/>
              <w:rPr>
                <w:rFonts w:cs="Times New Roman"/>
                <w:color w:val="000000"/>
              </w:rPr>
            </w:pPr>
            <w:r w:rsidRPr="00203E93">
              <w:rPr>
                <w:rFonts w:cs="Times New Roman"/>
                <w:color w:val="000000"/>
              </w:rPr>
              <w:t>Combined</w:t>
            </w:r>
          </w:p>
        </w:tc>
      </w:tr>
      <w:tr w:rsidR="00596A40" w:rsidRPr="00203E93" w14:paraId="4A790B16" w14:textId="77777777" w:rsidTr="00CC74A4">
        <w:trPr>
          <w:trHeight w:val="405"/>
        </w:trPr>
        <w:tc>
          <w:tcPr>
            <w:tcW w:w="3016" w:type="dxa"/>
            <w:tcBorders>
              <w:top w:val="nil"/>
              <w:left w:val="nil"/>
              <w:bottom w:val="nil"/>
              <w:right w:val="nil"/>
            </w:tcBorders>
            <w:shd w:val="clear" w:color="auto" w:fill="auto"/>
            <w:noWrap/>
            <w:vAlign w:val="bottom"/>
            <w:hideMark/>
          </w:tcPr>
          <w:p w14:paraId="0B1477A8" w14:textId="77777777" w:rsidR="00596A40" w:rsidRPr="00203E93" w:rsidRDefault="00596A40" w:rsidP="00596A40">
            <w:pPr>
              <w:spacing w:line="240" w:lineRule="auto"/>
              <w:rPr>
                <w:rFonts w:cs="Times New Roman"/>
                <w:color w:val="000000"/>
              </w:rPr>
            </w:pPr>
            <w:r w:rsidRPr="00203E93">
              <w:rPr>
                <w:rFonts w:cs="Times New Roman"/>
                <w:color w:val="000000"/>
              </w:rPr>
              <w:t>GCA</w:t>
            </w:r>
          </w:p>
        </w:tc>
        <w:tc>
          <w:tcPr>
            <w:tcW w:w="1000" w:type="dxa"/>
            <w:tcBorders>
              <w:top w:val="nil"/>
              <w:left w:val="nil"/>
              <w:bottom w:val="nil"/>
              <w:right w:val="nil"/>
            </w:tcBorders>
            <w:shd w:val="clear" w:color="auto" w:fill="auto"/>
            <w:vAlign w:val="bottom"/>
            <w:hideMark/>
          </w:tcPr>
          <w:p w14:paraId="2B3F21CD" w14:textId="77777777" w:rsidR="00596A40" w:rsidRPr="00203E93" w:rsidRDefault="00596A40" w:rsidP="00596A40">
            <w:pPr>
              <w:spacing w:line="240" w:lineRule="auto"/>
              <w:jc w:val="right"/>
              <w:rPr>
                <w:rFonts w:cs="Times New Roman"/>
                <w:color w:val="000000"/>
              </w:rPr>
            </w:pPr>
            <w:r w:rsidRPr="00203E93">
              <w:rPr>
                <w:rFonts w:cs="Times New Roman"/>
                <w:color w:val="000000"/>
              </w:rPr>
              <w:t>14</w:t>
            </w:r>
          </w:p>
        </w:tc>
        <w:tc>
          <w:tcPr>
            <w:tcW w:w="595" w:type="dxa"/>
            <w:gridSpan w:val="2"/>
            <w:tcBorders>
              <w:top w:val="nil"/>
              <w:left w:val="nil"/>
              <w:bottom w:val="nil"/>
              <w:right w:val="nil"/>
            </w:tcBorders>
            <w:shd w:val="clear" w:color="auto" w:fill="auto"/>
            <w:noWrap/>
            <w:vAlign w:val="bottom"/>
            <w:hideMark/>
          </w:tcPr>
          <w:p w14:paraId="30009109"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gridSpan w:val="3"/>
            <w:tcBorders>
              <w:top w:val="nil"/>
              <w:left w:val="nil"/>
              <w:bottom w:val="nil"/>
              <w:right w:val="nil"/>
            </w:tcBorders>
            <w:shd w:val="clear" w:color="auto" w:fill="auto"/>
            <w:vAlign w:val="bottom"/>
            <w:hideMark/>
          </w:tcPr>
          <w:p w14:paraId="20C8DEC3" w14:textId="77777777" w:rsidR="00596A40" w:rsidRPr="00203E93" w:rsidRDefault="00596A40" w:rsidP="00596A40">
            <w:pPr>
              <w:spacing w:line="240" w:lineRule="auto"/>
              <w:jc w:val="center"/>
              <w:rPr>
                <w:rFonts w:cs="Times New Roman"/>
                <w:color w:val="000000"/>
              </w:rPr>
            </w:pPr>
            <w:r w:rsidRPr="00203E93">
              <w:rPr>
                <w:rFonts w:cs="Times New Roman"/>
                <w:color w:val="000000"/>
              </w:rPr>
              <w:t>5%</w:t>
            </w:r>
          </w:p>
        </w:tc>
        <w:tc>
          <w:tcPr>
            <w:tcW w:w="968" w:type="dxa"/>
            <w:gridSpan w:val="3"/>
            <w:tcBorders>
              <w:top w:val="nil"/>
              <w:left w:val="nil"/>
              <w:bottom w:val="nil"/>
              <w:right w:val="nil"/>
            </w:tcBorders>
            <w:shd w:val="clear" w:color="auto" w:fill="auto"/>
            <w:vAlign w:val="bottom"/>
            <w:hideMark/>
          </w:tcPr>
          <w:p w14:paraId="5516A62C" w14:textId="77777777" w:rsidR="00596A40" w:rsidRPr="00203E93" w:rsidRDefault="00596A40" w:rsidP="00596A40">
            <w:pPr>
              <w:spacing w:line="240" w:lineRule="auto"/>
              <w:jc w:val="right"/>
              <w:rPr>
                <w:rFonts w:cs="Times New Roman"/>
                <w:color w:val="000000"/>
              </w:rPr>
            </w:pPr>
            <w:r w:rsidRPr="00203E93">
              <w:rPr>
                <w:rFonts w:cs="Times New Roman"/>
                <w:color w:val="000000"/>
              </w:rPr>
              <w:t>22</w:t>
            </w:r>
          </w:p>
        </w:tc>
        <w:tc>
          <w:tcPr>
            <w:tcW w:w="595" w:type="dxa"/>
            <w:gridSpan w:val="3"/>
            <w:tcBorders>
              <w:top w:val="nil"/>
              <w:left w:val="nil"/>
              <w:bottom w:val="nil"/>
              <w:right w:val="nil"/>
            </w:tcBorders>
            <w:shd w:val="clear" w:color="auto" w:fill="auto"/>
            <w:noWrap/>
            <w:vAlign w:val="bottom"/>
            <w:hideMark/>
          </w:tcPr>
          <w:p w14:paraId="60F1BCD3"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gridSpan w:val="3"/>
            <w:tcBorders>
              <w:top w:val="nil"/>
              <w:left w:val="nil"/>
              <w:bottom w:val="nil"/>
              <w:right w:val="nil"/>
            </w:tcBorders>
            <w:shd w:val="clear" w:color="auto" w:fill="auto"/>
            <w:vAlign w:val="bottom"/>
            <w:hideMark/>
          </w:tcPr>
          <w:p w14:paraId="34E5D880" w14:textId="77777777" w:rsidR="00596A40" w:rsidRPr="00203E93" w:rsidRDefault="00596A40" w:rsidP="00596A40">
            <w:pPr>
              <w:spacing w:line="240" w:lineRule="auto"/>
              <w:jc w:val="center"/>
              <w:rPr>
                <w:rFonts w:cs="Times New Roman"/>
                <w:color w:val="000000"/>
              </w:rPr>
            </w:pPr>
            <w:r w:rsidRPr="00203E93">
              <w:rPr>
                <w:rFonts w:cs="Times New Roman"/>
                <w:color w:val="000000"/>
              </w:rPr>
              <w:t>10%</w:t>
            </w:r>
          </w:p>
        </w:tc>
        <w:tc>
          <w:tcPr>
            <w:tcW w:w="611" w:type="dxa"/>
            <w:gridSpan w:val="3"/>
            <w:tcBorders>
              <w:top w:val="nil"/>
              <w:left w:val="nil"/>
              <w:bottom w:val="nil"/>
              <w:right w:val="nil"/>
            </w:tcBorders>
            <w:shd w:val="clear" w:color="auto" w:fill="auto"/>
            <w:noWrap/>
            <w:vAlign w:val="bottom"/>
            <w:hideMark/>
          </w:tcPr>
          <w:p w14:paraId="70AF64EA" w14:textId="77777777" w:rsidR="00596A40" w:rsidRPr="00203E93" w:rsidRDefault="00596A40" w:rsidP="00596A40">
            <w:pPr>
              <w:spacing w:line="240" w:lineRule="auto"/>
              <w:jc w:val="right"/>
              <w:rPr>
                <w:rFonts w:cs="Times New Roman"/>
                <w:color w:val="000000"/>
              </w:rPr>
            </w:pPr>
            <w:r w:rsidRPr="00203E93">
              <w:rPr>
                <w:rFonts w:cs="Times New Roman"/>
                <w:color w:val="000000"/>
              </w:rPr>
              <w:t>18</w:t>
            </w:r>
          </w:p>
        </w:tc>
        <w:tc>
          <w:tcPr>
            <w:tcW w:w="613" w:type="dxa"/>
            <w:gridSpan w:val="3"/>
            <w:tcBorders>
              <w:top w:val="nil"/>
              <w:left w:val="nil"/>
              <w:bottom w:val="nil"/>
              <w:right w:val="nil"/>
            </w:tcBorders>
            <w:shd w:val="clear" w:color="auto" w:fill="auto"/>
            <w:noWrap/>
            <w:vAlign w:val="bottom"/>
            <w:hideMark/>
          </w:tcPr>
          <w:p w14:paraId="13BF4A9D"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8" w:type="dxa"/>
            <w:tcBorders>
              <w:top w:val="nil"/>
              <w:left w:val="nil"/>
              <w:bottom w:val="nil"/>
              <w:right w:val="nil"/>
            </w:tcBorders>
            <w:shd w:val="clear" w:color="auto" w:fill="auto"/>
            <w:vAlign w:val="bottom"/>
            <w:hideMark/>
          </w:tcPr>
          <w:p w14:paraId="2C9E2834" w14:textId="77777777" w:rsidR="00596A40" w:rsidRPr="00203E93" w:rsidRDefault="00596A40" w:rsidP="00596A40">
            <w:pPr>
              <w:spacing w:line="240" w:lineRule="auto"/>
              <w:jc w:val="center"/>
              <w:rPr>
                <w:rFonts w:cs="Times New Roman"/>
                <w:color w:val="000000"/>
              </w:rPr>
            </w:pPr>
            <w:r w:rsidRPr="00203E93">
              <w:rPr>
                <w:rFonts w:cs="Times New Roman"/>
                <w:color w:val="000000"/>
              </w:rPr>
              <w:t>7%</w:t>
            </w:r>
          </w:p>
        </w:tc>
      </w:tr>
      <w:tr w:rsidR="00596A40" w:rsidRPr="00203E93" w14:paraId="69F17BCB" w14:textId="77777777" w:rsidTr="00CC74A4">
        <w:trPr>
          <w:trHeight w:val="405"/>
        </w:trPr>
        <w:tc>
          <w:tcPr>
            <w:tcW w:w="3016" w:type="dxa"/>
            <w:tcBorders>
              <w:top w:val="nil"/>
              <w:left w:val="nil"/>
              <w:bottom w:val="nil"/>
              <w:right w:val="nil"/>
            </w:tcBorders>
            <w:shd w:val="clear" w:color="auto" w:fill="auto"/>
            <w:noWrap/>
            <w:vAlign w:val="bottom"/>
            <w:hideMark/>
          </w:tcPr>
          <w:p w14:paraId="20AB2DAD" w14:textId="77777777" w:rsidR="00596A40" w:rsidRPr="00203E93" w:rsidRDefault="00596A40" w:rsidP="00596A40">
            <w:pPr>
              <w:spacing w:line="240" w:lineRule="auto"/>
              <w:rPr>
                <w:rFonts w:cs="Times New Roman"/>
                <w:color w:val="000000"/>
              </w:rPr>
            </w:pPr>
            <w:r w:rsidRPr="00203E93">
              <w:rPr>
                <w:rFonts w:cs="Times New Roman"/>
                <w:color w:val="000000"/>
              </w:rPr>
              <w:t>SCA</w:t>
            </w:r>
          </w:p>
        </w:tc>
        <w:tc>
          <w:tcPr>
            <w:tcW w:w="1000" w:type="dxa"/>
            <w:tcBorders>
              <w:top w:val="nil"/>
              <w:left w:val="nil"/>
              <w:bottom w:val="nil"/>
              <w:right w:val="nil"/>
            </w:tcBorders>
            <w:shd w:val="clear" w:color="auto" w:fill="auto"/>
            <w:vAlign w:val="bottom"/>
            <w:hideMark/>
          </w:tcPr>
          <w:p w14:paraId="620401CA" w14:textId="77777777" w:rsidR="00596A40" w:rsidRPr="00203E93" w:rsidRDefault="00596A40" w:rsidP="00596A40">
            <w:pPr>
              <w:spacing w:line="240" w:lineRule="auto"/>
              <w:jc w:val="right"/>
              <w:rPr>
                <w:rFonts w:cs="Times New Roman"/>
                <w:color w:val="000000"/>
              </w:rPr>
            </w:pPr>
            <w:r w:rsidRPr="00203E93">
              <w:rPr>
                <w:rFonts w:cs="Times New Roman"/>
                <w:color w:val="000000"/>
              </w:rPr>
              <w:t>23</w:t>
            </w:r>
          </w:p>
        </w:tc>
        <w:tc>
          <w:tcPr>
            <w:tcW w:w="595" w:type="dxa"/>
            <w:gridSpan w:val="2"/>
            <w:tcBorders>
              <w:top w:val="nil"/>
              <w:left w:val="nil"/>
              <w:bottom w:val="nil"/>
              <w:right w:val="nil"/>
            </w:tcBorders>
            <w:shd w:val="clear" w:color="auto" w:fill="auto"/>
            <w:noWrap/>
            <w:vAlign w:val="bottom"/>
            <w:hideMark/>
          </w:tcPr>
          <w:p w14:paraId="4EC58836"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gridSpan w:val="3"/>
            <w:tcBorders>
              <w:top w:val="nil"/>
              <w:left w:val="nil"/>
              <w:bottom w:val="nil"/>
              <w:right w:val="nil"/>
            </w:tcBorders>
            <w:shd w:val="clear" w:color="auto" w:fill="auto"/>
            <w:vAlign w:val="bottom"/>
            <w:hideMark/>
          </w:tcPr>
          <w:p w14:paraId="0B0753B1" w14:textId="77777777" w:rsidR="00596A40" w:rsidRPr="00203E93" w:rsidRDefault="00596A40" w:rsidP="00596A40">
            <w:pPr>
              <w:spacing w:line="240" w:lineRule="auto"/>
              <w:jc w:val="center"/>
              <w:rPr>
                <w:rFonts w:cs="Times New Roman"/>
                <w:color w:val="000000"/>
              </w:rPr>
            </w:pPr>
            <w:r w:rsidRPr="00203E93">
              <w:rPr>
                <w:rFonts w:cs="Times New Roman"/>
                <w:color w:val="000000"/>
              </w:rPr>
              <w:t>8%</w:t>
            </w:r>
          </w:p>
        </w:tc>
        <w:tc>
          <w:tcPr>
            <w:tcW w:w="968" w:type="dxa"/>
            <w:gridSpan w:val="3"/>
            <w:tcBorders>
              <w:top w:val="nil"/>
              <w:left w:val="nil"/>
              <w:bottom w:val="nil"/>
              <w:right w:val="nil"/>
            </w:tcBorders>
            <w:shd w:val="clear" w:color="auto" w:fill="auto"/>
            <w:vAlign w:val="bottom"/>
            <w:hideMark/>
          </w:tcPr>
          <w:p w14:paraId="33225923" w14:textId="77777777" w:rsidR="00596A40" w:rsidRPr="00203E93" w:rsidRDefault="00596A40" w:rsidP="00596A40">
            <w:pPr>
              <w:spacing w:line="240" w:lineRule="auto"/>
              <w:jc w:val="right"/>
              <w:rPr>
                <w:rFonts w:cs="Times New Roman"/>
                <w:color w:val="000000"/>
              </w:rPr>
            </w:pPr>
            <w:r w:rsidRPr="00203E93">
              <w:rPr>
                <w:rFonts w:cs="Times New Roman"/>
                <w:color w:val="000000"/>
              </w:rPr>
              <w:t>21</w:t>
            </w:r>
          </w:p>
        </w:tc>
        <w:tc>
          <w:tcPr>
            <w:tcW w:w="595" w:type="dxa"/>
            <w:gridSpan w:val="3"/>
            <w:tcBorders>
              <w:top w:val="nil"/>
              <w:left w:val="nil"/>
              <w:bottom w:val="nil"/>
              <w:right w:val="nil"/>
            </w:tcBorders>
            <w:shd w:val="clear" w:color="auto" w:fill="auto"/>
            <w:noWrap/>
            <w:vAlign w:val="bottom"/>
            <w:hideMark/>
          </w:tcPr>
          <w:p w14:paraId="47C25128"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gridSpan w:val="3"/>
            <w:tcBorders>
              <w:top w:val="nil"/>
              <w:left w:val="nil"/>
              <w:bottom w:val="nil"/>
              <w:right w:val="nil"/>
            </w:tcBorders>
            <w:shd w:val="clear" w:color="auto" w:fill="auto"/>
            <w:vAlign w:val="bottom"/>
            <w:hideMark/>
          </w:tcPr>
          <w:p w14:paraId="04B04347" w14:textId="77777777" w:rsidR="00596A40" w:rsidRPr="00203E93" w:rsidRDefault="00596A40" w:rsidP="00596A40">
            <w:pPr>
              <w:spacing w:line="240" w:lineRule="auto"/>
              <w:jc w:val="center"/>
              <w:rPr>
                <w:rFonts w:cs="Times New Roman"/>
                <w:color w:val="000000"/>
              </w:rPr>
            </w:pPr>
            <w:r w:rsidRPr="00203E93">
              <w:rPr>
                <w:rFonts w:cs="Times New Roman"/>
                <w:color w:val="000000"/>
              </w:rPr>
              <w:t>10%</w:t>
            </w:r>
          </w:p>
        </w:tc>
        <w:tc>
          <w:tcPr>
            <w:tcW w:w="611" w:type="dxa"/>
            <w:gridSpan w:val="3"/>
            <w:tcBorders>
              <w:top w:val="nil"/>
              <w:left w:val="nil"/>
              <w:bottom w:val="nil"/>
              <w:right w:val="nil"/>
            </w:tcBorders>
            <w:shd w:val="clear" w:color="auto" w:fill="auto"/>
            <w:noWrap/>
            <w:vAlign w:val="bottom"/>
            <w:hideMark/>
          </w:tcPr>
          <w:p w14:paraId="7911A2CD" w14:textId="77777777" w:rsidR="00596A40" w:rsidRPr="00203E93" w:rsidRDefault="00596A40" w:rsidP="00596A40">
            <w:pPr>
              <w:spacing w:line="240" w:lineRule="auto"/>
              <w:jc w:val="right"/>
              <w:rPr>
                <w:rFonts w:cs="Times New Roman"/>
                <w:color w:val="000000"/>
              </w:rPr>
            </w:pPr>
            <w:r w:rsidRPr="00203E93">
              <w:rPr>
                <w:rFonts w:cs="Times New Roman"/>
                <w:color w:val="000000"/>
              </w:rPr>
              <w:t>20</w:t>
            </w:r>
          </w:p>
        </w:tc>
        <w:tc>
          <w:tcPr>
            <w:tcW w:w="613" w:type="dxa"/>
            <w:gridSpan w:val="3"/>
            <w:tcBorders>
              <w:top w:val="nil"/>
              <w:left w:val="nil"/>
              <w:bottom w:val="nil"/>
              <w:right w:val="nil"/>
            </w:tcBorders>
            <w:shd w:val="clear" w:color="auto" w:fill="auto"/>
            <w:noWrap/>
            <w:vAlign w:val="bottom"/>
            <w:hideMark/>
          </w:tcPr>
          <w:p w14:paraId="349F9287"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8" w:type="dxa"/>
            <w:tcBorders>
              <w:top w:val="nil"/>
              <w:left w:val="nil"/>
              <w:bottom w:val="nil"/>
              <w:right w:val="nil"/>
            </w:tcBorders>
            <w:shd w:val="clear" w:color="auto" w:fill="auto"/>
            <w:vAlign w:val="bottom"/>
            <w:hideMark/>
          </w:tcPr>
          <w:p w14:paraId="68C508DA" w14:textId="77777777" w:rsidR="00596A40" w:rsidRPr="00203E93" w:rsidRDefault="00596A40" w:rsidP="00596A40">
            <w:pPr>
              <w:spacing w:line="240" w:lineRule="auto"/>
              <w:jc w:val="center"/>
              <w:rPr>
                <w:rFonts w:cs="Times New Roman"/>
                <w:color w:val="000000"/>
              </w:rPr>
            </w:pPr>
            <w:r w:rsidRPr="00203E93">
              <w:rPr>
                <w:rFonts w:cs="Times New Roman"/>
                <w:color w:val="000000"/>
              </w:rPr>
              <w:t>8%</w:t>
            </w:r>
          </w:p>
        </w:tc>
      </w:tr>
      <w:tr w:rsidR="00596A40" w:rsidRPr="00203E93" w14:paraId="31234FC0" w14:textId="77777777" w:rsidTr="00CC74A4">
        <w:trPr>
          <w:trHeight w:val="420"/>
        </w:trPr>
        <w:tc>
          <w:tcPr>
            <w:tcW w:w="3016" w:type="dxa"/>
            <w:tcBorders>
              <w:top w:val="nil"/>
              <w:left w:val="nil"/>
              <w:bottom w:val="nil"/>
              <w:right w:val="nil"/>
            </w:tcBorders>
            <w:shd w:val="clear" w:color="auto" w:fill="auto"/>
            <w:noWrap/>
            <w:vAlign w:val="bottom"/>
            <w:hideMark/>
          </w:tcPr>
          <w:p w14:paraId="70270A76" w14:textId="77777777" w:rsidR="00596A40" w:rsidRPr="00203E93" w:rsidRDefault="00596A40" w:rsidP="00596A40">
            <w:pPr>
              <w:spacing w:line="240" w:lineRule="auto"/>
              <w:rPr>
                <w:rFonts w:cs="Times New Roman"/>
                <w:color w:val="000000"/>
              </w:rPr>
            </w:pPr>
            <w:r w:rsidRPr="00203E93">
              <w:rPr>
                <w:rFonts w:cs="Times New Roman"/>
                <w:color w:val="000000"/>
              </w:rPr>
              <w:t>GCA*Year</w:t>
            </w:r>
          </w:p>
        </w:tc>
        <w:tc>
          <w:tcPr>
            <w:tcW w:w="1000" w:type="dxa"/>
            <w:tcBorders>
              <w:top w:val="nil"/>
              <w:left w:val="nil"/>
              <w:bottom w:val="nil"/>
              <w:right w:val="nil"/>
            </w:tcBorders>
            <w:shd w:val="clear" w:color="auto" w:fill="auto"/>
            <w:vAlign w:val="bottom"/>
            <w:hideMark/>
          </w:tcPr>
          <w:p w14:paraId="24C94A67" w14:textId="77777777" w:rsidR="00596A40" w:rsidRPr="00203E93" w:rsidRDefault="00596A40" w:rsidP="00596A40">
            <w:pPr>
              <w:spacing w:line="240" w:lineRule="auto"/>
              <w:jc w:val="right"/>
              <w:rPr>
                <w:rFonts w:cs="Times New Roman"/>
                <w:color w:val="000000"/>
              </w:rPr>
            </w:pPr>
          </w:p>
        </w:tc>
        <w:tc>
          <w:tcPr>
            <w:tcW w:w="595" w:type="dxa"/>
            <w:gridSpan w:val="2"/>
            <w:tcBorders>
              <w:top w:val="nil"/>
              <w:left w:val="nil"/>
              <w:bottom w:val="nil"/>
              <w:right w:val="nil"/>
            </w:tcBorders>
            <w:shd w:val="clear" w:color="auto" w:fill="auto"/>
            <w:noWrap/>
            <w:vAlign w:val="bottom"/>
            <w:hideMark/>
          </w:tcPr>
          <w:p w14:paraId="59381CDF" w14:textId="77777777" w:rsidR="00596A40" w:rsidRPr="00203E93" w:rsidRDefault="00596A40" w:rsidP="00596A40">
            <w:pPr>
              <w:spacing w:line="240" w:lineRule="auto"/>
              <w:rPr>
                <w:rFonts w:cs="Times New Roman"/>
                <w:color w:val="000000"/>
              </w:rPr>
            </w:pPr>
          </w:p>
        </w:tc>
        <w:tc>
          <w:tcPr>
            <w:tcW w:w="656" w:type="dxa"/>
            <w:gridSpan w:val="3"/>
            <w:tcBorders>
              <w:top w:val="nil"/>
              <w:left w:val="nil"/>
              <w:bottom w:val="nil"/>
              <w:right w:val="nil"/>
            </w:tcBorders>
            <w:shd w:val="clear" w:color="auto" w:fill="auto"/>
            <w:vAlign w:val="bottom"/>
            <w:hideMark/>
          </w:tcPr>
          <w:p w14:paraId="58B86D7A" w14:textId="77777777" w:rsidR="00596A40" w:rsidRPr="00203E93" w:rsidRDefault="00596A40" w:rsidP="00596A40">
            <w:pPr>
              <w:spacing w:line="240" w:lineRule="auto"/>
              <w:jc w:val="center"/>
              <w:rPr>
                <w:rFonts w:cs="Times New Roman"/>
                <w:color w:val="000000"/>
              </w:rPr>
            </w:pPr>
          </w:p>
        </w:tc>
        <w:tc>
          <w:tcPr>
            <w:tcW w:w="968" w:type="dxa"/>
            <w:gridSpan w:val="3"/>
            <w:tcBorders>
              <w:top w:val="nil"/>
              <w:left w:val="nil"/>
              <w:bottom w:val="nil"/>
              <w:right w:val="nil"/>
            </w:tcBorders>
            <w:shd w:val="clear" w:color="auto" w:fill="auto"/>
            <w:vAlign w:val="bottom"/>
            <w:hideMark/>
          </w:tcPr>
          <w:p w14:paraId="364CD2B0" w14:textId="77777777" w:rsidR="00596A40" w:rsidRPr="00203E93" w:rsidRDefault="00596A40" w:rsidP="00596A40">
            <w:pPr>
              <w:spacing w:line="240" w:lineRule="auto"/>
              <w:jc w:val="right"/>
              <w:rPr>
                <w:rFonts w:cs="Times New Roman"/>
                <w:color w:val="000000"/>
              </w:rPr>
            </w:pPr>
          </w:p>
        </w:tc>
        <w:tc>
          <w:tcPr>
            <w:tcW w:w="595" w:type="dxa"/>
            <w:gridSpan w:val="3"/>
            <w:tcBorders>
              <w:top w:val="nil"/>
              <w:left w:val="nil"/>
              <w:bottom w:val="nil"/>
              <w:right w:val="nil"/>
            </w:tcBorders>
            <w:shd w:val="clear" w:color="auto" w:fill="auto"/>
            <w:noWrap/>
            <w:vAlign w:val="bottom"/>
            <w:hideMark/>
          </w:tcPr>
          <w:p w14:paraId="3C3B7CF5" w14:textId="77777777" w:rsidR="00596A40" w:rsidRPr="00203E93" w:rsidRDefault="00596A40" w:rsidP="00596A40">
            <w:pPr>
              <w:spacing w:line="240" w:lineRule="auto"/>
              <w:rPr>
                <w:rFonts w:cs="Times New Roman"/>
                <w:color w:val="000000"/>
              </w:rPr>
            </w:pPr>
          </w:p>
        </w:tc>
        <w:tc>
          <w:tcPr>
            <w:tcW w:w="656" w:type="dxa"/>
            <w:gridSpan w:val="3"/>
            <w:tcBorders>
              <w:top w:val="nil"/>
              <w:left w:val="nil"/>
              <w:bottom w:val="nil"/>
              <w:right w:val="nil"/>
            </w:tcBorders>
            <w:shd w:val="clear" w:color="auto" w:fill="auto"/>
            <w:vAlign w:val="bottom"/>
            <w:hideMark/>
          </w:tcPr>
          <w:p w14:paraId="5135A6BC" w14:textId="77777777" w:rsidR="00596A40" w:rsidRPr="00203E93" w:rsidRDefault="00596A40" w:rsidP="00596A40">
            <w:pPr>
              <w:spacing w:line="240" w:lineRule="auto"/>
              <w:jc w:val="center"/>
              <w:rPr>
                <w:rFonts w:cs="Times New Roman"/>
                <w:color w:val="000000"/>
              </w:rPr>
            </w:pPr>
          </w:p>
        </w:tc>
        <w:tc>
          <w:tcPr>
            <w:tcW w:w="611" w:type="dxa"/>
            <w:gridSpan w:val="3"/>
            <w:tcBorders>
              <w:top w:val="nil"/>
              <w:left w:val="nil"/>
              <w:bottom w:val="nil"/>
              <w:right w:val="nil"/>
            </w:tcBorders>
            <w:shd w:val="clear" w:color="auto" w:fill="auto"/>
            <w:noWrap/>
            <w:vAlign w:val="bottom"/>
            <w:hideMark/>
          </w:tcPr>
          <w:p w14:paraId="124A4B13" w14:textId="77777777" w:rsidR="00596A40" w:rsidRPr="00203E93" w:rsidRDefault="00596A40" w:rsidP="00596A40">
            <w:pPr>
              <w:spacing w:line="240" w:lineRule="auto"/>
              <w:jc w:val="right"/>
              <w:rPr>
                <w:rFonts w:cs="Times New Roman"/>
                <w:color w:val="000000"/>
              </w:rPr>
            </w:pPr>
            <w:r w:rsidRPr="00203E93">
              <w:rPr>
                <w:rFonts w:cs="Times New Roman"/>
                <w:color w:val="000000"/>
              </w:rPr>
              <w:t>2</w:t>
            </w:r>
          </w:p>
        </w:tc>
        <w:tc>
          <w:tcPr>
            <w:tcW w:w="613" w:type="dxa"/>
            <w:gridSpan w:val="3"/>
            <w:tcBorders>
              <w:top w:val="nil"/>
              <w:left w:val="nil"/>
              <w:bottom w:val="nil"/>
              <w:right w:val="nil"/>
            </w:tcBorders>
            <w:shd w:val="clear" w:color="auto" w:fill="auto"/>
            <w:noWrap/>
            <w:vAlign w:val="bottom"/>
            <w:hideMark/>
          </w:tcPr>
          <w:p w14:paraId="472EC409"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8" w:type="dxa"/>
            <w:tcBorders>
              <w:top w:val="nil"/>
              <w:left w:val="nil"/>
              <w:bottom w:val="nil"/>
              <w:right w:val="nil"/>
            </w:tcBorders>
            <w:shd w:val="clear" w:color="auto" w:fill="auto"/>
            <w:vAlign w:val="bottom"/>
            <w:hideMark/>
          </w:tcPr>
          <w:p w14:paraId="68236695" w14:textId="77777777" w:rsidR="00596A40" w:rsidRPr="00203E93" w:rsidRDefault="00596A40" w:rsidP="00596A40">
            <w:pPr>
              <w:spacing w:line="240" w:lineRule="auto"/>
              <w:jc w:val="center"/>
              <w:rPr>
                <w:rFonts w:cs="Times New Roman"/>
                <w:color w:val="000000"/>
              </w:rPr>
            </w:pPr>
            <w:r w:rsidRPr="00203E93">
              <w:rPr>
                <w:rFonts w:cs="Times New Roman"/>
                <w:color w:val="000000"/>
              </w:rPr>
              <w:t>1%</w:t>
            </w:r>
          </w:p>
        </w:tc>
      </w:tr>
      <w:tr w:rsidR="00596A40" w:rsidRPr="00203E93" w14:paraId="5B00C7C4" w14:textId="77777777" w:rsidTr="00CC74A4">
        <w:trPr>
          <w:trHeight w:val="315"/>
        </w:trPr>
        <w:tc>
          <w:tcPr>
            <w:tcW w:w="3016" w:type="dxa"/>
            <w:tcBorders>
              <w:top w:val="nil"/>
              <w:left w:val="nil"/>
              <w:bottom w:val="nil"/>
              <w:right w:val="nil"/>
            </w:tcBorders>
            <w:shd w:val="clear" w:color="auto" w:fill="auto"/>
            <w:noWrap/>
            <w:vAlign w:val="bottom"/>
            <w:hideMark/>
          </w:tcPr>
          <w:p w14:paraId="32B748A0" w14:textId="77777777" w:rsidR="00596A40" w:rsidRPr="00203E93" w:rsidRDefault="00596A40" w:rsidP="00596A40">
            <w:pPr>
              <w:spacing w:line="240" w:lineRule="auto"/>
              <w:rPr>
                <w:rFonts w:cs="Times New Roman"/>
                <w:color w:val="000000"/>
              </w:rPr>
            </w:pPr>
            <w:r w:rsidRPr="00203E93">
              <w:rPr>
                <w:rFonts w:cs="Times New Roman"/>
                <w:color w:val="000000"/>
              </w:rPr>
              <w:t>SCA*Block(Location)</w:t>
            </w:r>
          </w:p>
        </w:tc>
        <w:tc>
          <w:tcPr>
            <w:tcW w:w="1000" w:type="dxa"/>
            <w:tcBorders>
              <w:top w:val="nil"/>
              <w:left w:val="nil"/>
              <w:bottom w:val="nil"/>
              <w:right w:val="nil"/>
            </w:tcBorders>
            <w:shd w:val="clear" w:color="auto" w:fill="auto"/>
            <w:vAlign w:val="bottom"/>
            <w:hideMark/>
          </w:tcPr>
          <w:p w14:paraId="3C69EDBA" w14:textId="77777777" w:rsidR="00596A40" w:rsidRPr="00203E93" w:rsidRDefault="00596A40" w:rsidP="00596A40">
            <w:pPr>
              <w:spacing w:line="240" w:lineRule="auto"/>
              <w:jc w:val="right"/>
              <w:rPr>
                <w:rFonts w:cs="Times New Roman"/>
                <w:color w:val="000000"/>
              </w:rPr>
            </w:pPr>
            <w:r w:rsidRPr="00203E93">
              <w:rPr>
                <w:rFonts w:cs="Times New Roman"/>
                <w:color w:val="000000"/>
              </w:rPr>
              <w:t>1</w:t>
            </w:r>
          </w:p>
        </w:tc>
        <w:tc>
          <w:tcPr>
            <w:tcW w:w="595" w:type="dxa"/>
            <w:gridSpan w:val="2"/>
            <w:tcBorders>
              <w:top w:val="nil"/>
              <w:left w:val="nil"/>
              <w:bottom w:val="nil"/>
              <w:right w:val="nil"/>
            </w:tcBorders>
            <w:shd w:val="clear" w:color="auto" w:fill="auto"/>
            <w:noWrap/>
            <w:vAlign w:val="bottom"/>
            <w:hideMark/>
          </w:tcPr>
          <w:p w14:paraId="46D1DCF9"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gridSpan w:val="3"/>
            <w:tcBorders>
              <w:top w:val="nil"/>
              <w:left w:val="nil"/>
              <w:bottom w:val="nil"/>
              <w:right w:val="nil"/>
            </w:tcBorders>
            <w:shd w:val="clear" w:color="auto" w:fill="auto"/>
            <w:vAlign w:val="bottom"/>
            <w:hideMark/>
          </w:tcPr>
          <w:p w14:paraId="7C172594" w14:textId="77777777" w:rsidR="00596A40" w:rsidRPr="00203E93" w:rsidRDefault="00596A40" w:rsidP="00596A40">
            <w:pPr>
              <w:spacing w:line="240" w:lineRule="auto"/>
              <w:jc w:val="center"/>
              <w:rPr>
                <w:rFonts w:cs="Times New Roman"/>
                <w:color w:val="000000"/>
              </w:rPr>
            </w:pPr>
            <w:r w:rsidRPr="00203E93">
              <w:rPr>
                <w:rFonts w:cs="Times New Roman"/>
                <w:color w:val="000000"/>
              </w:rPr>
              <w:t>0%</w:t>
            </w:r>
          </w:p>
        </w:tc>
        <w:tc>
          <w:tcPr>
            <w:tcW w:w="968" w:type="dxa"/>
            <w:gridSpan w:val="3"/>
            <w:tcBorders>
              <w:top w:val="nil"/>
              <w:left w:val="nil"/>
              <w:bottom w:val="nil"/>
              <w:right w:val="nil"/>
            </w:tcBorders>
            <w:shd w:val="clear" w:color="auto" w:fill="auto"/>
            <w:vAlign w:val="bottom"/>
            <w:hideMark/>
          </w:tcPr>
          <w:p w14:paraId="1F0998E7" w14:textId="77777777" w:rsidR="00596A40" w:rsidRPr="00203E93" w:rsidRDefault="00596A40" w:rsidP="00596A40">
            <w:pPr>
              <w:spacing w:line="240" w:lineRule="auto"/>
              <w:jc w:val="right"/>
              <w:rPr>
                <w:rFonts w:cs="Times New Roman"/>
                <w:color w:val="000000"/>
              </w:rPr>
            </w:pPr>
            <w:r w:rsidRPr="00203E93">
              <w:rPr>
                <w:rFonts w:cs="Times New Roman"/>
                <w:color w:val="000000"/>
              </w:rPr>
              <w:t>2</w:t>
            </w:r>
          </w:p>
        </w:tc>
        <w:tc>
          <w:tcPr>
            <w:tcW w:w="595" w:type="dxa"/>
            <w:gridSpan w:val="3"/>
            <w:tcBorders>
              <w:top w:val="nil"/>
              <w:left w:val="nil"/>
              <w:bottom w:val="nil"/>
              <w:right w:val="nil"/>
            </w:tcBorders>
            <w:shd w:val="clear" w:color="auto" w:fill="auto"/>
            <w:noWrap/>
            <w:vAlign w:val="bottom"/>
            <w:hideMark/>
          </w:tcPr>
          <w:p w14:paraId="4E3B8C64"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gridSpan w:val="3"/>
            <w:tcBorders>
              <w:top w:val="nil"/>
              <w:left w:val="nil"/>
              <w:bottom w:val="nil"/>
              <w:right w:val="nil"/>
            </w:tcBorders>
            <w:shd w:val="clear" w:color="auto" w:fill="auto"/>
            <w:vAlign w:val="bottom"/>
            <w:hideMark/>
          </w:tcPr>
          <w:p w14:paraId="5D85B430" w14:textId="77777777" w:rsidR="00596A40" w:rsidRPr="00203E93" w:rsidRDefault="00596A40" w:rsidP="00596A40">
            <w:pPr>
              <w:spacing w:line="240" w:lineRule="auto"/>
              <w:jc w:val="center"/>
              <w:rPr>
                <w:rFonts w:cs="Times New Roman"/>
                <w:color w:val="000000"/>
              </w:rPr>
            </w:pPr>
            <w:r w:rsidRPr="00203E93">
              <w:rPr>
                <w:rFonts w:cs="Times New Roman"/>
                <w:color w:val="000000"/>
              </w:rPr>
              <w:t>1%</w:t>
            </w:r>
          </w:p>
        </w:tc>
        <w:tc>
          <w:tcPr>
            <w:tcW w:w="611" w:type="dxa"/>
            <w:gridSpan w:val="3"/>
            <w:tcBorders>
              <w:top w:val="nil"/>
              <w:left w:val="nil"/>
              <w:bottom w:val="nil"/>
              <w:right w:val="nil"/>
            </w:tcBorders>
            <w:shd w:val="clear" w:color="auto" w:fill="auto"/>
            <w:noWrap/>
            <w:vAlign w:val="bottom"/>
            <w:hideMark/>
          </w:tcPr>
          <w:p w14:paraId="6D5E89CC" w14:textId="77777777" w:rsidR="00596A40" w:rsidRPr="00203E93" w:rsidRDefault="00596A40" w:rsidP="00596A40">
            <w:pPr>
              <w:spacing w:line="240" w:lineRule="auto"/>
              <w:jc w:val="right"/>
              <w:rPr>
                <w:rFonts w:cs="Times New Roman"/>
                <w:color w:val="000000"/>
              </w:rPr>
            </w:pPr>
            <w:r w:rsidRPr="00203E93">
              <w:rPr>
                <w:rFonts w:cs="Times New Roman"/>
                <w:color w:val="000000"/>
              </w:rPr>
              <w:t>18</w:t>
            </w:r>
          </w:p>
        </w:tc>
        <w:tc>
          <w:tcPr>
            <w:tcW w:w="613" w:type="dxa"/>
            <w:gridSpan w:val="3"/>
            <w:tcBorders>
              <w:top w:val="nil"/>
              <w:left w:val="nil"/>
              <w:bottom w:val="nil"/>
              <w:right w:val="nil"/>
            </w:tcBorders>
            <w:shd w:val="clear" w:color="auto" w:fill="auto"/>
            <w:noWrap/>
            <w:vAlign w:val="bottom"/>
            <w:hideMark/>
          </w:tcPr>
          <w:p w14:paraId="5ED95AAF"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8" w:type="dxa"/>
            <w:tcBorders>
              <w:top w:val="nil"/>
              <w:left w:val="nil"/>
              <w:bottom w:val="nil"/>
              <w:right w:val="nil"/>
            </w:tcBorders>
            <w:shd w:val="clear" w:color="auto" w:fill="auto"/>
            <w:vAlign w:val="bottom"/>
            <w:hideMark/>
          </w:tcPr>
          <w:p w14:paraId="5378C3EA" w14:textId="77777777" w:rsidR="00596A40" w:rsidRPr="00203E93" w:rsidRDefault="00596A40" w:rsidP="00596A40">
            <w:pPr>
              <w:spacing w:line="240" w:lineRule="auto"/>
              <w:jc w:val="center"/>
              <w:rPr>
                <w:rFonts w:cs="Times New Roman"/>
                <w:color w:val="000000"/>
              </w:rPr>
            </w:pPr>
            <w:r w:rsidRPr="00203E93">
              <w:rPr>
                <w:rFonts w:cs="Times New Roman"/>
                <w:color w:val="000000"/>
              </w:rPr>
              <w:t>7%</w:t>
            </w:r>
          </w:p>
        </w:tc>
      </w:tr>
      <w:tr w:rsidR="00596A40" w:rsidRPr="00203E93" w14:paraId="10211AA7" w14:textId="77777777" w:rsidTr="00CC74A4">
        <w:trPr>
          <w:trHeight w:val="330"/>
        </w:trPr>
        <w:tc>
          <w:tcPr>
            <w:tcW w:w="3016" w:type="dxa"/>
            <w:tcBorders>
              <w:top w:val="nil"/>
              <w:left w:val="nil"/>
              <w:bottom w:val="single" w:sz="8" w:space="0" w:color="auto"/>
              <w:right w:val="nil"/>
            </w:tcBorders>
            <w:shd w:val="clear" w:color="auto" w:fill="auto"/>
            <w:noWrap/>
            <w:vAlign w:val="bottom"/>
            <w:hideMark/>
          </w:tcPr>
          <w:p w14:paraId="47FC8949" w14:textId="77777777" w:rsidR="00596A40" w:rsidRPr="00203E93" w:rsidRDefault="00596A40" w:rsidP="00596A40">
            <w:pPr>
              <w:spacing w:line="240" w:lineRule="auto"/>
              <w:rPr>
                <w:rFonts w:cs="Times New Roman"/>
                <w:color w:val="000000"/>
              </w:rPr>
            </w:pPr>
            <w:r w:rsidRPr="00203E93">
              <w:rPr>
                <w:rFonts w:cs="Times New Roman"/>
                <w:color w:val="000000"/>
              </w:rPr>
              <w:t>Residual</w:t>
            </w:r>
          </w:p>
        </w:tc>
        <w:tc>
          <w:tcPr>
            <w:tcW w:w="1000" w:type="dxa"/>
            <w:tcBorders>
              <w:top w:val="nil"/>
              <w:left w:val="nil"/>
              <w:bottom w:val="single" w:sz="8" w:space="0" w:color="auto"/>
              <w:right w:val="nil"/>
            </w:tcBorders>
            <w:shd w:val="clear" w:color="auto" w:fill="auto"/>
            <w:vAlign w:val="bottom"/>
            <w:hideMark/>
          </w:tcPr>
          <w:p w14:paraId="3E2BA29E" w14:textId="77777777" w:rsidR="00596A40" w:rsidRPr="00203E93" w:rsidRDefault="00596A40" w:rsidP="00596A40">
            <w:pPr>
              <w:spacing w:line="240" w:lineRule="auto"/>
              <w:jc w:val="right"/>
              <w:rPr>
                <w:rFonts w:cs="Times New Roman"/>
                <w:color w:val="000000"/>
              </w:rPr>
            </w:pPr>
            <w:r w:rsidRPr="00203E93">
              <w:rPr>
                <w:rFonts w:cs="Times New Roman"/>
                <w:color w:val="000000"/>
              </w:rPr>
              <w:t>256</w:t>
            </w:r>
          </w:p>
        </w:tc>
        <w:tc>
          <w:tcPr>
            <w:tcW w:w="595" w:type="dxa"/>
            <w:gridSpan w:val="2"/>
            <w:tcBorders>
              <w:top w:val="nil"/>
              <w:left w:val="nil"/>
              <w:bottom w:val="single" w:sz="8" w:space="0" w:color="auto"/>
              <w:right w:val="nil"/>
            </w:tcBorders>
            <w:shd w:val="clear" w:color="auto" w:fill="auto"/>
            <w:noWrap/>
            <w:vAlign w:val="bottom"/>
            <w:hideMark/>
          </w:tcPr>
          <w:p w14:paraId="2B0A4CDC"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gridSpan w:val="3"/>
            <w:tcBorders>
              <w:top w:val="nil"/>
              <w:left w:val="nil"/>
              <w:bottom w:val="single" w:sz="8" w:space="0" w:color="auto"/>
              <w:right w:val="nil"/>
            </w:tcBorders>
            <w:shd w:val="clear" w:color="auto" w:fill="auto"/>
            <w:vAlign w:val="bottom"/>
            <w:hideMark/>
          </w:tcPr>
          <w:p w14:paraId="45335602" w14:textId="77777777" w:rsidR="00596A40" w:rsidRPr="00203E93" w:rsidRDefault="00596A40" w:rsidP="00596A40">
            <w:pPr>
              <w:spacing w:line="240" w:lineRule="auto"/>
              <w:jc w:val="center"/>
              <w:rPr>
                <w:rFonts w:cs="Times New Roman"/>
                <w:color w:val="000000"/>
              </w:rPr>
            </w:pPr>
            <w:r w:rsidRPr="00203E93">
              <w:rPr>
                <w:rFonts w:cs="Times New Roman"/>
                <w:color w:val="000000"/>
              </w:rPr>
              <w:t>87%</w:t>
            </w:r>
          </w:p>
        </w:tc>
        <w:tc>
          <w:tcPr>
            <w:tcW w:w="968" w:type="dxa"/>
            <w:gridSpan w:val="3"/>
            <w:tcBorders>
              <w:top w:val="nil"/>
              <w:left w:val="nil"/>
              <w:bottom w:val="single" w:sz="8" w:space="0" w:color="auto"/>
              <w:right w:val="nil"/>
            </w:tcBorders>
            <w:shd w:val="clear" w:color="auto" w:fill="auto"/>
            <w:vAlign w:val="bottom"/>
            <w:hideMark/>
          </w:tcPr>
          <w:p w14:paraId="5D776C82" w14:textId="77777777" w:rsidR="00596A40" w:rsidRPr="00203E93" w:rsidRDefault="00596A40" w:rsidP="00596A40">
            <w:pPr>
              <w:spacing w:line="240" w:lineRule="auto"/>
              <w:jc w:val="right"/>
              <w:rPr>
                <w:rFonts w:cs="Times New Roman"/>
                <w:color w:val="000000"/>
              </w:rPr>
            </w:pPr>
            <w:r w:rsidRPr="00203E93">
              <w:rPr>
                <w:rFonts w:cs="Times New Roman"/>
                <w:color w:val="000000"/>
              </w:rPr>
              <w:t>168</w:t>
            </w:r>
          </w:p>
        </w:tc>
        <w:tc>
          <w:tcPr>
            <w:tcW w:w="595" w:type="dxa"/>
            <w:gridSpan w:val="3"/>
            <w:tcBorders>
              <w:top w:val="nil"/>
              <w:left w:val="nil"/>
              <w:bottom w:val="single" w:sz="8" w:space="0" w:color="auto"/>
              <w:right w:val="nil"/>
            </w:tcBorders>
            <w:shd w:val="clear" w:color="auto" w:fill="auto"/>
            <w:noWrap/>
            <w:vAlign w:val="bottom"/>
            <w:hideMark/>
          </w:tcPr>
          <w:p w14:paraId="498A92A4"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gridSpan w:val="3"/>
            <w:tcBorders>
              <w:top w:val="nil"/>
              <w:left w:val="nil"/>
              <w:bottom w:val="single" w:sz="8" w:space="0" w:color="auto"/>
              <w:right w:val="nil"/>
            </w:tcBorders>
            <w:shd w:val="clear" w:color="auto" w:fill="auto"/>
            <w:vAlign w:val="bottom"/>
            <w:hideMark/>
          </w:tcPr>
          <w:p w14:paraId="64286821" w14:textId="77777777" w:rsidR="00596A40" w:rsidRPr="00203E93" w:rsidRDefault="00596A40" w:rsidP="00596A40">
            <w:pPr>
              <w:spacing w:line="240" w:lineRule="auto"/>
              <w:jc w:val="center"/>
              <w:rPr>
                <w:rFonts w:cs="Times New Roman"/>
                <w:color w:val="000000"/>
              </w:rPr>
            </w:pPr>
            <w:r w:rsidRPr="00203E93">
              <w:rPr>
                <w:rFonts w:cs="Times New Roman"/>
                <w:color w:val="000000"/>
              </w:rPr>
              <w:t>79%</w:t>
            </w:r>
          </w:p>
        </w:tc>
        <w:tc>
          <w:tcPr>
            <w:tcW w:w="611" w:type="dxa"/>
            <w:gridSpan w:val="3"/>
            <w:tcBorders>
              <w:top w:val="nil"/>
              <w:left w:val="nil"/>
              <w:bottom w:val="single" w:sz="8" w:space="0" w:color="auto"/>
              <w:right w:val="nil"/>
            </w:tcBorders>
            <w:shd w:val="clear" w:color="auto" w:fill="auto"/>
            <w:noWrap/>
            <w:vAlign w:val="bottom"/>
            <w:hideMark/>
          </w:tcPr>
          <w:p w14:paraId="7D2FAFEC" w14:textId="77777777" w:rsidR="00596A40" w:rsidRPr="00203E93" w:rsidRDefault="00596A40" w:rsidP="00596A40">
            <w:pPr>
              <w:spacing w:line="240" w:lineRule="auto"/>
              <w:jc w:val="right"/>
              <w:rPr>
                <w:rFonts w:cs="Times New Roman"/>
                <w:color w:val="000000"/>
              </w:rPr>
            </w:pPr>
            <w:r w:rsidRPr="00203E93">
              <w:rPr>
                <w:rFonts w:cs="Times New Roman"/>
                <w:color w:val="000000"/>
              </w:rPr>
              <w:t>199</w:t>
            </w:r>
          </w:p>
        </w:tc>
        <w:tc>
          <w:tcPr>
            <w:tcW w:w="613" w:type="dxa"/>
            <w:gridSpan w:val="3"/>
            <w:tcBorders>
              <w:top w:val="nil"/>
              <w:left w:val="nil"/>
              <w:bottom w:val="single" w:sz="8" w:space="0" w:color="auto"/>
              <w:right w:val="nil"/>
            </w:tcBorders>
            <w:shd w:val="clear" w:color="auto" w:fill="auto"/>
            <w:noWrap/>
            <w:vAlign w:val="bottom"/>
            <w:hideMark/>
          </w:tcPr>
          <w:p w14:paraId="297CED31"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8" w:type="dxa"/>
            <w:tcBorders>
              <w:top w:val="nil"/>
              <w:left w:val="nil"/>
              <w:bottom w:val="single" w:sz="8" w:space="0" w:color="auto"/>
              <w:right w:val="nil"/>
            </w:tcBorders>
            <w:shd w:val="clear" w:color="auto" w:fill="auto"/>
            <w:vAlign w:val="bottom"/>
            <w:hideMark/>
          </w:tcPr>
          <w:p w14:paraId="38A43F67" w14:textId="77777777" w:rsidR="00596A40" w:rsidRPr="00203E93" w:rsidRDefault="00596A40" w:rsidP="00596A40">
            <w:pPr>
              <w:spacing w:line="240" w:lineRule="auto"/>
              <w:jc w:val="center"/>
              <w:rPr>
                <w:rFonts w:cs="Times New Roman"/>
                <w:color w:val="000000"/>
              </w:rPr>
            </w:pPr>
            <w:r w:rsidRPr="00203E93">
              <w:rPr>
                <w:rFonts w:cs="Times New Roman"/>
                <w:color w:val="000000"/>
              </w:rPr>
              <w:t>78%</w:t>
            </w:r>
          </w:p>
        </w:tc>
      </w:tr>
      <w:tr w:rsidR="00596A40" w:rsidRPr="00203E93" w14:paraId="1CBF093E" w14:textId="77777777" w:rsidTr="00CC74A4">
        <w:trPr>
          <w:trHeight w:val="315"/>
        </w:trPr>
        <w:tc>
          <w:tcPr>
            <w:tcW w:w="3016" w:type="dxa"/>
            <w:tcBorders>
              <w:top w:val="single" w:sz="8" w:space="0" w:color="auto"/>
              <w:left w:val="nil"/>
              <w:bottom w:val="nil"/>
              <w:right w:val="nil"/>
            </w:tcBorders>
            <w:shd w:val="clear" w:color="auto" w:fill="auto"/>
            <w:noWrap/>
            <w:vAlign w:val="bottom"/>
            <w:hideMark/>
          </w:tcPr>
          <w:p w14:paraId="6108300A" w14:textId="77777777" w:rsidR="00596A40" w:rsidRPr="00203E93" w:rsidRDefault="00596A40" w:rsidP="00596A40">
            <w:pPr>
              <w:spacing w:line="240" w:lineRule="auto"/>
              <w:rPr>
                <w:rFonts w:cs="Times New Roman"/>
                <w:color w:val="000000"/>
              </w:rPr>
            </w:pPr>
            <w:r>
              <w:br w:type="page"/>
            </w:r>
            <w:r w:rsidRPr="00203E93">
              <w:rPr>
                <w:rFonts w:cs="Times New Roman"/>
                <w:color w:val="000000"/>
              </w:rPr>
              <w:t> </w:t>
            </w:r>
          </w:p>
        </w:tc>
        <w:tc>
          <w:tcPr>
            <w:tcW w:w="6352" w:type="dxa"/>
            <w:gridSpan w:val="22"/>
            <w:tcBorders>
              <w:top w:val="single" w:sz="8" w:space="0" w:color="auto"/>
              <w:left w:val="nil"/>
              <w:bottom w:val="single" w:sz="4" w:space="0" w:color="auto"/>
              <w:right w:val="nil"/>
            </w:tcBorders>
            <w:shd w:val="clear" w:color="auto" w:fill="auto"/>
            <w:noWrap/>
            <w:vAlign w:val="bottom"/>
            <w:hideMark/>
          </w:tcPr>
          <w:p w14:paraId="1227D264" w14:textId="6004A2CE" w:rsidR="00596A40" w:rsidRPr="00203E93" w:rsidRDefault="00596A40" w:rsidP="009D15AB">
            <w:pPr>
              <w:spacing w:line="240" w:lineRule="auto"/>
              <w:jc w:val="center"/>
              <w:rPr>
                <w:rFonts w:cs="Times New Roman"/>
                <w:color w:val="000000"/>
              </w:rPr>
            </w:pPr>
            <w:r>
              <w:rPr>
                <w:rFonts w:cs="Times New Roman"/>
                <w:color w:val="000000"/>
              </w:rPr>
              <w:t>Spring Height</w:t>
            </w:r>
            <w:r w:rsidRPr="00203E93">
              <w:rPr>
                <w:rFonts w:cs="Times New Roman"/>
                <w:color w:val="000000"/>
              </w:rPr>
              <w:t xml:space="preserve"> </w:t>
            </w:r>
          </w:p>
        </w:tc>
      </w:tr>
      <w:tr w:rsidR="00596A40" w:rsidRPr="00203E93" w14:paraId="13EA5772" w14:textId="77777777" w:rsidTr="00CC74A4">
        <w:trPr>
          <w:trHeight w:val="330"/>
        </w:trPr>
        <w:tc>
          <w:tcPr>
            <w:tcW w:w="3016" w:type="dxa"/>
            <w:tcBorders>
              <w:top w:val="nil"/>
              <w:left w:val="nil"/>
              <w:bottom w:val="single" w:sz="8" w:space="0" w:color="auto"/>
              <w:right w:val="nil"/>
            </w:tcBorders>
            <w:shd w:val="clear" w:color="auto" w:fill="auto"/>
            <w:vAlign w:val="bottom"/>
            <w:hideMark/>
          </w:tcPr>
          <w:p w14:paraId="67D24ADD" w14:textId="77777777" w:rsidR="00596A40" w:rsidRPr="00203E93" w:rsidRDefault="00596A40" w:rsidP="00596A40">
            <w:pPr>
              <w:spacing w:line="240" w:lineRule="auto"/>
              <w:rPr>
                <w:rFonts w:cs="Times New Roman"/>
                <w:color w:val="000000"/>
              </w:rPr>
            </w:pPr>
            <w:r w:rsidRPr="00203E93">
              <w:rPr>
                <w:rFonts w:cs="Times New Roman"/>
                <w:color w:val="000000"/>
              </w:rPr>
              <w:t>Source of Variation</w:t>
            </w:r>
          </w:p>
        </w:tc>
        <w:tc>
          <w:tcPr>
            <w:tcW w:w="2259" w:type="dxa"/>
            <w:gridSpan w:val="7"/>
            <w:tcBorders>
              <w:top w:val="nil"/>
              <w:left w:val="nil"/>
              <w:bottom w:val="single" w:sz="8" w:space="0" w:color="auto"/>
              <w:right w:val="nil"/>
            </w:tcBorders>
            <w:shd w:val="clear" w:color="auto" w:fill="auto"/>
            <w:vAlign w:val="bottom"/>
            <w:hideMark/>
          </w:tcPr>
          <w:p w14:paraId="098EFB19" w14:textId="77777777" w:rsidR="00596A40" w:rsidRPr="00203E93" w:rsidRDefault="00596A40" w:rsidP="00596A40">
            <w:pPr>
              <w:spacing w:line="240" w:lineRule="auto"/>
              <w:jc w:val="center"/>
              <w:rPr>
                <w:rFonts w:cs="Times New Roman"/>
                <w:color w:val="000000"/>
              </w:rPr>
            </w:pPr>
            <w:r w:rsidRPr="00203E93">
              <w:rPr>
                <w:rFonts w:cs="Times New Roman"/>
                <w:color w:val="000000"/>
              </w:rPr>
              <w:t>2013</w:t>
            </w:r>
          </w:p>
        </w:tc>
        <w:tc>
          <w:tcPr>
            <w:tcW w:w="2227" w:type="dxa"/>
            <w:gridSpan w:val="9"/>
            <w:tcBorders>
              <w:top w:val="nil"/>
              <w:left w:val="nil"/>
              <w:bottom w:val="single" w:sz="8" w:space="0" w:color="auto"/>
              <w:right w:val="nil"/>
            </w:tcBorders>
            <w:shd w:val="clear" w:color="auto" w:fill="auto"/>
            <w:vAlign w:val="bottom"/>
            <w:hideMark/>
          </w:tcPr>
          <w:p w14:paraId="4D439665" w14:textId="77777777" w:rsidR="00596A40" w:rsidRPr="00203E93" w:rsidRDefault="00596A40" w:rsidP="00596A40">
            <w:pPr>
              <w:spacing w:line="240" w:lineRule="auto"/>
              <w:jc w:val="center"/>
              <w:rPr>
                <w:rFonts w:cs="Times New Roman"/>
                <w:color w:val="000000"/>
              </w:rPr>
            </w:pPr>
            <w:r w:rsidRPr="00203E93">
              <w:rPr>
                <w:rFonts w:cs="Times New Roman"/>
                <w:color w:val="000000"/>
              </w:rPr>
              <w:t>2014</w:t>
            </w:r>
          </w:p>
        </w:tc>
        <w:tc>
          <w:tcPr>
            <w:tcW w:w="1866" w:type="dxa"/>
            <w:gridSpan w:val="6"/>
            <w:tcBorders>
              <w:top w:val="nil"/>
              <w:left w:val="nil"/>
              <w:bottom w:val="single" w:sz="8" w:space="0" w:color="auto"/>
              <w:right w:val="nil"/>
            </w:tcBorders>
            <w:shd w:val="clear" w:color="auto" w:fill="auto"/>
            <w:vAlign w:val="bottom"/>
            <w:hideMark/>
          </w:tcPr>
          <w:p w14:paraId="34ED6FE4" w14:textId="77777777" w:rsidR="00596A40" w:rsidRPr="00203E93" w:rsidRDefault="00596A40" w:rsidP="00596A40">
            <w:pPr>
              <w:spacing w:line="240" w:lineRule="auto"/>
              <w:jc w:val="center"/>
              <w:rPr>
                <w:rFonts w:cs="Times New Roman"/>
                <w:color w:val="000000"/>
              </w:rPr>
            </w:pPr>
            <w:r w:rsidRPr="00203E93">
              <w:rPr>
                <w:rFonts w:cs="Times New Roman"/>
                <w:color w:val="000000"/>
              </w:rPr>
              <w:t>Combined</w:t>
            </w:r>
          </w:p>
        </w:tc>
      </w:tr>
      <w:tr w:rsidR="00596A40" w:rsidRPr="00203E93" w14:paraId="6ABD7909" w14:textId="77777777" w:rsidTr="00CC74A4">
        <w:trPr>
          <w:trHeight w:val="405"/>
        </w:trPr>
        <w:tc>
          <w:tcPr>
            <w:tcW w:w="3016" w:type="dxa"/>
            <w:tcBorders>
              <w:top w:val="nil"/>
              <w:left w:val="nil"/>
              <w:bottom w:val="nil"/>
              <w:right w:val="nil"/>
            </w:tcBorders>
            <w:shd w:val="clear" w:color="auto" w:fill="auto"/>
            <w:noWrap/>
            <w:vAlign w:val="bottom"/>
            <w:hideMark/>
          </w:tcPr>
          <w:p w14:paraId="20296D2F" w14:textId="77777777" w:rsidR="00596A40" w:rsidRPr="00203E93" w:rsidRDefault="00596A40" w:rsidP="00596A40">
            <w:pPr>
              <w:spacing w:line="240" w:lineRule="auto"/>
              <w:rPr>
                <w:rFonts w:cs="Times New Roman"/>
                <w:color w:val="000000"/>
              </w:rPr>
            </w:pPr>
            <w:r w:rsidRPr="00203E93">
              <w:rPr>
                <w:rFonts w:cs="Times New Roman"/>
                <w:color w:val="000000"/>
              </w:rPr>
              <w:t>GCA</w:t>
            </w:r>
          </w:p>
        </w:tc>
        <w:tc>
          <w:tcPr>
            <w:tcW w:w="1000" w:type="dxa"/>
            <w:tcBorders>
              <w:top w:val="nil"/>
              <w:left w:val="nil"/>
              <w:bottom w:val="nil"/>
              <w:right w:val="nil"/>
            </w:tcBorders>
            <w:shd w:val="clear" w:color="auto" w:fill="auto"/>
            <w:vAlign w:val="bottom"/>
            <w:hideMark/>
          </w:tcPr>
          <w:p w14:paraId="704E6376" w14:textId="77777777" w:rsidR="00596A40" w:rsidRPr="00203E93" w:rsidRDefault="00596A40" w:rsidP="00596A40">
            <w:pPr>
              <w:spacing w:line="240" w:lineRule="auto"/>
              <w:jc w:val="right"/>
              <w:rPr>
                <w:rFonts w:cs="Times New Roman"/>
                <w:color w:val="000000"/>
              </w:rPr>
            </w:pPr>
            <w:r w:rsidRPr="00203E93">
              <w:rPr>
                <w:rFonts w:cs="Times New Roman"/>
                <w:color w:val="000000"/>
              </w:rPr>
              <w:t>27</w:t>
            </w:r>
          </w:p>
        </w:tc>
        <w:tc>
          <w:tcPr>
            <w:tcW w:w="603" w:type="dxa"/>
            <w:gridSpan w:val="3"/>
            <w:tcBorders>
              <w:top w:val="nil"/>
              <w:left w:val="nil"/>
              <w:bottom w:val="nil"/>
              <w:right w:val="nil"/>
            </w:tcBorders>
            <w:shd w:val="clear" w:color="auto" w:fill="auto"/>
            <w:noWrap/>
            <w:vAlign w:val="bottom"/>
            <w:hideMark/>
          </w:tcPr>
          <w:p w14:paraId="0A4A9956"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gridSpan w:val="3"/>
            <w:tcBorders>
              <w:top w:val="nil"/>
              <w:left w:val="nil"/>
              <w:bottom w:val="nil"/>
              <w:right w:val="nil"/>
            </w:tcBorders>
            <w:shd w:val="clear" w:color="auto" w:fill="auto"/>
            <w:vAlign w:val="bottom"/>
            <w:hideMark/>
          </w:tcPr>
          <w:p w14:paraId="6AE92845" w14:textId="77777777" w:rsidR="00596A40" w:rsidRPr="00203E93" w:rsidRDefault="00596A40" w:rsidP="00596A40">
            <w:pPr>
              <w:spacing w:line="240" w:lineRule="auto"/>
              <w:jc w:val="center"/>
              <w:rPr>
                <w:rFonts w:cs="Times New Roman"/>
                <w:color w:val="000000"/>
              </w:rPr>
            </w:pPr>
            <w:r w:rsidRPr="00203E93">
              <w:rPr>
                <w:rFonts w:cs="Times New Roman"/>
                <w:color w:val="000000"/>
              </w:rPr>
              <w:t>14%</w:t>
            </w:r>
          </w:p>
        </w:tc>
        <w:tc>
          <w:tcPr>
            <w:tcW w:w="968" w:type="dxa"/>
            <w:gridSpan w:val="3"/>
            <w:tcBorders>
              <w:top w:val="nil"/>
              <w:left w:val="nil"/>
              <w:bottom w:val="nil"/>
              <w:right w:val="nil"/>
            </w:tcBorders>
            <w:shd w:val="clear" w:color="auto" w:fill="auto"/>
            <w:vAlign w:val="bottom"/>
            <w:hideMark/>
          </w:tcPr>
          <w:p w14:paraId="0DBAC978" w14:textId="77777777" w:rsidR="00596A40" w:rsidRPr="00203E93" w:rsidRDefault="00596A40" w:rsidP="00596A40">
            <w:pPr>
              <w:spacing w:line="240" w:lineRule="auto"/>
              <w:jc w:val="right"/>
              <w:rPr>
                <w:rFonts w:cs="Times New Roman"/>
                <w:color w:val="000000"/>
              </w:rPr>
            </w:pPr>
            <w:r w:rsidRPr="00203E93">
              <w:rPr>
                <w:rFonts w:cs="Times New Roman"/>
                <w:color w:val="000000"/>
              </w:rPr>
              <w:t>12</w:t>
            </w:r>
          </w:p>
        </w:tc>
        <w:tc>
          <w:tcPr>
            <w:tcW w:w="603" w:type="dxa"/>
            <w:gridSpan w:val="3"/>
            <w:tcBorders>
              <w:top w:val="nil"/>
              <w:left w:val="nil"/>
              <w:bottom w:val="nil"/>
              <w:right w:val="nil"/>
            </w:tcBorders>
            <w:shd w:val="clear" w:color="auto" w:fill="auto"/>
            <w:noWrap/>
            <w:vAlign w:val="bottom"/>
            <w:hideMark/>
          </w:tcPr>
          <w:p w14:paraId="51CFB15F"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gridSpan w:val="3"/>
            <w:tcBorders>
              <w:top w:val="nil"/>
              <w:left w:val="nil"/>
              <w:bottom w:val="nil"/>
              <w:right w:val="nil"/>
            </w:tcBorders>
            <w:shd w:val="clear" w:color="auto" w:fill="auto"/>
            <w:vAlign w:val="bottom"/>
            <w:hideMark/>
          </w:tcPr>
          <w:p w14:paraId="27D46CDE" w14:textId="77777777" w:rsidR="00596A40" w:rsidRPr="00203E93" w:rsidRDefault="00596A40" w:rsidP="00596A40">
            <w:pPr>
              <w:spacing w:line="240" w:lineRule="auto"/>
              <w:jc w:val="center"/>
              <w:rPr>
                <w:rFonts w:cs="Times New Roman"/>
                <w:color w:val="000000"/>
              </w:rPr>
            </w:pPr>
            <w:r w:rsidRPr="00203E93">
              <w:rPr>
                <w:rFonts w:cs="Times New Roman"/>
                <w:color w:val="000000"/>
              </w:rPr>
              <w:t>21%</w:t>
            </w:r>
          </w:p>
        </w:tc>
        <w:tc>
          <w:tcPr>
            <w:tcW w:w="468" w:type="dxa"/>
            <w:tcBorders>
              <w:top w:val="nil"/>
              <w:left w:val="nil"/>
              <w:bottom w:val="nil"/>
              <w:right w:val="nil"/>
            </w:tcBorders>
            <w:shd w:val="clear" w:color="auto" w:fill="auto"/>
            <w:noWrap/>
            <w:vAlign w:val="bottom"/>
            <w:hideMark/>
          </w:tcPr>
          <w:p w14:paraId="1B6154F2" w14:textId="77777777" w:rsidR="00596A40" w:rsidRPr="00203E93" w:rsidRDefault="00596A40" w:rsidP="00596A40">
            <w:pPr>
              <w:spacing w:line="240" w:lineRule="auto"/>
              <w:jc w:val="right"/>
              <w:rPr>
                <w:rFonts w:cs="Times New Roman"/>
                <w:color w:val="000000"/>
              </w:rPr>
            </w:pPr>
            <w:r w:rsidRPr="00203E93">
              <w:rPr>
                <w:rFonts w:cs="Times New Roman"/>
                <w:color w:val="000000"/>
              </w:rPr>
              <w:t>18</w:t>
            </w:r>
          </w:p>
        </w:tc>
        <w:tc>
          <w:tcPr>
            <w:tcW w:w="677" w:type="dxa"/>
            <w:gridSpan w:val="3"/>
            <w:tcBorders>
              <w:top w:val="nil"/>
              <w:left w:val="nil"/>
              <w:bottom w:val="nil"/>
              <w:right w:val="nil"/>
            </w:tcBorders>
            <w:shd w:val="clear" w:color="auto" w:fill="auto"/>
            <w:noWrap/>
            <w:vAlign w:val="bottom"/>
            <w:hideMark/>
          </w:tcPr>
          <w:p w14:paraId="000488A8"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721" w:type="dxa"/>
            <w:gridSpan w:val="2"/>
            <w:tcBorders>
              <w:top w:val="nil"/>
              <w:left w:val="nil"/>
              <w:bottom w:val="nil"/>
              <w:right w:val="nil"/>
            </w:tcBorders>
            <w:shd w:val="clear" w:color="auto" w:fill="auto"/>
            <w:vAlign w:val="bottom"/>
            <w:hideMark/>
          </w:tcPr>
          <w:p w14:paraId="48FB461C" w14:textId="77777777" w:rsidR="00596A40" w:rsidRPr="00203E93" w:rsidRDefault="00596A40" w:rsidP="00596A40">
            <w:pPr>
              <w:spacing w:line="240" w:lineRule="auto"/>
              <w:jc w:val="center"/>
              <w:rPr>
                <w:rFonts w:cs="Times New Roman"/>
                <w:color w:val="000000"/>
              </w:rPr>
            </w:pPr>
            <w:r w:rsidRPr="00203E93">
              <w:rPr>
                <w:rFonts w:cs="Times New Roman"/>
                <w:color w:val="000000"/>
              </w:rPr>
              <w:t>14%</w:t>
            </w:r>
          </w:p>
        </w:tc>
      </w:tr>
      <w:tr w:rsidR="00596A40" w:rsidRPr="00203E93" w14:paraId="5B2CA689" w14:textId="77777777" w:rsidTr="00CC74A4">
        <w:trPr>
          <w:trHeight w:val="405"/>
        </w:trPr>
        <w:tc>
          <w:tcPr>
            <w:tcW w:w="3016" w:type="dxa"/>
            <w:tcBorders>
              <w:top w:val="nil"/>
              <w:left w:val="nil"/>
              <w:bottom w:val="nil"/>
              <w:right w:val="nil"/>
            </w:tcBorders>
            <w:shd w:val="clear" w:color="auto" w:fill="auto"/>
            <w:noWrap/>
            <w:vAlign w:val="bottom"/>
            <w:hideMark/>
          </w:tcPr>
          <w:p w14:paraId="01D9464F" w14:textId="77777777" w:rsidR="00596A40" w:rsidRPr="00203E93" w:rsidRDefault="00596A40" w:rsidP="00596A40">
            <w:pPr>
              <w:spacing w:line="240" w:lineRule="auto"/>
              <w:rPr>
                <w:rFonts w:cs="Times New Roman"/>
                <w:color w:val="000000"/>
              </w:rPr>
            </w:pPr>
            <w:r w:rsidRPr="00203E93">
              <w:rPr>
                <w:rFonts w:cs="Times New Roman"/>
                <w:color w:val="000000"/>
              </w:rPr>
              <w:t>SCA</w:t>
            </w:r>
          </w:p>
        </w:tc>
        <w:tc>
          <w:tcPr>
            <w:tcW w:w="1000" w:type="dxa"/>
            <w:tcBorders>
              <w:top w:val="nil"/>
              <w:left w:val="nil"/>
              <w:bottom w:val="nil"/>
              <w:right w:val="nil"/>
            </w:tcBorders>
            <w:shd w:val="clear" w:color="auto" w:fill="auto"/>
            <w:vAlign w:val="bottom"/>
            <w:hideMark/>
          </w:tcPr>
          <w:p w14:paraId="076AF7BB" w14:textId="77777777" w:rsidR="00596A40" w:rsidRPr="00203E93" w:rsidRDefault="00596A40" w:rsidP="00596A40">
            <w:pPr>
              <w:spacing w:line="240" w:lineRule="auto"/>
              <w:jc w:val="right"/>
              <w:rPr>
                <w:rFonts w:cs="Times New Roman"/>
                <w:color w:val="000000"/>
              </w:rPr>
            </w:pPr>
            <w:r w:rsidRPr="00203E93">
              <w:rPr>
                <w:rFonts w:cs="Times New Roman"/>
                <w:color w:val="000000"/>
              </w:rPr>
              <w:t>14</w:t>
            </w:r>
          </w:p>
        </w:tc>
        <w:tc>
          <w:tcPr>
            <w:tcW w:w="603" w:type="dxa"/>
            <w:gridSpan w:val="3"/>
            <w:tcBorders>
              <w:top w:val="nil"/>
              <w:left w:val="nil"/>
              <w:bottom w:val="nil"/>
              <w:right w:val="nil"/>
            </w:tcBorders>
            <w:shd w:val="clear" w:color="auto" w:fill="auto"/>
            <w:noWrap/>
            <w:vAlign w:val="bottom"/>
            <w:hideMark/>
          </w:tcPr>
          <w:p w14:paraId="2DAE68CD"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gridSpan w:val="3"/>
            <w:tcBorders>
              <w:top w:val="nil"/>
              <w:left w:val="nil"/>
              <w:bottom w:val="nil"/>
              <w:right w:val="nil"/>
            </w:tcBorders>
            <w:shd w:val="clear" w:color="auto" w:fill="auto"/>
            <w:vAlign w:val="bottom"/>
            <w:hideMark/>
          </w:tcPr>
          <w:p w14:paraId="16F73CDC" w14:textId="77777777" w:rsidR="00596A40" w:rsidRPr="00203E93" w:rsidRDefault="00596A40" w:rsidP="00596A40">
            <w:pPr>
              <w:spacing w:line="240" w:lineRule="auto"/>
              <w:jc w:val="center"/>
              <w:rPr>
                <w:rFonts w:cs="Times New Roman"/>
                <w:color w:val="000000"/>
              </w:rPr>
            </w:pPr>
            <w:r w:rsidRPr="00203E93">
              <w:rPr>
                <w:rFonts w:cs="Times New Roman"/>
                <w:color w:val="000000"/>
              </w:rPr>
              <w:t>7%</w:t>
            </w:r>
          </w:p>
        </w:tc>
        <w:tc>
          <w:tcPr>
            <w:tcW w:w="968" w:type="dxa"/>
            <w:gridSpan w:val="3"/>
            <w:tcBorders>
              <w:top w:val="nil"/>
              <w:left w:val="nil"/>
              <w:bottom w:val="nil"/>
              <w:right w:val="nil"/>
            </w:tcBorders>
            <w:shd w:val="clear" w:color="auto" w:fill="auto"/>
            <w:vAlign w:val="bottom"/>
            <w:hideMark/>
          </w:tcPr>
          <w:p w14:paraId="25E67796" w14:textId="77777777" w:rsidR="00596A40" w:rsidRPr="00203E93" w:rsidRDefault="00596A40" w:rsidP="00596A40">
            <w:pPr>
              <w:spacing w:line="240" w:lineRule="auto"/>
              <w:jc w:val="right"/>
              <w:rPr>
                <w:rFonts w:cs="Times New Roman"/>
                <w:color w:val="000000"/>
              </w:rPr>
            </w:pPr>
            <w:r w:rsidRPr="00203E93">
              <w:rPr>
                <w:rFonts w:cs="Times New Roman"/>
                <w:color w:val="000000"/>
              </w:rPr>
              <w:t>5</w:t>
            </w:r>
          </w:p>
        </w:tc>
        <w:tc>
          <w:tcPr>
            <w:tcW w:w="603" w:type="dxa"/>
            <w:gridSpan w:val="3"/>
            <w:tcBorders>
              <w:top w:val="nil"/>
              <w:left w:val="nil"/>
              <w:bottom w:val="nil"/>
              <w:right w:val="nil"/>
            </w:tcBorders>
            <w:shd w:val="clear" w:color="auto" w:fill="auto"/>
            <w:noWrap/>
            <w:vAlign w:val="bottom"/>
            <w:hideMark/>
          </w:tcPr>
          <w:p w14:paraId="15868568"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gridSpan w:val="3"/>
            <w:tcBorders>
              <w:top w:val="nil"/>
              <w:left w:val="nil"/>
              <w:bottom w:val="nil"/>
              <w:right w:val="nil"/>
            </w:tcBorders>
            <w:shd w:val="clear" w:color="auto" w:fill="auto"/>
            <w:vAlign w:val="bottom"/>
            <w:hideMark/>
          </w:tcPr>
          <w:p w14:paraId="64B8A2AF" w14:textId="77777777" w:rsidR="00596A40" w:rsidRPr="00203E93" w:rsidRDefault="00596A40" w:rsidP="00596A40">
            <w:pPr>
              <w:spacing w:line="240" w:lineRule="auto"/>
              <w:jc w:val="center"/>
              <w:rPr>
                <w:rFonts w:cs="Times New Roman"/>
                <w:color w:val="000000"/>
              </w:rPr>
            </w:pPr>
            <w:r w:rsidRPr="00203E93">
              <w:rPr>
                <w:rFonts w:cs="Times New Roman"/>
                <w:color w:val="000000"/>
              </w:rPr>
              <w:t>8%</w:t>
            </w:r>
          </w:p>
        </w:tc>
        <w:tc>
          <w:tcPr>
            <w:tcW w:w="468" w:type="dxa"/>
            <w:tcBorders>
              <w:top w:val="nil"/>
              <w:left w:val="nil"/>
              <w:bottom w:val="nil"/>
              <w:right w:val="nil"/>
            </w:tcBorders>
            <w:shd w:val="clear" w:color="auto" w:fill="auto"/>
            <w:noWrap/>
            <w:vAlign w:val="bottom"/>
            <w:hideMark/>
          </w:tcPr>
          <w:p w14:paraId="1A46091A" w14:textId="77777777" w:rsidR="00596A40" w:rsidRPr="00203E93" w:rsidRDefault="00596A40" w:rsidP="00596A40">
            <w:pPr>
              <w:spacing w:line="240" w:lineRule="auto"/>
              <w:jc w:val="right"/>
              <w:rPr>
                <w:rFonts w:cs="Times New Roman"/>
                <w:color w:val="000000"/>
              </w:rPr>
            </w:pPr>
            <w:r w:rsidRPr="00203E93">
              <w:rPr>
                <w:rFonts w:cs="Times New Roman"/>
                <w:color w:val="000000"/>
              </w:rPr>
              <w:t>9</w:t>
            </w:r>
          </w:p>
        </w:tc>
        <w:tc>
          <w:tcPr>
            <w:tcW w:w="677" w:type="dxa"/>
            <w:gridSpan w:val="3"/>
            <w:tcBorders>
              <w:top w:val="nil"/>
              <w:left w:val="nil"/>
              <w:bottom w:val="nil"/>
              <w:right w:val="nil"/>
            </w:tcBorders>
            <w:shd w:val="clear" w:color="auto" w:fill="auto"/>
            <w:noWrap/>
            <w:vAlign w:val="bottom"/>
            <w:hideMark/>
          </w:tcPr>
          <w:p w14:paraId="0BD7ED6F"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721" w:type="dxa"/>
            <w:gridSpan w:val="2"/>
            <w:tcBorders>
              <w:top w:val="nil"/>
              <w:left w:val="nil"/>
              <w:bottom w:val="nil"/>
              <w:right w:val="nil"/>
            </w:tcBorders>
            <w:shd w:val="clear" w:color="auto" w:fill="auto"/>
            <w:vAlign w:val="bottom"/>
            <w:hideMark/>
          </w:tcPr>
          <w:p w14:paraId="75BC7DA2" w14:textId="77777777" w:rsidR="00596A40" w:rsidRPr="00203E93" w:rsidRDefault="00596A40" w:rsidP="00596A40">
            <w:pPr>
              <w:spacing w:line="240" w:lineRule="auto"/>
              <w:jc w:val="center"/>
              <w:rPr>
                <w:rFonts w:cs="Times New Roman"/>
                <w:color w:val="000000"/>
              </w:rPr>
            </w:pPr>
            <w:r w:rsidRPr="00203E93">
              <w:rPr>
                <w:rFonts w:cs="Times New Roman"/>
                <w:color w:val="000000"/>
              </w:rPr>
              <w:t>7%</w:t>
            </w:r>
          </w:p>
        </w:tc>
      </w:tr>
      <w:tr w:rsidR="00596A40" w:rsidRPr="00203E93" w14:paraId="221DA849" w14:textId="77777777" w:rsidTr="00CC74A4">
        <w:trPr>
          <w:trHeight w:val="420"/>
        </w:trPr>
        <w:tc>
          <w:tcPr>
            <w:tcW w:w="3016" w:type="dxa"/>
            <w:tcBorders>
              <w:top w:val="nil"/>
              <w:left w:val="nil"/>
              <w:bottom w:val="nil"/>
              <w:right w:val="nil"/>
            </w:tcBorders>
            <w:shd w:val="clear" w:color="auto" w:fill="auto"/>
            <w:noWrap/>
            <w:vAlign w:val="bottom"/>
            <w:hideMark/>
          </w:tcPr>
          <w:p w14:paraId="5AFDCB2E" w14:textId="77777777" w:rsidR="00596A40" w:rsidRPr="00203E93" w:rsidRDefault="00596A40" w:rsidP="00596A40">
            <w:pPr>
              <w:spacing w:line="240" w:lineRule="auto"/>
              <w:rPr>
                <w:rFonts w:cs="Times New Roman"/>
                <w:color w:val="000000"/>
              </w:rPr>
            </w:pPr>
            <w:r w:rsidRPr="00203E93">
              <w:rPr>
                <w:rFonts w:cs="Times New Roman"/>
                <w:color w:val="000000"/>
              </w:rPr>
              <w:t>GCA*Year</w:t>
            </w:r>
          </w:p>
        </w:tc>
        <w:tc>
          <w:tcPr>
            <w:tcW w:w="1000" w:type="dxa"/>
            <w:tcBorders>
              <w:top w:val="nil"/>
              <w:left w:val="nil"/>
              <w:bottom w:val="nil"/>
              <w:right w:val="nil"/>
            </w:tcBorders>
            <w:shd w:val="clear" w:color="auto" w:fill="auto"/>
            <w:vAlign w:val="bottom"/>
            <w:hideMark/>
          </w:tcPr>
          <w:p w14:paraId="556895C0" w14:textId="77777777" w:rsidR="00596A40" w:rsidRPr="00203E93" w:rsidRDefault="00596A40" w:rsidP="00596A40">
            <w:pPr>
              <w:spacing w:line="240" w:lineRule="auto"/>
              <w:jc w:val="right"/>
              <w:rPr>
                <w:rFonts w:cs="Times New Roman"/>
                <w:color w:val="000000"/>
              </w:rPr>
            </w:pPr>
          </w:p>
        </w:tc>
        <w:tc>
          <w:tcPr>
            <w:tcW w:w="603" w:type="dxa"/>
            <w:gridSpan w:val="3"/>
            <w:tcBorders>
              <w:top w:val="nil"/>
              <w:left w:val="nil"/>
              <w:bottom w:val="nil"/>
              <w:right w:val="nil"/>
            </w:tcBorders>
            <w:shd w:val="clear" w:color="auto" w:fill="auto"/>
            <w:noWrap/>
            <w:vAlign w:val="bottom"/>
            <w:hideMark/>
          </w:tcPr>
          <w:p w14:paraId="2845D220" w14:textId="77777777" w:rsidR="00596A40" w:rsidRPr="00203E93" w:rsidRDefault="00596A40" w:rsidP="00596A40">
            <w:pPr>
              <w:spacing w:line="240" w:lineRule="auto"/>
              <w:rPr>
                <w:rFonts w:cs="Times New Roman"/>
                <w:color w:val="000000"/>
              </w:rPr>
            </w:pPr>
          </w:p>
        </w:tc>
        <w:tc>
          <w:tcPr>
            <w:tcW w:w="656" w:type="dxa"/>
            <w:gridSpan w:val="3"/>
            <w:tcBorders>
              <w:top w:val="nil"/>
              <w:left w:val="nil"/>
              <w:bottom w:val="nil"/>
              <w:right w:val="nil"/>
            </w:tcBorders>
            <w:shd w:val="clear" w:color="auto" w:fill="auto"/>
            <w:vAlign w:val="bottom"/>
            <w:hideMark/>
          </w:tcPr>
          <w:p w14:paraId="199AD445" w14:textId="77777777" w:rsidR="00596A40" w:rsidRPr="00203E93" w:rsidRDefault="00596A40" w:rsidP="00596A40">
            <w:pPr>
              <w:spacing w:line="240" w:lineRule="auto"/>
              <w:jc w:val="center"/>
              <w:rPr>
                <w:rFonts w:cs="Times New Roman"/>
                <w:color w:val="000000"/>
              </w:rPr>
            </w:pPr>
          </w:p>
        </w:tc>
        <w:tc>
          <w:tcPr>
            <w:tcW w:w="968" w:type="dxa"/>
            <w:gridSpan w:val="3"/>
            <w:tcBorders>
              <w:top w:val="nil"/>
              <w:left w:val="nil"/>
              <w:bottom w:val="nil"/>
              <w:right w:val="nil"/>
            </w:tcBorders>
            <w:shd w:val="clear" w:color="auto" w:fill="auto"/>
            <w:vAlign w:val="bottom"/>
            <w:hideMark/>
          </w:tcPr>
          <w:p w14:paraId="63CE08D9" w14:textId="77777777" w:rsidR="00596A40" w:rsidRPr="00203E93" w:rsidRDefault="00596A40" w:rsidP="00596A40">
            <w:pPr>
              <w:spacing w:line="240" w:lineRule="auto"/>
              <w:jc w:val="right"/>
              <w:rPr>
                <w:rFonts w:cs="Times New Roman"/>
                <w:color w:val="000000"/>
              </w:rPr>
            </w:pPr>
          </w:p>
        </w:tc>
        <w:tc>
          <w:tcPr>
            <w:tcW w:w="603" w:type="dxa"/>
            <w:gridSpan w:val="3"/>
            <w:tcBorders>
              <w:top w:val="nil"/>
              <w:left w:val="nil"/>
              <w:bottom w:val="nil"/>
              <w:right w:val="nil"/>
            </w:tcBorders>
            <w:shd w:val="clear" w:color="auto" w:fill="auto"/>
            <w:noWrap/>
            <w:vAlign w:val="bottom"/>
            <w:hideMark/>
          </w:tcPr>
          <w:p w14:paraId="723645FE" w14:textId="77777777" w:rsidR="00596A40" w:rsidRPr="00203E93" w:rsidRDefault="00596A40" w:rsidP="00596A40">
            <w:pPr>
              <w:spacing w:line="240" w:lineRule="auto"/>
              <w:rPr>
                <w:rFonts w:cs="Times New Roman"/>
                <w:color w:val="000000"/>
              </w:rPr>
            </w:pPr>
          </w:p>
        </w:tc>
        <w:tc>
          <w:tcPr>
            <w:tcW w:w="656" w:type="dxa"/>
            <w:gridSpan w:val="3"/>
            <w:tcBorders>
              <w:top w:val="nil"/>
              <w:left w:val="nil"/>
              <w:bottom w:val="nil"/>
              <w:right w:val="nil"/>
            </w:tcBorders>
            <w:shd w:val="clear" w:color="auto" w:fill="auto"/>
            <w:vAlign w:val="bottom"/>
            <w:hideMark/>
          </w:tcPr>
          <w:p w14:paraId="27282752" w14:textId="77777777" w:rsidR="00596A40" w:rsidRPr="00203E93" w:rsidRDefault="00596A40" w:rsidP="00596A40">
            <w:pPr>
              <w:spacing w:line="240" w:lineRule="auto"/>
              <w:jc w:val="center"/>
              <w:rPr>
                <w:rFonts w:cs="Times New Roman"/>
                <w:color w:val="000000"/>
              </w:rPr>
            </w:pPr>
          </w:p>
        </w:tc>
        <w:tc>
          <w:tcPr>
            <w:tcW w:w="468" w:type="dxa"/>
            <w:tcBorders>
              <w:top w:val="nil"/>
              <w:left w:val="nil"/>
              <w:bottom w:val="nil"/>
              <w:right w:val="nil"/>
            </w:tcBorders>
            <w:shd w:val="clear" w:color="auto" w:fill="auto"/>
            <w:noWrap/>
            <w:vAlign w:val="bottom"/>
            <w:hideMark/>
          </w:tcPr>
          <w:p w14:paraId="4A794CFB" w14:textId="77777777" w:rsidR="00596A40" w:rsidRPr="00203E93" w:rsidRDefault="00596A40" w:rsidP="00596A40">
            <w:pPr>
              <w:spacing w:line="240" w:lineRule="auto"/>
              <w:jc w:val="right"/>
              <w:rPr>
                <w:rFonts w:cs="Times New Roman"/>
                <w:color w:val="000000"/>
              </w:rPr>
            </w:pPr>
            <w:r w:rsidRPr="00203E93">
              <w:rPr>
                <w:rFonts w:cs="Times New Roman"/>
                <w:color w:val="000000"/>
              </w:rPr>
              <w:t>1</w:t>
            </w:r>
          </w:p>
        </w:tc>
        <w:tc>
          <w:tcPr>
            <w:tcW w:w="677" w:type="dxa"/>
            <w:gridSpan w:val="3"/>
            <w:tcBorders>
              <w:top w:val="nil"/>
              <w:left w:val="nil"/>
              <w:bottom w:val="nil"/>
              <w:right w:val="nil"/>
            </w:tcBorders>
            <w:shd w:val="clear" w:color="auto" w:fill="auto"/>
            <w:noWrap/>
            <w:vAlign w:val="bottom"/>
            <w:hideMark/>
          </w:tcPr>
          <w:p w14:paraId="2A8B0B02"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721" w:type="dxa"/>
            <w:gridSpan w:val="2"/>
            <w:tcBorders>
              <w:top w:val="nil"/>
              <w:left w:val="nil"/>
              <w:bottom w:val="nil"/>
              <w:right w:val="nil"/>
            </w:tcBorders>
            <w:shd w:val="clear" w:color="auto" w:fill="auto"/>
            <w:vAlign w:val="bottom"/>
            <w:hideMark/>
          </w:tcPr>
          <w:p w14:paraId="33320CB1" w14:textId="77777777" w:rsidR="00596A40" w:rsidRPr="00203E93" w:rsidRDefault="00596A40" w:rsidP="00596A40">
            <w:pPr>
              <w:spacing w:line="240" w:lineRule="auto"/>
              <w:jc w:val="center"/>
              <w:rPr>
                <w:rFonts w:cs="Times New Roman"/>
                <w:color w:val="000000"/>
              </w:rPr>
            </w:pPr>
            <w:r w:rsidRPr="00203E93">
              <w:rPr>
                <w:rFonts w:cs="Times New Roman"/>
                <w:color w:val="000000"/>
              </w:rPr>
              <w:t>1%</w:t>
            </w:r>
          </w:p>
        </w:tc>
      </w:tr>
      <w:tr w:rsidR="00596A40" w:rsidRPr="00203E93" w14:paraId="07FE1A4C" w14:textId="77777777" w:rsidTr="00CC74A4">
        <w:trPr>
          <w:trHeight w:val="405"/>
        </w:trPr>
        <w:tc>
          <w:tcPr>
            <w:tcW w:w="3016" w:type="dxa"/>
            <w:tcBorders>
              <w:top w:val="nil"/>
              <w:left w:val="nil"/>
              <w:bottom w:val="nil"/>
              <w:right w:val="nil"/>
            </w:tcBorders>
            <w:shd w:val="clear" w:color="auto" w:fill="auto"/>
            <w:noWrap/>
            <w:vAlign w:val="bottom"/>
            <w:hideMark/>
          </w:tcPr>
          <w:p w14:paraId="66CDC505" w14:textId="77777777" w:rsidR="00596A40" w:rsidRPr="00203E93" w:rsidRDefault="00596A40" w:rsidP="00596A40">
            <w:pPr>
              <w:spacing w:line="240" w:lineRule="auto"/>
              <w:rPr>
                <w:rFonts w:cs="Times New Roman"/>
                <w:color w:val="000000"/>
              </w:rPr>
            </w:pPr>
            <w:r w:rsidRPr="00203E93">
              <w:rPr>
                <w:rFonts w:cs="Times New Roman"/>
                <w:color w:val="000000"/>
              </w:rPr>
              <w:t>GCA*Location</w:t>
            </w:r>
          </w:p>
        </w:tc>
        <w:tc>
          <w:tcPr>
            <w:tcW w:w="1000" w:type="dxa"/>
            <w:tcBorders>
              <w:top w:val="nil"/>
              <w:left w:val="nil"/>
              <w:bottom w:val="nil"/>
              <w:right w:val="nil"/>
            </w:tcBorders>
            <w:shd w:val="clear" w:color="auto" w:fill="auto"/>
            <w:vAlign w:val="bottom"/>
            <w:hideMark/>
          </w:tcPr>
          <w:p w14:paraId="7F0C3C1C" w14:textId="77777777" w:rsidR="00596A40" w:rsidRPr="00203E93" w:rsidRDefault="00596A40" w:rsidP="00596A40">
            <w:pPr>
              <w:spacing w:line="240" w:lineRule="auto"/>
              <w:jc w:val="right"/>
              <w:rPr>
                <w:rFonts w:cs="Times New Roman"/>
                <w:color w:val="000000"/>
              </w:rPr>
            </w:pPr>
            <w:r w:rsidRPr="00203E93">
              <w:rPr>
                <w:rFonts w:cs="Times New Roman"/>
                <w:color w:val="000000"/>
              </w:rPr>
              <w:t>1</w:t>
            </w:r>
          </w:p>
        </w:tc>
        <w:tc>
          <w:tcPr>
            <w:tcW w:w="603" w:type="dxa"/>
            <w:gridSpan w:val="3"/>
            <w:tcBorders>
              <w:top w:val="nil"/>
              <w:left w:val="nil"/>
              <w:bottom w:val="nil"/>
              <w:right w:val="nil"/>
            </w:tcBorders>
            <w:shd w:val="clear" w:color="auto" w:fill="auto"/>
            <w:noWrap/>
            <w:vAlign w:val="bottom"/>
            <w:hideMark/>
          </w:tcPr>
          <w:p w14:paraId="136B0293"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gridSpan w:val="3"/>
            <w:tcBorders>
              <w:top w:val="nil"/>
              <w:left w:val="nil"/>
              <w:bottom w:val="nil"/>
              <w:right w:val="nil"/>
            </w:tcBorders>
            <w:shd w:val="clear" w:color="auto" w:fill="auto"/>
            <w:vAlign w:val="bottom"/>
            <w:hideMark/>
          </w:tcPr>
          <w:p w14:paraId="0B4E7362" w14:textId="77777777" w:rsidR="00596A40" w:rsidRPr="00203E93" w:rsidRDefault="00596A40" w:rsidP="00596A40">
            <w:pPr>
              <w:spacing w:line="240" w:lineRule="auto"/>
              <w:jc w:val="center"/>
              <w:rPr>
                <w:rFonts w:cs="Times New Roman"/>
                <w:color w:val="000000"/>
              </w:rPr>
            </w:pPr>
            <w:r w:rsidRPr="00203E93">
              <w:rPr>
                <w:rFonts w:cs="Times New Roman"/>
                <w:color w:val="000000"/>
              </w:rPr>
              <w:t>1%</w:t>
            </w:r>
          </w:p>
        </w:tc>
        <w:tc>
          <w:tcPr>
            <w:tcW w:w="968" w:type="dxa"/>
            <w:gridSpan w:val="3"/>
            <w:tcBorders>
              <w:top w:val="nil"/>
              <w:left w:val="nil"/>
              <w:bottom w:val="nil"/>
              <w:right w:val="nil"/>
            </w:tcBorders>
            <w:shd w:val="clear" w:color="auto" w:fill="auto"/>
            <w:vAlign w:val="bottom"/>
            <w:hideMark/>
          </w:tcPr>
          <w:p w14:paraId="5BAD2FFF" w14:textId="77777777" w:rsidR="00596A40" w:rsidRPr="00203E93" w:rsidRDefault="00596A40" w:rsidP="00596A40">
            <w:pPr>
              <w:spacing w:line="240" w:lineRule="auto"/>
              <w:jc w:val="right"/>
              <w:rPr>
                <w:rFonts w:cs="Times New Roman"/>
                <w:color w:val="000000"/>
              </w:rPr>
            </w:pPr>
            <w:r w:rsidRPr="00203E93">
              <w:rPr>
                <w:rFonts w:cs="Times New Roman"/>
                <w:color w:val="000000"/>
              </w:rPr>
              <w:t>0</w:t>
            </w:r>
          </w:p>
        </w:tc>
        <w:tc>
          <w:tcPr>
            <w:tcW w:w="603" w:type="dxa"/>
            <w:gridSpan w:val="3"/>
            <w:tcBorders>
              <w:top w:val="nil"/>
              <w:left w:val="nil"/>
              <w:bottom w:val="nil"/>
              <w:right w:val="nil"/>
            </w:tcBorders>
            <w:shd w:val="clear" w:color="auto" w:fill="auto"/>
            <w:noWrap/>
            <w:vAlign w:val="bottom"/>
            <w:hideMark/>
          </w:tcPr>
          <w:p w14:paraId="1E1728B9"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gridSpan w:val="3"/>
            <w:tcBorders>
              <w:top w:val="nil"/>
              <w:left w:val="nil"/>
              <w:bottom w:val="nil"/>
              <w:right w:val="nil"/>
            </w:tcBorders>
            <w:shd w:val="clear" w:color="auto" w:fill="auto"/>
            <w:vAlign w:val="bottom"/>
            <w:hideMark/>
          </w:tcPr>
          <w:p w14:paraId="798207F0" w14:textId="77777777" w:rsidR="00596A40" w:rsidRPr="00203E93" w:rsidRDefault="00596A40" w:rsidP="00596A40">
            <w:pPr>
              <w:spacing w:line="240" w:lineRule="auto"/>
              <w:jc w:val="center"/>
              <w:rPr>
                <w:rFonts w:cs="Times New Roman"/>
                <w:color w:val="000000"/>
              </w:rPr>
            </w:pPr>
            <w:r w:rsidRPr="00203E93">
              <w:rPr>
                <w:rFonts w:cs="Times New Roman"/>
                <w:color w:val="000000"/>
              </w:rPr>
              <w:t>1%</w:t>
            </w:r>
          </w:p>
        </w:tc>
        <w:tc>
          <w:tcPr>
            <w:tcW w:w="468" w:type="dxa"/>
            <w:tcBorders>
              <w:top w:val="nil"/>
              <w:left w:val="nil"/>
              <w:bottom w:val="nil"/>
              <w:right w:val="nil"/>
            </w:tcBorders>
            <w:shd w:val="clear" w:color="auto" w:fill="auto"/>
            <w:noWrap/>
            <w:vAlign w:val="bottom"/>
            <w:hideMark/>
          </w:tcPr>
          <w:p w14:paraId="0C776E03" w14:textId="77777777" w:rsidR="00596A40" w:rsidRPr="00203E93" w:rsidRDefault="00596A40" w:rsidP="00596A40">
            <w:pPr>
              <w:spacing w:line="240" w:lineRule="auto"/>
              <w:jc w:val="right"/>
              <w:rPr>
                <w:rFonts w:cs="Times New Roman"/>
                <w:color w:val="000000"/>
              </w:rPr>
            </w:pPr>
            <w:r w:rsidRPr="00203E93">
              <w:rPr>
                <w:rFonts w:cs="Times New Roman"/>
                <w:color w:val="000000"/>
              </w:rPr>
              <w:t>0</w:t>
            </w:r>
          </w:p>
        </w:tc>
        <w:tc>
          <w:tcPr>
            <w:tcW w:w="677" w:type="dxa"/>
            <w:gridSpan w:val="3"/>
            <w:tcBorders>
              <w:top w:val="nil"/>
              <w:left w:val="nil"/>
              <w:bottom w:val="nil"/>
              <w:right w:val="nil"/>
            </w:tcBorders>
            <w:shd w:val="clear" w:color="auto" w:fill="auto"/>
            <w:noWrap/>
            <w:vAlign w:val="bottom"/>
            <w:hideMark/>
          </w:tcPr>
          <w:p w14:paraId="5CC42B40"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721" w:type="dxa"/>
            <w:gridSpan w:val="2"/>
            <w:tcBorders>
              <w:top w:val="nil"/>
              <w:left w:val="nil"/>
              <w:bottom w:val="nil"/>
              <w:right w:val="nil"/>
            </w:tcBorders>
            <w:shd w:val="clear" w:color="auto" w:fill="auto"/>
            <w:vAlign w:val="bottom"/>
            <w:hideMark/>
          </w:tcPr>
          <w:p w14:paraId="6CBC1EFF" w14:textId="77777777" w:rsidR="00596A40" w:rsidRPr="00203E93" w:rsidRDefault="00596A40" w:rsidP="00596A40">
            <w:pPr>
              <w:spacing w:line="240" w:lineRule="auto"/>
              <w:jc w:val="center"/>
              <w:rPr>
                <w:rFonts w:cs="Times New Roman"/>
                <w:color w:val="000000"/>
              </w:rPr>
            </w:pPr>
            <w:r w:rsidRPr="00203E93">
              <w:rPr>
                <w:rFonts w:cs="Times New Roman"/>
                <w:color w:val="000000"/>
              </w:rPr>
              <w:t>0%</w:t>
            </w:r>
          </w:p>
        </w:tc>
      </w:tr>
      <w:tr w:rsidR="00596A40" w:rsidRPr="00203E93" w14:paraId="2AD26F84" w14:textId="77777777" w:rsidTr="00CC74A4">
        <w:trPr>
          <w:trHeight w:val="420"/>
        </w:trPr>
        <w:tc>
          <w:tcPr>
            <w:tcW w:w="3016" w:type="dxa"/>
            <w:tcBorders>
              <w:top w:val="nil"/>
              <w:left w:val="nil"/>
              <w:bottom w:val="nil"/>
              <w:right w:val="nil"/>
            </w:tcBorders>
            <w:shd w:val="clear" w:color="auto" w:fill="auto"/>
            <w:noWrap/>
            <w:vAlign w:val="bottom"/>
            <w:hideMark/>
          </w:tcPr>
          <w:p w14:paraId="3A437A40" w14:textId="77777777" w:rsidR="00596A40" w:rsidRPr="00203E93" w:rsidRDefault="00596A40" w:rsidP="00596A40">
            <w:pPr>
              <w:spacing w:line="240" w:lineRule="auto"/>
              <w:rPr>
                <w:rFonts w:cs="Times New Roman"/>
                <w:color w:val="000000"/>
              </w:rPr>
            </w:pPr>
            <w:r w:rsidRPr="00203E93">
              <w:rPr>
                <w:rFonts w:cs="Times New Roman"/>
                <w:color w:val="000000"/>
              </w:rPr>
              <w:t>GCA*Block(Location)</w:t>
            </w:r>
          </w:p>
        </w:tc>
        <w:tc>
          <w:tcPr>
            <w:tcW w:w="1000" w:type="dxa"/>
            <w:tcBorders>
              <w:top w:val="nil"/>
              <w:left w:val="nil"/>
              <w:bottom w:val="nil"/>
              <w:right w:val="nil"/>
            </w:tcBorders>
            <w:shd w:val="clear" w:color="auto" w:fill="auto"/>
            <w:vAlign w:val="bottom"/>
            <w:hideMark/>
          </w:tcPr>
          <w:p w14:paraId="49B5BC45" w14:textId="77777777" w:rsidR="00596A40" w:rsidRPr="00203E93" w:rsidRDefault="00596A40" w:rsidP="00596A40">
            <w:pPr>
              <w:spacing w:line="240" w:lineRule="auto"/>
              <w:jc w:val="right"/>
              <w:rPr>
                <w:rFonts w:cs="Times New Roman"/>
                <w:color w:val="000000"/>
              </w:rPr>
            </w:pPr>
            <w:r w:rsidRPr="00203E93">
              <w:rPr>
                <w:rFonts w:cs="Times New Roman"/>
                <w:color w:val="000000"/>
              </w:rPr>
              <w:t>0</w:t>
            </w:r>
          </w:p>
        </w:tc>
        <w:tc>
          <w:tcPr>
            <w:tcW w:w="603" w:type="dxa"/>
            <w:gridSpan w:val="3"/>
            <w:tcBorders>
              <w:top w:val="nil"/>
              <w:left w:val="nil"/>
              <w:bottom w:val="nil"/>
              <w:right w:val="nil"/>
            </w:tcBorders>
            <w:shd w:val="clear" w:color="auto" w:fill="auto"/>
            <w:noWrap/>
            <w:vAlign w:val="bottom"/>
            <w:hideMark/>
          </w:tcPr>
          <w:p w14:paraId="5C0486CB"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gridSpan w:val="3"/>
            <w:tcBorders>
              <w:top w:val="nil"/>
              <w:left w:val="nil"/>
              <w:bottom w:val="nil"/>
              <w:right w:val="nil"/>
            </w:tcBorders>
            <w:shd w:val="clear" w:color="auto" w:fill="auto"/>
            <w:vAlign w:val="bottom"/>
            <w:hideMark/>
          </w:tcPr>
          <w:p w14:paraId="34B410E2" w14:textId="77777777" w:rsidR="00596A40" w:rsidRPr="00203E93" w:rsidRDefault="00596A40" w:rsidP="00596A40">
            <w:pPr>
              <w:spacing w:line="240" w:lineRule="auto"/>
              <w:jc w:val="center"/>
              <w:rPr>
                <w:rFonts w:cs="Times New Roman"/>
                <w:color w:val="000000"/>
              </w:rPr>
            </w:pPr>
            <w:r w:rsidRPr="00203E93">
              <w:rPr>
                <w:rFonts w:cs="Times New Roman"/>
                <w:color w:val="000000"/>
              </w:rPr>
              <w:t>0%</w:t>
            </w:r>
          </w:p>
        </w:tc>
        <w:tc>
          <w:tcPr>
            <w:tcW w:w="968" w:type="dxa"/>
            <w:gridSpan w:val="3"/>
            <w:tcBorders>
              <w:top w:val="nil"/>
              <w:left w:val="nil"/>
              <w:bottom w:val="nil"/>
              <w:right w:val="nil"/>
            </w:tcBorders>
            <w:shd w:val="clear" w:color="auto" w:fill="auto"/>
            <w:vAlign w:val="bottom"/>
            <w:hideMark/>
          </w:tcPr>
          <w:p w14:paraId="7AF88098" w14:textId="77777777" w:rsidR="00596A40" w:rsidRPr="00203E93" w:rsidRDefault="00596A40" w:rsidP="00596A40">
            <w:pPr>
              <w:spacing w:line="240" w:lineRule="auto"/>
              <w:jc w:val="right"/>
              <w:rPr>
                <w:rFonts w:cs="Times New Roman"/>
                <w:color w:val="000000"/>
              </w:rPr>
            </w:pPr>
            <w:r w:rsidRPr="00203E93">
              <w:rPr>
                <w:rFonts w:cs="Times New Roman"/>
                <w:color w:val="000000"/>
              </w:rPr>
              <w:t>0</w:t>
            </w:r>
          </w:p>
        </w:tc>
        <w:tc>
          <w:tcPr>
            <w:tcW w:w="603" w:type="dxa"/>
            <w:gridSpan w:val="3"/>
            <w:tcBorders>
              <w:top w:val="nil"/>
              <w:left w:val="nil"/>
              <w:bottom w:val="nil"/>
              <w:right w:val="nil"/>
            </w:tcBorders>
            <w:shd w:val="clear" w:color="auto" w:fill="auto"/>
            <w:noWrap/>
            <w:vAlign w:val="bottom"/>
            <w:hideMark/>
          </w:tcPr>
          <w:p w14:paraId="2A6A46E6"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gridSpan w:val="3"/>
            <w:tcBorders>
              <w:top w:val="nil"/>
              <w:left w:val="nil"/>
              <w:bottom w:val="nil"/>
              <w:right w:val="nil"/>
            </w:tcBorders>
            <w:shd w:val="clear" w:color="auto" w:fill="auto"/>
            <w:vAlign w:val="bottom"/>
            <w:hideMark/>
          </w:tcPr>
          <w:p w14:paraId="4A2EACD0" w14:textId="77777777" w:rsidR="00596A40" w:rsidRPr="00203E93" w:rsidRDefault="00596A40" w:rsidP="00596A40">
            <w:pPr>
              <w:spacing w:line="240" w:lineRule="auto"/>
              <w:jc w:val="center"/>
              <w:rPr>
                <w:rFonts w:cs="Times New Roman"/>
                <w:color w:val="000000"/>
              </w:rPr>
            </w:pPr>
            <w:r w:rsidRPr="00203E93">
              <w:rPr>
                <w:rFonts w:cs="Times New Roman"/>
                <w:color w:val="000000"/>
              </w:rPr>
              <w:t>0%</w:t>
            </w:r>
          </w:p>
        </w:tc>
        <w:tc>
          <w:tcPr>
            <w:tcW w:w="468" w:type="dxa"/>
            <w:tcBorders>
              <w:top w:val="nil"/>
              <w:left w:val="nil"/>
              <w:bottom w:val="nil"/>
              <w:right w:val="nil"/>
            </w:tcBorders>
            <w:shd w:val="clear" w:color="auto" w:fill="auto"/>
            <w:noWrap/>
            <w:vAlign w:val="bottom"/>
            <w:hideMark/>
          </w:tcPr>
          <w:p w14:paraId="7BA8776F" w14:textId="77777777" w:rsidR="00596A40" w:rsidRPr="00203E93" w:rsidRDefault="00596A40" w:rsidP="00596A40">
            <w:pPr>
              <w:spacing w:line="240" w:lineRule="auto"/>
              <w:jc w:val="right"/>
              <w:rPr>
                <w:rFonts w:cs="Times New Roman"/>
                <w:color w:val="000000"/>
              </w:rPr>
            </w:pPr>
            <w:r w:rsidRPr="00203E93">
              <w:rPr>
                <w:rFonts w:cs="Times New Roman"/>
                <w:color w:val="000000"/>
              </w:rPr>
              <w:t>0</w:t>
            </w:r>
          </w:p>
        </w:tc>
        <w:tc>
          <w:tcPr>
            <w:tcW w:w="677" w:type="dxa"/>
            <w:gridSpan w:val="3"/>
            <w:tcBorders>
              <w:top w:val="nil"/>
              <w:left w:val="nil"/>
              <w:bottom w:val="nil"/>
              <w:right w:val="nil"/>
            </w:tcBorders>
            <w:shd w:val="clear" w:color="auto" w:fill="auto"/>
            <w:noWrap/>
            <w:vAlign w:val="bottom"/>
            <w:hideMark/>
          </w:tcPr>
          <w:p w14:paraId="08FACF4B" w14:textId="77777777" w:rsidR="00596A40" w:rsidRPr="00203E93" w:rsidRDefault="00596A40" w:rsidP="00596A40">
            <w:pPr>
              <w:spacing w:line="240" w:lineRule="auto"/>
              <w:rPr>
                <w:rFonts w:cs="Times New Roman"/>
                <w:color w:val="000000"/>
              </w:rPr>
            </w:pPr>
          </w:p>
        </w:tc>
        <w:tc>
          <w:tcPr>
            <w:tcW w:w="721" w:type="dxa"/>
            <w:gridSpan w:val="2"/>
            <w:tcBorders>
              <w:top w:val="nil"/>
              <w:left w:val="nil"/>
              <w:bottom w:val="nil"/>
              <w:right w:val="nil"/>
            </w:tcBorders>
            <w:shd w:val="clear" w:color="auto" w:fill="auto"/>
            <w:vAlign w:val="bottom"/>
            <w:hideMark/>
          </w:tcPr>
          <w:p w14:paraId="18EF2E5D" w14:textId="77777777" w:rsidR="00596A40" w:rsidRPr="00203E93" w:rsidRDefault="00596A40" w:rsidP="00596A40">
            <w:pPr>
              <w:spacing w:line="240" w:lineRule="auto"/>
              <w:jc w:val="center"/>
              <w:rPr>
                <w:rFonts w:cs="Times New Roman"/>
                <w:color w:val="000000"/>
              </w:rPr>
            </w:pPr>
            <w:r w:rsidRPr="00203E93">
              <w:rPr>
                <w:rFonts w:cs="Times New Roman"/>
                <w:color w:val="000000"/>
              </w:rPr>
              <w:t>0%</w:t>
            </w:r>
          </w:p>
        </w:tc>
      </w:tr>
      <w:tr w:rsidR="00596A40" w:rsidRPr="00203E93" w14:paraId="6EF75D2B" w14:textId="77777777" w:rsidTr="00CC74A4">
        <w:trPr>
          <w:trHeight w:val="315"/>
        </w:trPr>
        <w:tc>
          <w:tcPr>
            <w:tcW w:w="3016" w:type="dxa"/>
            <w:tcBorders>
              <w:top w:val="nil"/>
              <w:left w:val="nil"/>
              <w:bottom w:val="nil"/>
              <w:right w:val="nil"/>
            </w:tcBorders>
            <w:shd w:val="clear" w:color="auto" w:fill="auto"/>
            <w:noWrap/>
            <w:vAlign w:val="bottom"/>
            <w:hideMark/>
          </w:tcPr>
          <w:p w14:paraId="660CEA9A" w14:textId="77777777" w:rsidR="00596A40" w:rsidRPr="00203E93" w:rsidRDefault="00596A40" w:rsidP="00596A40">
            <w:pPr>
              <w:spacing w:line="240" w:lineRule="auto"/>
              <w:rPr>
                <w:rFonts w:cs="Times New Roman"/>
                <w:color w:val="000000"/>
              </w:rPr>
            </w:pPr>
            <w:r w:rsidRPr="00203E93">
              <w:rPr>
                <w:rFonts w:cs="Times New Roman"/>
                <w:color w:val="000000"/>
              </w:rPr>
              <w:t>SCA*Year</w:t>
            </w:r>
          </w:p>
        </w:tc>
        <w:tc>
          <w:tcPr>
            <w:tcW w:w="1000" w:type="dxa"/>
            <w:tcBorders>
              <w:top w:val="nil"/>
              <w:left w:val="nil"/>
              <w:bottom w:val="nil"/>
              <w:right w:val="nil"/>
            </w:tcBorders>
            <w:shd w:val="clear" w:color="auto" w:fill="auto"/>
            <w:vAlign w:val="bottom"/>
            <w:hideMark/>
          </w:tcPr>
          <w:p w14:paraId="1890F302" w14:textId="77777777" w:rsidR="00596A40" w:rsidRPr="00203E93" w:rsidRDefault="00596A40" w:rsidP="00596A40">
            <w:pPr>
              <w:spacing w:line="240" w:lineRule="auto"/>
              <w:jc w:val="right"/>
              <w:rPr>
                <w:rFonts w:cs="Times New Roman"/>
                <w:color w:val="000000"/>
              </w:rPr>
            </w:pPr>
          </w:p>
        </w:tc>
        <w:tc>
          <w:tcPr>
            <w:tcW w:w="603" w:type="dxa"/>
            <w:gridSpan w:val="3"/>
            <w:tcBorders>
              <w:top w:val="nil"/>
              <w:left w:val="nil"/>
              <w:bottom w:val="nil"/>
              <w:right w:val="nil"/>
            </w:tcBorders>
            <w:shd w:val="clear" w:color="auto" w:fill="auto"/>
            <w:noWrap/>
            <w:vAlign w:val="bottom"/>
            <w:hideMark/>
          </w:tcPr>
          <w:p w14:paraId="0BC75E22" w14:textId="77777777" w:rsidR="00596A40" w:rsidRPr="00203E93" w:rsidRDefault="00596A40" w:rsidP="00596A40">
            <w:pPr>
              <w:spacing w:line="240" w:lineRule="auto"/>
              <w:rPr>
                <w:rFonts w:cs="Times New Roman"/>
                <w:color w:val="000000"/>
              </w:rPr>
            </w:pPr>
          </w:p>
        </w:tc>
        <w:tc>
          <w:tcPr>
            <w:tcW w:w="656" w:type="dxa"/>
            <w:gridSpan w:val="3"/>
            <w:tcBorders>
              <w:top w:val="nil"/>
              <w:left w:val="nil"/>
              <w:bottom w:val="nil"/>
              <w:right w:val="nil"/>
            </w:tcBorders>
            <w:shd w:val="clear" w:color="auto" w:fill="auto"/>
            <w:vAlign w:val="bottom"/>
            <w:hideMark/>
          </w:tcPr>
          <w:p w14:paraId="7A72FFFC" w14:textId="77777777" w:rsidR="00596A40" w:rsidRPr="00203E93" w:rsidRDefault="00596A40" w:rsidP="00596A40">
            <w:pPr>
              <w:spacing w:line="240" w:lineRule="auto"/>
              <w:jc w:val="center"/>
              <w:rPr>
                <w:rFonts w:cs="Times New Roman"/>
                <w:color w:val="000000"/>
              </w:rPr>
            </w:pPr>
          </w:p>
        </w:tc>
        <w:tc>
          <w:tcPr>
            <w:tcW w:w="968" w:type="dxa"/>
            <w:gridSpan w:val="3"/>
            <w:tcBorders>
              <w:top w:val="nil"/>
              <w:left w:val="nil"/>
              <w:bottom w:val="nil"/>
              <w:right w:val="nil"/>
            </w:tcBorders>
            <w:shd w:val="clear" w:color="auto" w:fill="auto"/>
            <w:vAlign w:val="bottom"/>
            <w:hideMark/>
          </w:tcPr>
          <w:p w14:paraId="28D36B3F" w14:textId="77777777" w:rsidR="00596A40" w:rsidRPr="00203E93" w:rsidRDefault="00596A40" w:rsidP="00596A40">
            <w:pPr>
              <w:spacing w:line="240" w:lineRule="auto"/>
              <w:jc w:val="right"/>
              <w:rPr>
                <w:rFonts w:cs="Times New Roman"/>
                <w:color w:val="000000"/>
              </w:rPr>
            </w:pPr>
          </w:p>
        </w:tc>
        <w:tc>
          <w:tcPr>
            <w:tcW w:w="603" w:type="dxa"/>
            <w:gridSpan w:val="3"/>
            <w:tcBorders>
              <w:top w:val="nil"/>
              <w:left w:val="nil"/>
              <w:bottom w:val="nil"/>
              <w:right w:val="nil"/>
            </w:tcBorders>
            <w:shd w:val="clear" w:color="auto" w:fill="auto"/>
            <w:noWrap/>
            <w:vAlign w:val="bottom"/>
            <w:hideMark/>
          </w:tcPr>
          <w:p w14:paraId="51C61DBD" w14:textId="77777777" w:rsidR="00596A40" w:rsidRPr="00203E93" w:rsidRDefault="00596A40" w:rsidP="00596A40">
            <w:pPr>
              <w:spacing w:line="240" w:lineRule="auto"/>
              <w:rPr>
                <w:rFonts w:cs="Times New Roman"/>
                <w:color w:val="000000"/>
              </w:rPr>
            </w:pPr>
          </w:p>
        </w:tc>
        <w:tc>
          <w:tcPr>
            <w:tcW w:w="656" w:type="dxa"/>
            <w:gridSpan w:val="3"/>
            <w:tcBorders>
              <w:top w:val="nil"/>
              <w:left w:val="nil"/>
              <w:bottom w:val="nil"/>
              <w:right w:val="nil"/>
            </w:tcBorders>
            <w:shd w:val="clear" w:color="auto" w:fill="auto"/>
            <w:vAlign w:val="bottom"/>
            <w:hideMark/>
          </w:tcPr>
          <w:p w14:paraId="386FAAEF" w14:textId="77777777" w:rsidR="00596A40" w:rsidRPr="00203E93" w:rsidRDefault="00596A40" w:rsidP="00596A40">
            <w:pPr>
              <w:spacing w:line="240" w:lineRule="auto"/>
              <w:jc w:val="center"/>
              <w:rPr>
                <w:rFonts w:cs="Times New Roman"/>
                <w:color w:val="000000"/>
              </w:rPr>
            </w:pPr>
          </w:p>
        </w:tc>
        <w:tc>
          <w:tcPr>
            <w:tcW w:w="468" w:type="dxa"/>
            <w:tcBorders>
              <w:top w:val="nil"/>
              <w:left w:val="nil"/>
              <w:bottom w:val="nil"/>
              <w:right w:val="nil"/>
            </w:tcBorders>
            <w:shd w:val="clear" w:color="auto" w:fill="auto"/>
            <w:noWrap/>
            <w:vAlign w:val="bottom"/>
            <w:hideMark/>
          </w:tcPr>
          <w:p w14:paraId="2EFD7368" w14:textId="77777777" w:rsidR="00596A40" w:rsidRPr="00203E93" w:rsidRDefault="00596A40" w:rsidP="00596A40">
            <w:pPr>
              <w:spacing w:line="240" w:lineRule="auto"/>
              <w:jc w:val="right"/>
              <w:rPr>
                <w:rFonts w:cs="Times New Roman"/>
                <w:color w:val="000000"/>
              </w:rPr>
            </w:pPr>
            <w:r w:rsidRPr="00203E93">
              <w:rPr>
                <w:rFonts w:cs="Times New Roman"/>
                <w:color w:val="000000"/>
              </w:rPr>
              <w:t>1</w:t>
            </w:r>
          </w:p>
        </w:tc>
        <w:tc>
          <w:tcPr>
            <w:tcW w:w="677" w:type="dxa"/>
            <w:gridSpan w:val="3"/>
            <w:tcBorders>
              <w:top w:val="nil"/>
              <w:left w:val="nil"/>
              <w:bottom w:val="nil"/>
              <w:right w:val="nil"/>
            </w:tcBorders>
            <w:shd w:val="clear" w:color="auto" w:fill="auto"/>
            <w:noWrap/>
            <w:vAlign w:val="bottom"/>
            <w:hideMark/>
          </w:tcPr>
          <w:p w14:paraId="4C413BCA"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721" w:type="dxa"/>
            <w:gridSpan w:val="2"/>
            <w:tcBorders>
              <w:top w:val="nil"/>
              <w:left w:val="nil"/>
              <w:bottom w:val="nil"/>
              <w:right w:val="nil"/>
            </w:tcBorders>
            <w:shd w:val="clear" w:color="auto" w:fill="auto"/>
            <w:vAlign w:val="bottom"/>
            <w:hideMark/>
          </w:tcPr>
          <w:p w14:paraId="7D9F9A82" w14:textId="77777777" w:rsidR="00596A40" w:rsidRPr="00203E93" w:rsidRDefault="00596A40" w:rsidP="00596A40">
            <w:pPr>
              <w:spacing w:line="240" w:lineRule="auto"/>
              <w:jc w:val="center"/>
              <w:rPr>
                <w:rFonts w:cs="Times New Roman"/>
                <w:color w:val="000000"/>
              </w:rPr>
            </w:pPr>
            <w:r w:rsidRPr="00203E93">
              <w:rPr>
                <w:rFonts w:cs="Times New Roman"/>
                <w:color w:val="000000"/>
              </w:rPr>
              <w:t>1%</w:t>
            </w:r>
          </w:p>
        </w:tc>
      </w:tr>
      <w:tr w:rsidR="00596A40" w:rsidRPr="00203E93" w14:paraId="2A9398BD" w14:textId="77777777" w:rsidTr="00CC74A4">
        <w:trPr>
          <w:trHeight w:val="315"/>
        </w:trPr>
        <w:tc>
          <w:tcPr>
            <w:tcW w:w="3016" w:type="dxa"/>
            <w:tcBorders>
              <w:top w:val="nil"/>
              <w:left w:val="nil"/>
              <w:bottom w:val="nil"/>
              <w:right w:val="nil"/>
            </w:tcBorders>
            <w:shd w:val="clear" w:color="auto" w:fill="auto"/>
            <w:noWrap/>
            <w:vAlign w:val="bottom"/>
            <w:hideMark/>
          </w:tcPr>
          <w:p w14:paraId="22BE22D9" w14:textId="77777777" w:rsidR="00596A40" w:rsidRPr="00203E93" w:rsidRDefault="00596A40" w:rsidP="00596A40">
            <w:pPr>
              <w:spacing w:line="240" w:lineRule="auto"/>
              <w:rPr>
                <w:rFonts w:cs="Times New Roman"/>
                <w:color w:val="000000"/>
              </w:rPr>
            </w:pPr>
            <w:r w:rsidRPr="00203E93">
              <w:rPr>
                <w:rFonts w:cs="Times New Roman"/>
                <w:color w:val="000000"/>
              </w:rPr>
              <w:t>SCA*Block(Location)</w:t>
            </w:r>
          </w:p>
        </w:tc>
        <w:tc>
          <w:tcPr>
            <w:tcW w:w="1000" w:type="dxa"/>
            <w:tcBorders>
              <w:top w:val="nil"/>
              <w:left w:val="nil"/>
              <w:bottom w:val="nil"/>
              <w:right w:val="nil"/>
            </w:tcBorders>
            <w:shd w:val="clear" w:color="auto" w:fill="auto"/>
            <w:vAlign w:val="bottom"/>
            <w:hideMark/>
          </w:tcPr>
          <w:p w14:paraId="734BABC8" w14:textId="77777777" w:rsidR="00596A40" w:rsidRPr="00203E93" w:rsidRDefault="00596A40" w:rsidP="00596A40">
            <w:pPr>
              <w:spacing w:line="240" w:lineRule="auto"/>
              <w:jc w:val="right"/>
              <w:rPr>
                <w:rFonts w:cs="Times New Roman"/>
                <w:color w:val="000000"/>
              </w:rPr>
            </w:pPr>
            <w:r w:rsidRPr="00203E93">
              <w:rPr>
                <w:rFonts w:cs="Times New Roman"/>
                <w:color w:val="000000"/>
              </w:rPr>
              <w:t>0</w:t>
            </w:r>
          </w:p>
        </w:tc>
        <w:tc>
          <w:tcPr>
            <w:tcW w:w="603" w:type="dxa"/>
            <w:gridSpan w:val="3"/>
            <w:tcBorders>
              <w:top w:val="nil"/>
              <w:left w:val="nil"/>
              <w:bottom w:val="nil"/>
              <w:right w:val="nil"/>
            </w:tcBorders>
            <w:shd w:val="clear" w:color="auto" w:fill="auto"/>
            <w:noWrap/>
            <w:vAlign w:val="bottom"/>
            <w:hideMark/>
          </w:tcPr>
          <w:p w14:paraId="390A0667"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gridSpan w:val="3"/>
            <w:tcBorders>
              <w:top w:val="nil"/>
              <w:left w:val="nil"/>
              <w:bottom w:val="nil"/>
              <w:right w:val="nil"/>
            </w:tcBorders>
            <w:shd w:val="clear" w:color="auto" w:fill="auto"/>
            <w:vAlign w:val="bottom"/>
            <w:hideMark/>
          </w:tcPr>
          <w:p w14:paraId="50A462E0" w14:textId="77777777" w:rsidR="00596A40" w:rsidRPr="00203E93" w:rsidRDefault="00596A40" w:rsidP="00596A40">
            <w:pPr>
              <w:spacing w:line="240" w:lineRule="auto"/>
              <w:jc w:val="center"/>
              <w:rPr>
                <w:rFonts w:cs="Times New Roman"/>
                <w:color w:val="000000"/>
              </w:rPr>
            </w:pPr>
            <w:r w:rsidRPr="00203E93">
              <w:rPr>
                <w:rFonts w:cs="Times New Roman"/>
                <w:color w:val="000000"/>
              </w:rPr>
              <w:t>0%</w:t>
            </w:r>
          </w:p>
        </w:tc>
        <w:tc>
          <w:tcPr>
            <w:tcW w:w="968" w:type="dxa"/>
            <w:gridSpan w:val="3"/>
            <w:tcBorders>
              <w:top w:val="nil"/>
              <w:left w:val="nil"/>
              <w:bottom w:val="nil"/>
              <w:right w:val="nil"/>
            </w:tcBorders>
            <w:shd w:val="clear" w:color="auto" w:fill="auto"/>
            <w:vAlign w:val="bottom"/>
            <w:hideMark/>
          </w:tcPr>
          <w:p w14:paraId="4D7213D3" w14:textId="77777777" w:rsidR="00596A40" w:rsidRPr="00203E93" w:rsidRDefault="00596A40" w:rsidP="00596A40">
            <w:pPr>
              <w:spacing w:line="240" w:lineRule="auto"/>
              <w:jc w:val="right"/>
              <w:rPr>
                <w:rFonts w:cs="Times New Roman"/>
                <w:color w:val="000000"/>
              </w:rPr>
            </w:pPr>
            <w:r w:rsidRPr="00203E93">
              <w:rPr>
                <w:rFonts w:cs="Times New Roman"/>
                <w:color w:val="000000"/>
              </w:rPr>
              <w:t>0</w:t>
            </w:r>
          </w:p>
        </w:tc>
        <w:tc>
          <w:tcPr>
            <w:tcW w:w="603" w:type="dxa"/>
            <w:gridSpan w:val="3"/>
            <w:tcBorders>
              <w:top w:val="nil"/>
              <w:left w:val="nil"/>
              <w:bottom w:val="nil"/>
              <w:right w:val="nil"/>
            </w:tcBorders>
            <w:shd w:val="clear" w:color="auto" w:fill="auto"/>
            <w:noWrap/>
            <w:vAlign w:val="bottom"/>
            <w:hideMark/>
          </w:tcPr>
          <w:p w14:paraId="2C6F676F"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gridSpan w:val="3"/>
            <w:tcBorders>
              <w:top w:val="nil"/>
              <w:left w:val="nil"/>
              <w:bottom w:val="nil"/>
              <w:right w:val="nil"/>
            </w:tcBorders>
            <w:shd w:val="clear" w:color="auto" w:fill="auto"/>
            <w:vAlign w:val="bottom"/>
            <w:hideMark/>
          </w:tcPr>
          <w:p w14:paraId="48DFE8BD" w14:textId="77777777" w:rsidR="00596A40" w:rsidRPr="00203E93" w:rsidRDefault="00596A40" w:rsidP="00596A40">
            <w:pPr>
              <w:spacing w:line="240" w:lineRule="auto"/>
              <w:jc w:val="center"/>
              <w:rPr>
                <w:rFonts w:cs="Times New Roman"/>
                <w:color w:val="000000"/>
              </w:rPr>
            </w:pPr>
            <w:r w:rsidRPr="00203E93">
              <w:rPr>
                <w:rFonts w:cs="Times New Roman"/>
                <w:color w:val="000000"/>
              </w:rPr>
              <w:t>0%</w:t>
            </w:r>
          </w:p>
        </w:tc>
        <w:tc>
          <w:tcPr>
            <w:tcW w:w="468" w:type="dxa"/>
            <w:tcBorders>
              <w:top w:val="nil"/>
              <w:left w:val="nil"/>
              <w:bottom w:val="nil"/>
              <w:right w:val="nil"/>
            </w:tcBorders>
            <w:shd w:val="clear" w:color="auto" w:fill="auto"/>
            <w:noWrap/>
            <w:vAlign w:val="bottom"/>
            <w:hideMark/>
          </w:tcPr>
          <w:p w14:paraId="50F06537" w14:textId="77777777" w:rsidR="00596A40" w:rsidRPr="00203E93" w:rsidRDefault="00596A40" w:rsidP="00596A40">
            <w:pPr>
              <w:spacing w:line="240" w:lineRule="auto"/>
              <w:jc w:val="right"/>
              <w:rPr>
                <w:rFonts w:cs="Times New Roman"/>
                <w:color w:val="000000"/>
              </w:rPr>
            </w:pPr>
            <w:r w:rsidRPr="00203E93">
              <w:rPr>
                <w:rFonts w:cs="Times New Roman"/>
                <w:color w:val="000000"/>
              </w:rPr>
              <w:t>7</w:t>
            </w:r>
          </w:p>
        </w:tc>
        <w:tc>
          <w:tcPr>
            <w:tcW w:w="677" w:type="dxa"/>
            <w:gridSpan w:val="3"/>
            <w:tcBorders>
              <w:top w:val="nil"/>
              <w:left w:val="nil"/>
              <w:bottom w:val="nil"/>
              <w:right w:val="nil"/>
            </w:tcBorders>
            <w:shd w:val="clear" w:color="auto" w:fill="auto"/>
            <w:noWrap/>
            <w:vAlign w:val="bottom"/>
            <w:hideMark/>
          </w:tcPr>
          <w:p w14:paraId="3167BE8E"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721" w:type="dxa"/>
            <w:gridSpan w:val="2"/>
            <w:tcBorders>
              <w:top w:val="nil"/>
              <w:left w:val="nil"/>
              <w:bottom w:val="nil"/>
              <w:right w:val="nil"/>
            </w:tcBorders>
            <w:shd w:val="clear" w:color="auto" w:fill="auto"/>
            <w:vAlign w:val="bottom"/>
            <w:hideMark/>
          </w:tcPr>
          <w:p w14:paraId="740623AD" w14:textId="77777777" w:rsidR="00596A40" w:rsidRPr="00203E93" w:rsidRDefault="00596A40" w:rsidP="00596A40">
            <w:pPr>
              <w:spacing w:line="240" w:lineRule="auto"/>
              <w:jc w:val="center"/>
              <w:rPr>
                <w:rFonts w:cs="Times New Roman"/>
                <w:color w:val="000000"/>
              </w:rPr>
            </w:pPr>
            <w:r w:rsidRPr="00203E93">
              <w:rPr>
                <w:rFonts w:cs="Times New Roman"/>
                <w:color w:val="000000"/>
              </w:rPr>
              <w:t>5%</w:t>
            </w:r>
          </w:p>
        </w:tc>
      </w:tr>
      <w:tr w:rsidR="00596A40" w:rsidRPr="00203E93" w14:paraId="0AD0C4EC" w14:textId="77777777" w:rsidTr="00CC74A4">
        <w:trPr>
          <w:trHeight w:val="330"/>
        </w:trPr>
        <w:tc>
          <w:tcPr>
            <w:tcW w:w="3016" w:type="dxa"/>
            <w:tcBorders>
              <w:top w:val="nil"/>
              <w:left w:val="nil"/>
              <w:bottom w:val="single" w:sz="8" w:space="0" w:color="auto"/>
              <w:right w:val="nil"/>
            </w:tcBorders>
            <w:shd w:val="clear" w:color="auto" w:fill="auto"/>
            <w:noWrap/>
            <w:vAlign w:val="bottom"/>
            <w:hideMark/>
          </w:tcPr>
          <w:p w14:paraId="7B574BEB" w14:textId="77777777" w:rsidR="00596A40" w:rsidRPr="00203E93" w:rsidRDefault="00596A40" w:rsidP="00596A40">
            <w:pPr>
              <w:spacing w:line="240" w:lineRule="auto"/>
              <w:rPr>
                <w:rFonts w:cs="Times New Roman"/>
                <w:color w:val="000000"/>
              </w:rPr>
            </w:pPr>
            <w:r w:rsidRPr="00203E93">
              <w:rPr>
                <w:rFonts w:cs="Times New Roman"/>
                <w:color w:val="000000"/>
              </w:rPr>
              <w:t>Residual</w:t>
            </w:r>
          </w:p>
        </w:tc>
        <w:tc>
          <w:tcPr>
            <w:tcW w:w="1000" w:type="dxa"/>
            <w:tcBorders>
              <w:top w:val="nil"/>
              <w:left w:val="nil"/>
              <w:bottom w:val="single" w:sz="8" w:space="0" w:color="auto"/>
              <w:right w:val="nil"/>
            </w:tcBorders>
            <w:shd w:val="clear" w:color="auto" w:fill="auto"/>
            <w:vAlign w:val="bottom"/>
            <w:hideMark/>
          </w:tcPr>
          <w:p w14:paraId="5F087E97" w14:textId="77777777" w:rsidR="00596A40" w:rsidRPr="00203E93" w:rsidRDefault="00596A40" w:rsidP="00596A40">
            <w:pPr>
              <w:spacing w:line="240" w:lineRule="auto"/>
              <w:jc w:val="right"/>
              <w:rPr>
                <w:rFonts w:cs="Times New Roman"/>
                <w:color w:val="000000"/>
              </w:rPr>
            </w:pPr>
            <w:r w:rsidRPr="00203E93">
              <w:rPr>
                <w:rFonts w:cs="Times New Roman"/>
                <w:color w:val="000000"/>
              </w:rPr>
              <w:t>156</w:t>
            </w:r>
          </w:p>
        </w:tc>
        <w:tc>
          <w:tcPr>
            <w:tcW w:w="603" w:type="dxa"/>
            <w:gridSpan w:val="3"/>
            <w:tcBorders>
              <w:top w:val="nil"/>
              <w:left w:val="nil"/>
              <w:bottom w:val="single" w:sz="8" w:space="0" w:color="auto"/>
              <w:right w:val="nil"/>
            </w:tcBorders>
            <w:shd w:val="clear" w:color="auto" w:fill="auto"/>
            <w:noWrap/>
            <w:vAlign w:val="bottom"/>
            <w:hideMark/>
          </w:tcPr>
          <w:p w14:paraId="63ED4962"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gridSpan w:val="3"/>
            <w:tcBorders>
              <w:top w:val="nil"/>
              <w:left w:val="nil"/>
              <w:bottom w:val="single" w:sz="8" w:space="0" w:color="auto"/>
              <w:right w:val="nil"/>
            </w:tcBorders>
            <w:shd w:val="clear" w:color="auto" w:fill="auto"/>
            <w:vAlign w:val="bottom"/>
            <w:hideMark/>
          </w:tcPr>
          <w:p w14:paraId="21252F56" w14:textId="77777777" w:rsidR="00596A40" w:rsidRPr="00203E93" w:rsidRDefault="00596A40" w:rsidP="00596A40">
            <w:pPr>
              <w:spacing w:line="240" w:lineRule="auto"/>
              <w:jc w:val="center"/>
              <w:rPr>
                <w:rFonts w:cs="Times New Roman"/>
                <w:color w:val="000000"/>
              </w:rPr>
            </w:pPr>
            <w:r w:rsidRPr="00203E93">
              <w:rPr>
                <w:rFonts w:cs="Times New Roman"/>
                <w:color w:val="000000"/>
              </w:rPr>
              <w:t>78%</w:t>
            </w:r>
          </w:p>
        </w:tc>
        <w:tc>
          <w:tcPr>
            <w:tcW w:w="968" w:type="dxa"/>
            <w:gridSpan w:val="3"/>
            <w:tcBorders>
              <w:top w:val="nil"/>
              <w:left w:val="nil"/>
              <w:bottom w:val="single" w:sz="8" w:space="0" w:color="auto"/>
              <w:right w:val="nil"/>
            </w:tcBorders>
            <w:shd w:val="clear" w:color="auto" w:fill="auto"/>
            <w:vAlign w:val="bottom"/>
            <w:hideMark/>
          </w:tcPr>
          <w:p w14:paraId="2A95BDF3" w14:textId="77777777" w:rsidR="00596A40" w:rsidRPr="00203E93" w:rsidRDefault="00596A40" w:rsidP="00596A40">
            <w:pPr>
              <w:spacing w:line="240" w:lineRule="auto"/>
              <w:jc w:val="right"/>
              <w:rPr>
                <w:rFonts w:cs="Times New Roman"/>
                <w:color w:val="000000"/>
              </w:rPr>
            </w:pPr>
            <w:r w:rsidRPr="00203E93">
              <w:rPr>
                <w:rFonts w:cs="Times New Roman"/>
                <w:color w:val="000000"/>
              </w:rPr>
              <w:t>40</w:t>
            </w:r>
          </w:p>
        </w:tc>
        <w:tc>
          <w:tcPr>
            <w:tcW w:w="603" w:type="dxa"/>
            <w:gridSpan w:val="3"/>
            <w:tcBorders>
              <w:top w:val="nil"/>
              <w:left w:val="nil"/>
              <w:bottom w:val="single" w:sz="8" w:space="0" w:color="auto"/>
              <w:right w:val="nil"/>
            </w:tcBorders>
            <w:shd w:val="clear" w:color="auto" w:fill="auto"/>
            <w:noWrap/>
            <w:vAlign w:val="bottom"/>
            <w:hideMark/>
          </w:tcPr>
          <w:p w14:paraId="4DA4E699"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gridSpan w:val="3"/>
            <w:tcBorders>
              <w:top w:val="nil"/>
              <w:left w:val="nil"/>
              <w:bottom w:val="single" w:sz="8" w:space="0" w:color="auto"/>
              <w:right w:val="nil"/>
            </w:tcBorders>
            <w:shd w:val="clear" w:color="auto" w:fill="auto"/>
            <w:vAlign w:val="bottom"/>
            <w:hideMark/>
          </w:tcPr>
          <w:p w14:paraId="4A2F54D2" w14:textId="77777777" w:rsidR="00596A40" w:rsidRPr="00203E93" w:rsidRDefault="00596A40" w:rsidP="00596A40">
            <w:pPr>
              <w:spacing w:line="240" w:lineRule="auto"/>
              <w:jc w:val="center"/>
              <w:rPr>
                <w:rFonts w:cs="Times New Roman"/>
                <w:color w:val="000000"/>
              </w:rPr>
            </w:pPr>
            <w:r w:rsidRPr="00203E93">
              <w:rPr>
                <w:rFonts w:cs="Times New Roman"/>
                <w:color w:val="000000"/>
              </w:rPr>
              <w:t>70%</w:t>
            </w:r>
          </w:p>
        </w:tc>
        <w:tc>
          <w:tcPr>
            <w:tcW w:w="468" w:type="dxa"/>
            <w:tcBorders>
              <w:top w:val="nil"/>
              <w:left w:val="nil"/>
              <w:bottom w:val="single" w:sz="8" w:space="0" w:color="auto"/>
              <w:right w:val="nil"/>
            </w:tcBorders>
            <w:shd w:val="clear" w:color="auto" w:fill="auto"/>
            <w:noWrap/>
            <w:vAlign w:val="bottom"/>
            <w:hideMark/>
          </w:tcPr>
          <w:p w14:paraId="14D5E2F2" w14:textId="77777777" w:rsidR="00596A40" w:rsidRPr="00203E93" w:rsidRDefault="00596A40" w:rsidP="00596A40">
            <w:pPr>
              <w:spacing w:line="240" w:lineRule="auto"/>
              <w:jc w:val="right"/>
              <w:rPr>
                <w:rFonts w:cs="Times New Roman"/>
                <w:color w:val="000000"/>
              </w:rPr>
            </w:pPr>
            <w:r w:rsidRPr="00203E93">
              <w:rPr>
                <w:rFonts w:cs="Times New Roman"/>
                <w:color w:val="000000"/>
              </w:rPr>
              <w:t>93</w:t>
            </w:r>
          </w:p>
        </w:tc>
        <w:tc>
          <w:tcPr>
            <w:tcW w:w="677" w:type="dxa"/>
            <w:gridSpan w:val="3"/>
            <w:tcBorders>
              <w:top w:val="nil"/>
              <w:left w:val="nil"/>
              <w:bottom w:val="single" w:sz="8" w:space="0" w:color="auto"/>
              <w:right w:val="nil"/>
            </w:tcBorders>
            <w:shd w:val="clear" w:color="auto" w:fill="auto"/>
            <w:noWrap/>
            <w:vAlign w:val="bottom"/>
            <w:hideMark/>
          </w:tcPr>
          <w:p w14:paraId="6C700B8B"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721" w:type="dxa"/>
            <w:gridSpan w:val="2"/>
            <w:tcBorders>
              <w:top w:val="nil"/>
              <w:left w:val="nil"/>
              <w:bottom w:val="single" w:sz="8" w:space="0" w:color="auto"/>
              <w:right w:val="nil"/>
            </w:tcBorders>
            <w:shd w:val="clear" w:color="auto" w:fill="auto"/>
            <w:vAlign w:val="bottom"/>
            <w:hideMark/>
          </w:tcPr>
          <w:p w14:paraId="2177C517" w14:textId="77777777" w:rsidR="00596A40" w:rsidRPr="00203E93" w:rsidRDefault="00596A40" w:rsidP="00596A40">
            <w:pPr>
              <w:spacing w:line="240" w:lineRule="auto"/>
              <w:jc w:val="center"/>
              <w:rPr>
                <w:rFonts w:cs="Times New Roman"/>
                <w:color w:val="000000"/>
              </w:rPr>
            </w:pPr>
            <w:r w:rsidRPr="00203E93">
              <w:rPr>
                <w:rFonts w:cs="Times New Roman"/>
                <w:color w:val="000000"/>
              </w:rPr>
              <w:t>72%</w:t>
            </w:r>
          </w:p>
        </w:tc>
      </w:tr>
      <w:tr w:rsidR="00596A40" w:rsidRPr="00203E93" w14:paraId="34B11BE2" w14:textId="77777777" w:rsidTr="00CC74A4">
        <w:trPr>
          <w:trHeight w:val="315"/>
        </w:trPr>
        <w:tc>
          <w:tcPr>
            <w:tcW w:w="3016" w:type="dxa"/>
            <w:tcBorders>
              <w:top w:val="single" w:sz="8" w:space="0" w:color="auto"/>
              <w:left w:val="nil"/>
              <w:bottom w:val="nil"/>
              <w:right w:val="nil"/>
            </w:tcBorders>
            <w:shd w:val="clear" w:color="auto" w:fill="auto"/>
            <w:noWrap/>
            <w:vAlign w:val="bottom"/>
            <w:hideMark/>
          </w:tcPr>
          <w:p w14:paraId="061F42BE" w14:textId="77777777" w:rsidR="00596A40" w:rsidRPr="00203E93" w:rsidRDefault="00596A40" w:rsidP="00596A40">
            <w:pPr>
              <w:spacing w:line="240" w:lineRule="auto"/>
              <w:rPr>
                <w:rFonts w:cs="Times New Roman"/>
                <w:color w:val="000000"/>
              </w:rPr>
            </w:pPr>
          </w:p>
        </w:tc>
        <w:tc>
          <w:tcPr>
            <w:tcW w:w="6352" w:type="dxa"/>
            <w:gridSpan w:val="22"/>
            <w:tcBorders>
              <w:top w:val="single" w:sz="8" w:space="0" w:color="auto"/>
              <w:left w:val="nil"/>
              <w:bottom w:val="single" w:sz="4" w:space="0" w:color="auto"/>
              <w:right w:val="nil"/>
            </w:tcBorders>
            <w:shd w:val="clear" w:color="auto" w:fill="auto"/>
            <w:noWrap/>
            <w:vAlign w:val="bottom"/>
            <w:hideMark/>
          </w:tcPr>
          <w:p w14:paraId="78501E8E" w14:textId="77777777" w:rsidR="00596A40" w:rsidRPr="00203E93" w:rsidRDefault="00596A40" w:rsidP="00596A40">
            <w:pPr>
              <w:spacing w:line="240" w:lineRule="auto"/>
              <w:jc w:val="center"/>
              <w:rPr>
                <w:rFonts w:cs="Times New Roman"/>
                <w:color w:val="000000"/>
              </w:rPr>
            </w:pPr>
            <w:r w:rsidRPr="00203E93">
              <w:rPr>
                <w:rFonts w:cs="Times New Roman"/>
                <w:color w:val="000000"/>
              </w:rPr>
              <w:t xml:space="preserve">Tiller Number </w:t>
            </w:r>
          </w:p>
        </w:tc>
      </w:tr>
      <w:tr w:rsidR="00596A40" w:rsidRPr="00203E93" w14:paraId="14D73A60" w14:textId="77777777" w:rsidTr="00CC74A4">
        <w:trPr>
          <w:trHeight w:val="330"/>
        </w:trPr>
        <w:tc>
          <w:tcPr>
            <w:tcW w:w="3016" w:type="dxa"/>
            <w:tcBorders>
              <w:top w:val="nil"/>
              <w:left w:val="nil"/>
              <w:bottom w:val="single" w:sz="8" w:space="0" w:color="auto"/>
              <w:right w:val="nil"/>
            </w:tcBorders>
            <w:shd w:val="clear" w:color="auto" w:fill="auto"/>
            <w:vAlign w:val="bottom"/>
            <w:hideMark/>
          </w:tcPr>
          <w:p w14:paraId="09876EF8" w14:textId="77777777" w:rsidR="00596A40" w:rsidRPr="00203E93" w:rsidRDefault="00596A40" w:rsidP="00596A40">
            <w:pPr>
              <w:spacing w:line="240" w:lineRule="auto"/>
              <w:rPr>
                <w:rFonts w:cs="Times New Roman"/>
                <w:color w:val="000000"/>
              </w:rPr>
            </w:pPr>
            <w:r w:rsidRPr="00203E93">
              <w:rPr>
                <w:rFonts w:cs="Times New Roman"/>
                <w:color w:val="000000"/>
              </w:rPr>
              <w:t>Source of Variation</w:t>
            </w:r>
          </w:p>
        </w:tc>
        <w:tc>
          <w:tcPr>
            <w:tcW w:w="2232" w:type="dxa"/>
            <w:gridSpan w:val="5"/>
            <w:tcBorders>
              <w:top w:val="nil"/>
              <w:left w:val="nil"/>
              <w:bottom w:val="single" w:sz="8" w:space="0" w:color="auto"/>
              <w:right w:val="nil"/>
            </w:tcBorders>
            <w:shd w:val="clear" w:color="auto" w:fill="auto"/>
            <w:vAlign w:val="bottom"/>
            <w:hideMark/>
          </w:tcPr>
          <w:p w14:paraId="2BB8C69C" w14:textId="77777777" w:rsidR="00596A40" w:rsidRPr="00203E93" w:rsidRDefault="00596A40" w:rsidP="00596A40">
            <w:pPr>
              <w:spacing w:line="240" w:lineRule="auto"/>
              <w:jc w:val="center"/>
              <w:rPr>
                <w:rFonts w:cs="Times New Roman"/>
                <w:color w:val="000000"/>
              </w:rPr>
            </w:pPr>
            <w:r w:rsidRPr="00203E93">
              <w:rPr>
                <w:rFonts w:cs="Times New Roman"/>
                <w:color w:val="000000"/>
              </w:rPr>
              <w:t>2013</w:t>
            </w:r>
          </w:p>
        </w:tc>
        <w:tc>
          <w:tcPr>
            <w:tcW w:w="2148" w:type="dxa"/>
            <w:gridSpan w:val="9"/>
            <w:tcBorders>
              <w:top w:val="nil"/>
              <w:left w:val="nil"/>
              <w:bottom w:val="single" w:sz="8" w:space="0" w:color="auto"/>
              <w:right w:val="nil"/>
            </w:tcBorders>
            <w:shd w:val="clear" w:color="auto" w:fill="auto"/>
            <w:vAlign w:val="bottom"/>
            <w:hideMark/>
          </w:tcPr>
          <w:p w14:paraId="6AA81015" w14:textId="77777777" w:rsidR="00596A40" w:rsidRPr="00203E93" w:rsidRDefault="00596A40" w:rsidP="00596A40">
            <w:pPr>
              <w:spacing w:line="240" w:lineRule="auto"/>
              <w:jc w:val="center"/>
              <w:rPr>
                <w:rFonts w:cs="Times New Roman"/>
                <w:color w:val="000000"/>
              </w:rPr>
            </w:pPr>
            <w:r w:rsidRPr="00203E93">
              <w:rPr>
                <w:rFonts w:cs="Times New Roman"/>
                <w:color w:val="000000"/>
              </w:rPr>
              <w:t>2014</w:t>
            </w:r>
          </w:p>
        </w:tc>
        <w:tc>
          <w:tcPr>
            <w:tcW w:w="1972" w:type="dxa"/>
            <w:gridSpan w:val="8"/>
            <w:tcBorders>
              <w:top w:val="nil"/>
              <w:left w:val="nil"/>
              <w:bottom w:val="single" w:sz="8" w:space="0" w:color="auto"/>
              <w:right w:val="nil"/>
            </w:tcBorders>
            <w:shd w:val="clear" w:color="auto" w:fill="auto"/>
            <w:vAlign w:val="bottom"/>
            <w:hideMark/>
          </w:tcPr>
          <w:p w14:paraId="4C7DE56C" w14:textId="77777777" w:rsidR="00596A40" w:rsidRPr="00203E93" w:rsidRDefault="00596A40" w:rsidP="00596A40">
            <w:pPr>
              <w:spacing w:line="240" w:lineRule="auto"/>
              <w:jc w:val="center"/>
              <w:rPr>
                <w:rFonts w:cs="Times New Roman"/>
                <w:color w:val="000000"/>
              </w:rPr>
            </w:pPr>
            <w:r w:rsidRPr="00203E93">
              <w:rPr>
                <w:rFonts w:cs="Times New Roman"/>
                <w:color w:val="000000"/>
              </w:rPr>
              <w:t>Combined</w:t>
            </w:r>
          </w:p>
        </w:tc>
      </w:tr>
      <w:tr w:rsidR="00596A40" w:rsidRPr="00203E93" w14:paraId="7FBD3C2D" w14:textId="77777777" w:rsidTr="00CC74A4">
        <w:trPr>
          <w:trHeight w:val="405"/>
        </w:trPr>
        <w:tc>
          <w:tcPr>
            <w:tcW w:w="3016" w:type="dxa"/>
            <w:tcBorders>
              <w:top w:val="nil"/>
              <w:left w:val="nil"/>
              <w:bottom w:val="nil"/>
              <w:right w:val="nil"/>
            </w:tcBorders>
            <w:shd w:val="clear" w:color="auto" w:fill="auto"/>
            <w:noWrap/>
            <w:vAlign w:val="bottom"/>
            <w:hideMark/>
          </w:tcPr>
          <w:p w14:paraId="1FE73C0F" w14:textId="77777777" w:rsidR="00596A40" w:rsidRPr="00203E93" w:rsidRDefault="00596A40" w:rsidP="00596A40">
            <w:pPr>
              <w:spacing w:line="240" w:lineRule="auto"/>
              <w:rPr>
                <w:rFonts w:cs="Times New Roman"/>
                <w:color w:val="000000"/>
              </w:rPr>
            </w:pPr>
            <w:r w:rsidRPr="00203E93">
              <w:rPr>
                <w:rFonts w:cs="Times New Roman"/>
                <w:color w:val="000000"/>
              </w:rPr>
              <w:t>GCA</w:t>
            </w:r>
          </w:p>
        </w:tc>
        <w:tc>
          <w:tcPr>
            <w:tcW w:w="1000" w:type="dxa"/>
            <w:tcBorders>
              <w:top w:val="nil"/>
              <w:left w:val="nil"/>
              <w:bottom w:val="nil"/>
              <w:right w:val="nil"/>
            </w:tcBorders>
            <w:shd w:val="clear" w:color="auto" w:fill="auto"/>
            <w:vAlign w:val="bottom"/>
            <w:hideMark/>
          </w:tcPr>
          <w:p w14:paraId="04F7D45C" w14:textId="77777777" w:rsidR="00596A40" w:rsidRPr="00203E93" w:rsidRDefault="00596A40" w:rsidP="00596A40">
            <w:pPr>
              <w:spacing w:line="240" w:lineRule="auto"/>
              <w:jc w:val="right"/>
              <w:rPr>
                <w:rFonts w:cs="Times New Roman"/>
                <w:color w:val="000000"/>
              </w:rPr>
            </w:pPr>
            <w:r w:rsidRPr="00203E93">
              <w:rPr>
                <w:rFonts w:cs="Times New Roman"/>
                <w:color w:val="000000"/>
              </w:rPr>
              <w:t>87</w:t>
            </w:r>
          </w:p>
        </w:tc>
        <w:tc>
          <w:tcPr>
            <w:tcW w:w="576" w:type="dxa"/>
            <w:tcBorders>
              <w:top w:val="nil"/>
              <w:left w:val="nil"/>
              <w:bottom w:val="nil"/>
              <w:right w:val="nil"/>
            </w:tcBorders>
            <w:shd w:val="clear" w:color="auto" w:fill="auto"/>
            <w:noWrap/>
            <w:vAlign w:val="bottom"/>
            <w:hideMark/>
          </w:tcPr>
          <w:p w14:paraId="329A76C9"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gridSpan w:val="3"/>
            <w:tcBorders>
              <w:top w:val="nil"/>
              <w:left w:val="nil"/>
              <w:bottom w:val="nil"/>
              <w:right w:val="nil"/>
            </w:tcBorders>
            <w:shd w:val="clear" w:color="auto" w:fill="auto"/>
            <w:vAlign w:val="bottom"/>
            <w:hideMark/>
          </w:tcPr>
          <w:p w14:paraId="6ACBBAAF" w14:textId="77777777" w:rsidR="00596A40" w:rsidRPr="00203E93" w:rsidRDefault="00596A40" w:rsidP="00596A40">
            <w:pPr>
              <w:spacing w:line="240" w:lineRule="auto"/>
              <w:jc w:val="center"/>
              <w:rPr>
                <w:rFonts w:cs="Times New Roman"/>
                <w:color w:val="000000"/>
              </w:rPr>
            </w:pPr>
            <w:r w:rsidRPr="00203E93">
              <w:rPr>
                <w:rFonts w:cs="Times New Roman"/>
                <w:color w:val="000000"/>
              </w:rPr>
              <w:t>4%</w:t>
            </w:r>
          </w:p>
        </w:tc>
        <w:tc>
          <w:tcPr>
            <w:tcW w:w="916" w:type="dxa"/>
            <w:gridSpan w:val="3"/>
            <w:tcBorders>
              <w:top w:val="nil"/>
              <w:left w:val="nil"/>
              <w:bottom w:val="nil"/>
              <w:right w:val="nil"/>
            </w:tcBorders>
            <w:shd w:val="clear" w:color="auto" w:fill="auto"/>
            <w:vAlign w:val="bottom"/>
            <w:hideMark/>
          </w:tcPr>
          <w:p w14:paraId="24C5B839" w14:textId="77777777" w:rsidR="00596A40" w:rsidRPr="00203E93" w:rsidRDefault="00596A40" w:rsidP="00596A40">
            <w:pPr>
              <w:spacing w:line="240" w:lineRule="auto"/>
              <w:jc w:val="right"/>
              <w:rPr>
                <w:rFonts w:cs="Times New Roman"/>
                <w:color w:val="000000"/>
              </w:rPr>
            </w:pPr>
            <w:r w:rsidRPr="00203E93">
              <w:rPr>
                <w:rFonts w:cs="Times New Roman"/>
                <w:color w:val="000000"/>
              </w:rPr>
              <w:t>241</w:t>
            </w:r>
          </w:p>
        </w:tc>
        <w:tc>
          <w:tcPr>
            <w:tcW w:w="576" w:type="dxa"/>
            <w:gridSpan w:val="3"/>
            <w:tcBorders>
              <w:top w:val="nil"/>
              <w:left w:val="nil"/>
              <w:bottom w:val="nil"/>
              <w:right w:val="nil"/>
            </w:tcBorders>
            <w:shd w:val="clear" w:color="auto" w:fill="auto"/>
            <w:noWrap/>
            <w:vAlign w:val="bottom"/>
            <w:hideMark/>
          </w:tcPr>
          <w:p w14:paraId="503924DE"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gridSpan w:val="3"/>
            <w:tcBorders>
              <w:top w:val="nil"/>
              <w:left w:val="nil"/>
              <w:bottom w:val="nil"/>
              <w:right w:val="nil"/>
            </w:tcBorders>
            <w:shd w:val="clear" w:color="auto" w:fill="auto"/>
            <w:vAlign w:val="bottom"/>
            <w:hideMark/>
          </w:tcPr>
          <w:p w14:paraId="3B484166" w14:textId="77777777" w:rsidR="00596A40" w:rsidRPr="00203E93" w:rsidRDefault="00596A40" w:rsidP="00596A40">
            <w:pPr>
              <w:spacing w:line="240" w:lineRule="auto"/>
              <w:jc w:val="center"/>
              <w:rPr>
                <w:rFonts w:cs="Times New Roman"/>
                <w:color w:val="000000"/>
              </w:rPr>
            </w:pPr>
            <w:r w:rsidRPr="00203E93">
              <w:rPr>
                <w:rFonts w:cs="Times New Roman"/>
                <w:color w:val="000000"/>
              </w:rPr>
              <w:t>5%</w:t>
            </w:r>
          </w:p>
        </w:tc>
        <w:tc>
          <w:tcPr>
            <w:tcW w:w="738" w:type="dxa"/>
            <w:gridSpan w:val="5"/>
            <w:tcBorders>
              <w:top w:val="nil"/>
              <w:left w:val="nil"/>
              <w:bottom w:val="nil"/>
              <w:right w:val="nil"/>
            </w:tcBorders>
            <w:shd w:val="clear" w:color="auto" w:fill="auto"/>
            <w:noWrap/>
            <w:vAlign w:val="bottom"/>
            <w:hideMark/>
          </w:tcPr>
          <w:p w14:paraId="5E01BD58" w14:textId="77777777" w:rsidR="00596A40" w:rsidRPr="00203E93" w:rsidRDefault="00596A40" w:rsidP="00596A40">
            <w:pPr>
              <w:spacing w:line="240" w:lineRule="auto"/>
              <w:jc w:val="right"/>
              <w:rPr>
                <w:rFonts w:cs="Times New Roman"/>
                <w:color w:val="000000"/>
              </w:rPr>
            </w:pPr>
            <w:r w:rsidRPr="00203E93">
              <w:rPr>
                <w:rFonts w:cs="Times New Roman"/>
                <w:color w:val="000000"/>
              </w:rPr>
              <w:t>147</w:t>
            </w:r>
          </w:p>
        </w:tc>
        <w:tc>
          <w:tcPr>
            <w:tcW w:w="576" w:type="dxa"/>
            <w:gridSpan w:val="2"/>
            <w:tcBorders>
              <w:top w:val="nil"/>
              <w:left w:val="nil"/>
              <w:bottom w:val="nil"/>
              <w:right w:val="nil"/>
            </w:tcBorders>
            <w:shd w:val="clear" w:color="auto" w:fill="auto"/>
            <w:noWrap/>
            <w:vAlign w:val="bottom"/>
            <w:hideMark/>
          </w:tcPr>
          <w:p w14:paraId="03C9CA44"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8" w:type="dxa"/>
            <w:tcBorders>
              <w:top w:val="nil"/>
              <w:left w:val="nil"/>
              <w:bottom w:val="nil"/>
              <w:right w:val="nil"/>
            </w:tcBorders>
            <w:shd w:val="clear" w:color="auto" w:fill="auto"/>
            <w:vAlign w:val="bottom"/>
            <w:hideMark/>
          </w:tcPr>
          <w:p w14:paraId="6F613864" w14:textId="77777777" w:rsidR="00596A40" w:rsidRPr="00203E93" w:rsidRDefault="00596A40" w:rsidP="00596A40">
            <w:pPr>
              <w:spacing w:line="240" w:lineRule="auto"/>
              <w:jc w:val="center"/>
              <w:rPr>
                <w:rFonts w:cs="Times New Roman"/>
                <w:color w:val="000000"/>
              </w:rPr>
            </w:pPr>
            <w:r w:rsidRPr="00203E93">
              <w:rPr>
                <w:rFonts w:cs="Times New Roman"/>
                <w:color w:val="000000"/>
              </w:rPr>
              <w:t>5%</w:t>
            </w:r>
          </w:p>
        </w:tc>
      </w:tr>
      <w:tr w:rsidR="00596A40" w:rsidRPr="00203E93" w14:paraId="2C73658A" w14:textId="77777777" w:rsidTr="00CC74A4">
        <w:trPr>
          <w:trHeight w:val="405"/>
        </w:trPr>
        <w:tc>
          <w:tcPr>
            <w:tcW w:w="3016" w:type="dxa"/>
            <w:tcBorders>
              <w:top w:val="nil"/>
              <w:left w:val="nil"/>
              <w:bottom w:val="nil"/>
              <w:right w:val="nil"/>
            </w:tcBorders>
            <w:shd w:val="clear" w:color="auto" w:fill="auto"/>
            <w:noWrap/>
            <w:vAlign w:val="bottom"/>
            <w:hideMark/>
          </w:tcPr>
          <w:p w14:paraId="19BA8143" w14:textId="77777777" w:rsidR="00596A40" w:rsidRPr="00203E93" w:rsidRDefault="00596A40" w:rsidP="00596A40">
            <w:pPr>
              <w:spacing w:line="240" w:lineRule="auto"/>
              <w:rPr>
                <w:rFonts w:cs="Times New Roman"/>
                <w:color w:val="000000"/>
              </w:rPr>
            </w:pPr>
            <w:r w:rsidRPr="00203E93">
              <w:rPr>
                <w:rFonts w:cs="Times New Roman"/>
                <w:color w:val="000000"/>
              </w:rPr>
              <w:t>SCA</w:t>
            </w:r>
          </w:p>
        </w:tc>
        <w:tc>
          <w:tcPr>
            <w:tcW w:w="1000" w:type="dxa"/>
            <w:tcBorders>
              <w:top w:val="nil"/>
              <w:left w:val="nil"/>
              <w:bottom w:val="nil"/>
              <w:right w:val="nil"/>
            </w:tcBorders>
            <w:shd w:val="clear" w:color="auto" w:fill="auto"/>
            <w:vAlign w:val="bottom"/>
            <w:hideMark/>
          </w:tcPr>
          <w:p w14:paraId="22FDA502" w14:textId="77777777" w:rsidR="00596A40" w:rsidRPr="00203E93" w:rsidRDefault="00596A40" w:rsidP="00596A40">
            <w:pPr>
              <w:spacing w:line="240" w:lineRule="auto"/>
              <w:jc w:val="right"/>
              <w:rPr>
                <w:rFonts w:cs="Times New Roman"/>
                <w:color w:val="000000"/>
              </w:rPr>
            </w:pPr>
            <w:r w:rsidRPr="00203E93">
              <w:rPr>
                <w:rFonts w:cs="Times New Roman"/>
                <w:color w:val="000000"/>
              </w:rPr>
              <w:t>130</w:t>
            </w:r>
          </w:p>
        </w:tc>
        <w:tc>
          <w:tcPr>
            <w:tcW w:w="576" w:type="dxa"/>
            <w:tcBorders>
              <w:top w:val="nil"/>
              <w:left w:val="nil"/>
              <w:bottom w:val="nil"/>
              <w:right w:val="nil"/>
            </w:tcBorders>
            <w:shd w:val="clear" w:color="auto" w:fill="auto"/>
            <w:noWrap/>
            <w:vAlign w:val="bottom"/>
            <w:hideMark/>
          </w:tcPr>
          <w:p w14:paraId="77B00402"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gridSpan w:val="3"/>
            <w:tcBorders>
              <w:top w:val="nil"/>
              <w:left w:val="nil"/>
              <w:bottom w:val="nil"/>
              <w:right w:val="nil"/>
            </w:tcBorders>
            <w:shd w:val="clear" w:color="auto" w:fill="auto"/>
            <w:vAlign w:val="bottom"/>
            <w:hideMark/>
          </w:tcPr>
          <w:p w14:paraId="3696A91A" w14:textId="77777777" w:rsidR="00596A40" w:rsidRPr="00203E93" w:rsidRDefault="00596A40" w:rsidP="00596A40">
            <w:pPr>
              <w:spacing w:line="240" w:lineRule="auto"/>
              <w:jc w:val="center"/>
              <w:rPr>
                <w:rFonts w:cs="Times New Roman"/>
                <w:color w:val="000000"/>
              </w:rPr>
            </w:pPr>
            <w:r w:rsidRPr="00203E93">
              <w:rPr>
                <w:rFonts w:cs="Times New Roman"/>
                <w:color w:val="000000"/>
              </w:rPr>
              <w:t>7%</w:t>
            </w:r>
          </w:p>
        </w:tc>
        <w:tc>
          <w:tcPr>
            <w:tcW w:w="916" w:type="dxa"/>
            <w:gridSpan w:val="3"/>
            <w:tcBorders>
              <w:top w:val="nil"/>
              <w:left w:val="nil"/>
              <w:bottom w:val="nil"/>
              <w:right w:val="nil"/>
            </w:tcBorders>
            <w:shd w:val="clear" w:color="auto" w:fill="auto"/>
            <w:vAlign w:val="bottom"/>
            <w:hideMark/>
          </w:tcPr>
          <w:p w14:paraId="4CE22555" w14:textId="77777777" w:rsidR="00596A40" w:rsidRPr="00203E93" w:rsidRDefault="00596A40" w:rsidP="00596A40">
            <w:pPr>
              <w:spacing w:line="240" w:lineRule="auto"/>
              <w:jc w:val="right"/>
              <w:rPr>
                <w:rFonts w:cs="Times New Roman"/>
                <w:color w:val="000000"/>
              </w:rPr>
            </w:pPr>
            <w:r w:rsidRPr="00203E93">
              <w:rPr>
                <w:rFonts w:cs="Times New Roman"/>
                <w:color w:val="000000"/>
              </w:rPr>
              <w:t>388</w:t>
            </w:r>
          </w:p>
        </w:tc>
        <w:tc>
          <w:tcPr>
            <w:tcW w:w="576" w:type="dxa"/>
            <w:gridSpan w:val="3"/>
            <w:tcBorders>
              <w:top w:val="nil"/>
              <w:left w:val="nil"/>
              <w:bottom w:val="nil"/>
              <w:right w:val="nil"/>
            </w:tcBorders>
            <w:shd w:val="clear" w:color="auto" w:fill="auto"/>
            <w:noWrap/>
            <w:vAlign w:val="bottom"/>
            <w:hideMark/>
          </w:tcPr>
          <w:p w14:paraId="1ABF1462"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gridSpan w:val="3"/>
            <w:tcBorders>
              <w:top w:val="nil"/>
              <w:left w:val="nil"/>
              <w:bottom w:val="nil"/>
              <w:right w:val="nil"/>
            </w:tcBorders>
            <w:shd w:val="clear" w:color="auto" w:fill="auto"/>
            <w:vAlign w:val="bottom"/>
            <w:hideMark/>
          </w:tcPr>
          <w:p w14:paraId="2F7DB9A9" w14:textId="77777777" w:rsidR="00596A40" w:rsidRPr="00203E93" w:rsidRDefault="00596A40" w:rsidP="00596A40">
            <w:pPr>
              <w:spacing w:line="240" w:lineRule="auto"/>
              <w:jc w:val="center"/>
              <w:rPr>
                <w:rFonts w:cs="Times New Roman"/>
                <w:color w:val="000000"/>
              </w:rPr>
            </w:pPr>
            <w:r w:rsidRPr="00203E93">
              <w:rPr>
                <w:rFonts w:cs="Times New Roman"/>
                <w:color w:val="000000"/>
              </w:rPr>
              <w:t>9%</w:t>
            </w:r>
          </w:p>
        </w:tc>
        <w:tc>
          <w:tcPr>
            <w:tcW w:w="738" w:type="dxa"/>
            <w:gridSpan w:val="5"/>
            <w:tcBorders>
              <w:top w:val="nil"/>
              <w:left w:val="nil"/>
              <w:bottom w:val="nil"/>
              <w:right w:val="nil"/>
            </w:tcBorders>
            <w:shd w:val="clear" w:color="auto" w:fill="auto"/>
            <w:noWrap/>
            <w:vAlign w:val="bottom"/>
            <w:hideMark/>
          </w:tcPr>
          <w:p w14:paraId="05485BDE" w14:textId="77777777" w:rsidR="00596A40" w:rsidRPr="00203E93" w:rsidRDefault="00596A40" w:rsidP="00596A40">
            <w:pPr>
              <w:spacing w:line="240" w:lineRule="auto"/>
              <w:jc w:val="right"/>
              <w:rPr>
                <w:rFonts w:cs="Times New Roman"/>
                <w:color w:val="000000"/>
              </w:rPr>
            </w:pPr>
            <w:r w:rsidRPr="00203E93">
              <w:rPr>
                <w:rFonts w:cs="Times New Roman"/>
                <w:color w:val="000000"/>
              </w:rPr>
              <w:t>258</w:t>
            </w:r>
          </w:p>
        </w:tc>
        <w:tc>
          <w:tcPr>
            <w:tcW w:w="576" w:type="dxa"/>
            <w:gridSpan w:val="2"/>
            <w:tcBorders>
              <w:top w:val="nil"/>
              <w:left w:val="nil"/>
              <w:bottom w:val="nil"/>
              <w:right w:val="nil"/>
            </w:tcBorders>
            <w:shd w:val="clear" w:color="auto" w:fill="auto"/>
            <w:noWrap/>
            <w:vAlign w:val="bottom"/>
            <w:hideMark/>
          </w:tcPr>
          <w:p w14:paraId="43F91476"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8" w:type="dxa"/>
            <w:tcBorders>
              <w:top w:val="nil"/>
              <w:left w:val="nil"/>
              <w:bottom w:val="nil"/>
              <w:right w:val="nil"/>
            </w:tcBorders>
            <w:shd w:val="clear" w:color="auto" w:fill="auto"/>
            <w:vAlign w:val="bottom"/>
            <w:hideMark/>
          </w:tcPr>
          <w:p w14:paraId="4592D147" w14:textId="77777777" w:rsidR="00596A40" w:rsidRPr="00203E93" w:rsidRDefault="00596A40" w:rsidP="00596A40">
            <w:pPr>
              <w:spacing w:line="240" w:lineRule="auto"/>
              <w:jc w:val="center"/>
              <w:rPr>
                <w:rFonts w:cs="Times New Roman"/>
                <w:color w:val="000000"/>
              </w:rPr>
            </w:pPr>
            <w:r w:rsidRPr="00203E93">
              <w:rPr>
                <w:rFonts w:cs="Times New Roman"/>
                <w:color w:val="000000"/>
              </w:rPr>
              <w:t>8%</w:t>
            </w:r>
          </w:p>
        </w:tc>
      </w:tr>
      <w:tr w:rsidR="00596A40" w:rsidRPr="00203E93" w14:paraId="0FAD8C41" w14:textId="77777777" w:rsidTr="00CC74A4">
        <w:trPr>
          <w:trHeight w:val="420"/>
        </w:trPr>
        <w:tc>
          <w:tcPr>
            <w:tcW w:w="3016" w:type="dxa"/>
            <w:tcBorders>
              <w:top w:val="nil"/>
              <w:left w:val="nil"/>
              <w:bottom w:val="nil"/>
              <w:right w:val="nil"/>
            </w:tcBorders>
            <w:shd w:val="clear" w:color="auto" w:fill="auto"/>
            <w:noWrap/>
            <w:vAlign w:val="bottom"/>
            <w:hideMark/>
          </w:tcPr>
          <w:p w14:paraId="620B2351" w14:textId="77777777" w:rsidR="00596A40" w:rsidRPr="00203E93" w:rsidRDefault="00596A40" w:rsidP="00596A40">
            <w:pPr>
              <w:spacing w:line="240" w:lineRule="auto"/>
              <w:rPr>
                <w:rFonts w:cs="Times New Roman"/>
                <w:color w:val="000000"/>
              </w:rPr>
            </w:pPr>
            <w:r w:rsidRPr="00203E93">
              <w:rPr>
                <w:rFonts w:cs="Times New Roman"/>
                <w:color w:val="000000"/>
              </w:rPr>
              <w:t>GCA*Year</w:t>
            </w:r>
          </w:p>
        </w:tc>
        <w:tc>
          <w:tcPr>
            <w:tcW w:w="1000" w:type="dxa"/>
            <w:tcBorders>
              <w:top w:val="nil"/>
              <w:left w:val="nil"/>
              <w:bottom w:val="nil"/>
              <w:right w:val="nil"/>
            </w:tcBorders>
            <w:shd w:val="clear" w:color="auto" w:fill="auto"/>
            <w:vAlign w:val="bottom"/>
            <w:hideMark/>
          </w:tcPr>
          <w:p w14:paraId="6056BF81" w14:textId="77777777" w:rsidR="00596A40" w:rsidRPr="00203E93" w:rsidRDefault="00596A40" w:rsidP="00596A40">
            <w:pPr>
              <w:spacing w:line="240" w:lineRule="auto"/>
              <w:jc w:val="right"/>
              <w:rPr>
                <w:rFonts w:cs="Times New Roman"/>
                <w:color w:val="000000"/>
              </w:rPr>
            </w:pPr>
          </w:p>
        </w:tc>
        <w:tc>
          <w:tcPr>
            <w:tcW w:w="576" w:type="dxa"/>
            <w:tcBorders>
              <w:top w:val="nil"/>
              <w:left w:val="nil"/>
              <w:bottom w:val="nil"/>
              <w:right w:val="nil"/>
            </w:tcBorders>
            <w:shd w:val="clear" w:color="auto" w:fill="auto"/>
            <w:noWrap/>
            <w:vAlign w:val="bottom"/>
            <w:hideMark/>
          </w:tcPr>
          <w:p w14:paraId="7AFD92F9" w14:textId="77777777" w:rsidR="00596A40" w:rsidRPr="00203E93" w:rsidRDefault="00596A40" w:rsidP="00596A40">
            <w:pPr>
              <w:spacing w:line="240" w:lineRule="auto"/>
              <w:rPr>
                <w:rFonts w:cs="Times New Roman"/>
                <w:color w:val="000000"/>
              </w:rPr>
            </w:pPr>
          </w:p>
        </w:tc>
        <w:tc>
          <w:tcPr>
            <w:tcW w:w="656" w:type="dxa"/>
            <w:gridSpan w:val="3"/>
            <w:tcBorders>
              <w:top w:val="nil"/>
              <w:left w:val="nil"/>
              <w:bottom w:val="nil"/>
              <w:right w:val="nil"/>
            </w:tcBorders>
            <w:shd w:val="clear" w:color="auto" w:fill="auto"/>
            <w:vAlign w:val="bottom"/>
            <w:hideMark/>
          </w:tcPr>
          <w:p w14:paraId="6CFC55DD" w14:textId="77777777" w:rsidR="00596A40" w:rsidRPr="00203E93" w:rsidRDefault="00596A40" w:rsidP="00596A40">
            <w:pPr>
              <w:spacing w:line="240" w:lineRule="auto"/>
              <w:jc w:val="center"/>
              <w:rPr>
                <w:rFonts w:cs="Times New Roman"/>
                <w:color w:val="000000"/>
              </w:rPr>
            </w:pPr>
          </w:p>
        </w:tc>
        <w:tc>
          <w:tcPr>
            <w:tcW w:w="916" w:type="dxa"/>
            <w:gridSpan w:val="3"/>
            <w:tcBorders>
              <w:top w:val="nil"/>
              <w:left w:val="nil"/>
              <w:bottom w:val="nil"/>
              <w:right w:val="nil"/>
            </w:tcBorders>
            <w:shd w:val="clear" w:color="auto" w:fill="auto"/>
            <w:vAlign w:val="bottom"/>
            <w:hideMark/>
          </w:tcPr>
          <w:p w14:paraId="2776DF6C" w14:textId="77777777" w:rsidR="00596A40" w:rsidRPr="00203E93" w:rsidRDefault="00596A40" w:rsidP="00596A40">
            <w:pPr>
              <w:spacing w:line="240" w:lineRule="auto"/>
              <w:jc w:val="right"/>
              <w:rPr>
                <w:rFonts w:cs="Times New Roman"/>
                <w:color w:val="000000"/>
              </w:rPr>
            </w:pPr>
          </w:p>
        </w:tc>
        <w:tc>
          <w:tcPr>
            <w:tcW w:w="576" w:type="dxa"/>
            <w:gridSpan w:val="3"/>
            <w:tcBorders>
              <w:top w:val="nil"/>
              <w:left w:val="nil"/>
              <w:bottom w:val="nil"/>
              <w:right w:val="nil"/>
            </w:tcBorders>
            <w:shd w:val="clear" w:color="auto" w:fill="auto"/>
            <w:noWrap/>
            <w:vAlign w:val="bottom"/>
            <w:hideMark/>
          </w:tcPr>
          <w:p w14:paraId="1665E783" w14:textId="77777777" w:rsidR="00596A40" w:rsidRPr="00203E93" w:rsidRDefault="00596A40" w:rsidP="00596A40">
            <w:pPr>
              <w:spacing w:line="240" w:lineRule="auto"/>
              <w:rPr>
                <w:rFonts w:cs="Times New Roman"/>
                <w:color w:val="000000"/>
              </w:rPr>
            </w:pPr>
          </w:p>
        </w:tc>
        <w:tc>
          <w:tcPr>
            <w:tcW w:w="656" w:type="dxa"/>
            <w:gridSpan w:val="3"/>
            <w:tcBorders>
              <w:top w:val="nil"/>
              <w:left w:val="nil"/>
              <w:bottom w:val="nil"/>
              <w:right w:val="nil"/>
            </w:tcBorders>
            <w:shd w:val="clear" w:color="auto" w:fill="auto"/>
            <w:vAlign w:val="bottom"/>
            <w:hideMark/>
          </w:tcPr>
          <w:p w14:paraId="5E6F45AF" w14:textId="77777777" w:rsidR="00596A40" w:rsidRPr="00203E93" w:rsidRDefault="00596A40" w:rsidP="00596A40">
            <w:pPr>
              <w:spacing w:line="240" w:lineRule="auto"/>
              <w:jc w:val="center"/>
              <w:rPr>
                <w:rFonts w:cs="Times New Roman"/>
                <w:color w:val="000000"/>
              </w:rPr>
            </w:pPr>
          </w:p>
        </w:tc>
        <w:tc>
          <w:tcPr>
            <w:tcW w:w="738" w:type="dxa"/>
            <w:gridSpan w:val="5"/>
            <w:tcBorders>
              <w:top w:val="nil"/>
              <w:left w:val="nil"/>
              <w:bottom w:val="nil"/>
              <w:right w:val="nil"/>
            </w:tcBorders>
            <w:shd w:val="clear" w:color="auto" w:fill="auto"/>
            <w:noWrap/>
            <w:vAlign w:val="bottom"/>
            <w:hideMark/>
          </w:tcPr>
          <w:p w14:paraId="6DD13425" w14:textId="77777777" w:rsidR="00596A40" w:rsidRPr="00203E93" w:rsidRDefault="00596A40" w:rsidP="00596A40">
            <w:pPr>
              <w:spacing w:line="240" w:lineRule="auto"/>
              <w:jc w:val="right"/>
              <w:rPr>
                <w:rFonts w:cs="Times New Roman"/>
                <w:color w:val="000000"/>
              </w:rPr>
            </w:pPr>
            <w:r w:rsidRPr="00203E93">
              <w:rPr>
                <w:rFonts w:cs="Times New Roman"/>
                <w:color w:val="000000"/>
              </w:rPr>
              <w:t>19</w:t>
            </w:r>
          </w:p>
        </w:tc>
        <w:tc>
          <w:tcPr>
            <w:tcW w:w="576" w:type="dxa"/>
            <w:gridSpan w:val="2"/>
            <w:tcBorders>
              <w:top w:val="nil"/>
              <w:left w:val="nil"/>
              <w:bottom w:val="nil"/>
              <w:right w:val="nil"/>
            </w:tcBorders>
            <w:shd w:val="clear" w:color="auto" w:fill="auto"/>
            <w:noWrap/>
            <w:vAlign w:val="bottom"/>
            <w:hideMark/>
          </w:tcPr>
          <w:p w14:paraId="0DCA6D06"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8" w:type="dxa"/>
            <w:tcBorders>
              <w:top w:val="nil"/>
              <w:left w:val="nil"/>
              <w:bottom w:val="nil"/>
              <w:right w:val="nil"/>
            </w:tcBorders>
            <w:shd w:val="clear" w:color="auto" w:fill="auto"/>
            <w:vAlign w:val="bottom"/>
            <w:hideMark/>
          </w:tcPr>
          <w:p w14:paraId="29C54324" w14:textId="77777777" w:rsidR="00596A40" w:rsidRPr="00203E93" w:rsidRDefault="00596A40" w:rsidP="00596A40">
            <w:pPr>
              <w:spacing w:line="240" w:lineRule="auto"/>
              <w:jc w:val="center"/>
              <w:rPr>
                <w:rFonts w:cs="Times New Roman"/>
                <w:color w:val="000000"/>
              </w:rPr>
            </w:pPr>
            <w:r w:rsidRPr="00203E93">
              <w:rPr>
                <w:rFonts w:cs="Times New Roman"/>
                <w:color w:val="000000"/>
              </w:rPr>
              <w:t>1%</w:t>
            </w:r>
          </w:p>
        </w:tc>
      </w:tr>
      <w:tr w:rsidR="00596A40" w:rsidRPr="00203E93" w14:paraId="3C9FD92B" w14:textId="77777777" w:rsidTr="00CC74A4">
        <w:trPr>
          <w:trHeight w:val="405"/>
        </w:trPr>
        <w:tc>
          <w:tcPr>
            <w:tcW w:w="3016" w:type="dxa"/>
            <w:tcBorders>
              <w:top w:val="nil"/>
              <w:left w:val="nil"/>
              <w:bottom w:val="nil"/>
              <w:right w:val="nil"/>
            </w:tcBorders>
            <w:shd w:val="clear" w:color="auto" w:fill="auto"/>
            <w:noWrap/>
            <w:vAlign w:val="bottom"/>
            <w:hideMark/>
          </w:tcPr>
          <w:p w14:paraId="0FEA5ABB" w14:textId="77777777" w:rsidR="00596A40" w:rsidRPr="00203E93" w:rsidRDefault="00596A40" w:rsidP="00596A40">
            <w:pPr>
              <w:spacing w:line="240" w:lineRule="auto"/>
              <w:rPr>
                <w:rFonts w:cs="Times New Roman"/>
                <w:color w:val="000000"/>
              </w:rPr>
            </w:pPr>
            <w:r w:rsidRPr="00203E93">
              <w:rPr>
                <w:rFonts w:cs="Times New Roman"/>
                <w:color w:val="000000"/>
              </w:rPr>
              <w:t>GCA*Location</w:t>
            </w:r>
          </w:p>
        </w:tc>
        <w:tc>
          <w:tcPr>
            <w:tcW w:w="1000" w:type="dxa"/>
            <w:tcBorders>
              <w:top w:val="nil"/>
              <w:left w:val="nil"/>
              <w:bottom w:val="nil"/>
              <w:right w:val="nil"/>
            </w:tcBorders>
            <w:shd w:val="clear" w:color="auto" w:fill="auto"/>
            <w:vAlign w:val="bottom"/>
            <w:hideMark/>
          </w:tcPr>
          <w:p w14:paraId="2CA7657E" w14:textId="77777777" w:rsidR="00596A40" w:rsidRPr="00203E93" w:rsidRDefault="00596A40" w:rsidP="00596A40">
            <w:pPr>
              <w:spacing w:line="240" w:lineRule="auto"/>
              <w:jc w:val="right"/>
              <w:rPr>
                <w:rFonts w:cs="Times New Roman"/>
                <w:color w:val="000000"/>
              </w:rPr>
            </w:pPr>
            <w:r w:rsidRPr="00203E93">
              <w:rPr>
                <w:rFonts w:cs="Times New Roman"/>
                <w:color w:val="000000"/>
              </w:rPr>
              <w:t>2</w:t>
            </w:r>
          </w:p>
        </w:tc>
        <w:tc>
          <w:tcPr>
            <w:tcW w:w="576" w:type="dxa"/>
            <w:tcBorders>
              <w:top w:val="nil"/>
              <w:left w:val="nil"/>
              <w:bottom w:val="nil"/>
              <w:right w:val="nil"/>
            </w:tcBorders>
            <w:shd w:val="clear" w:color="auto" w:fill="auto"/>
            <w:noWrap/>
            <w:vAlign w:val="bottom"/>
            <w:hideMark/>
          </w:tcPr>
          <w:p w14:paraId="2CED5709"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gridSpan w:val="3"/>
            <w:tcBorders>
              <w:top w:val="nil"/>
              <w:left w:val="nil"/>
              <w:bottom w:val="nil"/>
              <w:right w:val="nil"/>
            </w:tcBorders>
            <w:shd w:val="clear" w:color="auto" w:fill="auto"/>
            <w:vAlign w:val="bottom"/>
            <w:hideMark/>
          </w:tcPr>
          <w:p w14:paraId="2830B9F4" w14:textId="77777777" w:rsidR="00596A40" w:rsidRPr="00203E93" w:rsidRDefault="00596A40" w:rsidP="00596A40">
            <w:pPr>
              <w:spacing w:line="240" w:lineRule="auto"/>
              <w:jc w:val="center"/>
              <w:rPr>
                <w:rFonts w:cs="Times New Roman"/>
                <w:color w:val="000000"/>
              </w:rPr>
            </w:pPr>
            <w:r w:rsidRPr="00203E93">
              <w:rPr>
                <w:rFonts w:cs="Times New Roman"/>
                <w:color w:val="000000"/>
              </w:rPr>
              <w:t>0%</w:t>
            </w:r>
          </w:p>
        </w:tc>
        <w:tc>
          <w:tcPr>
            <w:tcW w:w="916" w:type="dxa"/>
            <w:gridSpan w:val="3"/>
            <w:tcBorders>
              <w:top w:val="nil"/>
              <w:left w:val="nil"/>
              <w:bottom w:val="nil"/>
              <w:right w:val="nil"/>
            </w:tcBorders>
            <w:shd w:val="clear" w:color="auto" w:fill="auto"/>
            <w:vAlign w:val="bottom"/>
            <w:hideMark/>
          </w:tcPr>
          <w:p w14:paraId="705A9CA1" w14:textId="77777777" w:rsidR="00596A40" w:rsidRPr="00203E93" w:rsidRDefault="00596A40" w:rsidP="00596A40">
            <w:pPr>
              <w:spacing w:line="240" w:lineRule="auto"/>
              <w:jc w:val="right"/>
              <w:rPr>
                <w:rFonts w:cs="Times New Roman"/>
                <w:color w:val="000000"/>
              </w:rPr>
            </w:pPr>
            <w:r w:rsidRPr="00203E93">
              <w:rPr>
                <w:rFonts w:cs="Times New Roman"/>
                <w:color w:val="000000"/>
              </w:rPr>
              <w:t>17</w:t>
            </w:r>
          </w:p>
        </w:tc>
        <w:tc>
          <w:tcPr>
            <w:tcW w:w="576" w:type="dxa"/>
            <w:gridSpan w:val="3"/>
            <w:tcBorders>
              <w:top w:val="nil"/>
              <w:left w:val="nil"/>
              <w:bottom w:val="nil"/>
              <w:right w:val="nil"/>
            </w:tcBorders>
            <w:shd w:val="clear" w:color="auto" w:fill="auto"/>
            <w:noWrap/>
            <w:vAlign w:val="bottom"/>
            <w:hideMark/>
          </w:tcPr>
          <w:p w14:paraId="5F37C845"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gridSpan w:val="3"/>
            <w:tcBorders>
              <w:top w:val="nil"/>
              <w:left w:val="nil"/>
              <w:bottom w:val="nil"/>
              <w:right w:val="nil"/>
            </w:tcBorders>
            <w:shd w:val="clear" w:color="auto" w:fill="auto"/>
            <w:vAlign w:val="bottom"/>
            <w:hideMark/>
          </w:tcPr>
          <w:p w14:paraId="7A0ADB9A" w14:textId="77777777" w:rsidR="00596A40" w:rsidRPr="00203E93" w:rsidRDefault="00596A40" w:rsidP="00596A40">
            <w:pPr>
              <w:spacing w:line="240" w:lineRule="auto"/>
              <w:jc w:val="center"/>
              <w:rPr>
                <w:rFonts w:cs="Times New Roman"/>
                <w:color w:val="000000"/>
              </w:rPr>
            </w:pPr>
            <w:r w:rsidRPr="00203E93">
              <w:rPr>
                <w:rFonts w:cs="Times New Roman"/>
                <w:color w:val="000000"/>
              </w:rPr>
              <w:t>0%</w:t>
            </w:r>
          </w:p>
        </w:tc>
        <w:tc>
          <w:tcPr>
            <w:tcW w:w="738" w:type="dxa"/>
            <w:gridSpan w:val="5"/>
            <w:tcBorders>
              <w:top w:val="nil"/>
              <w:left w:val="nil"/>
              <w:bottom w:val="nil"/>
              <w:right w:val="nil"/>
            </w:tcBorders>
            <w:shd w:val="clear" w:color="auto" w:fill="auto"/>
            <w:noWrap/>
            <w:vAlign w:val="bottom"/>
            <w:hideMark/>
          </w:tcPr>
          <w:p w14:paraId="0D97894D" w14:textId="77777777" w:rsidR="00596A40" w:rsidRPr="00203E93" w:rsidRDefault="00596A40" w:rsidP="00596A40">
            <w:pPr>
              <w:spacing w:line="240" w:lineRule="auto"/>
              <w:jc w:val="right"/>
              <w:rPr>
                <w:rFonts w:cs="Times New Roman"/>
                <w:color w:val="000000"/>
              </w:rPr>
            </w:pPr>
            <w:r w:rsidRPr="00203E93">
              <w:rPr>
                <w:rFonts w:cs="Times New Roman"/>
                <w:color w:val="000000"/>
              </w:rPr>
              <w:t>2</w:t>
            </w:r>
          </w:p>
        </w:tc>
        <w:tc>
          <w:tcPr>
            <w:tcW w:w="576" w:type="dxa"/>
            <w:gridSpan w:val="2"/>
            <w:tcBorders>
              <w:top w:val="nil"/>
              <w:left w:val="nil"/>
              <w:bottom w:val="nil"/>
              <w:right w:val="nil"/>
            </w:tcBorders>
            <w:shd w:val="clear" w:color="auto" w:fill="auto"/>
            <w:noWrap/>
            <w:vAlign w:val="bottom"/>
            <w:hideMark/>
          </w:tcPr>
          <w:p w14:paraId="097B073F"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8" w:type="dxa"/>
            <w:tcBorders>
              <w:top w:val="nil"/>
              <w:left w:val="nil"/>
              <w:bottom w:val="nil"/>
              <w:right w:val="nil"/>
            </w:tcBorders>
            <w:shd w:val="clear" w:color="auto" w:fill="auto"/>
            <w:vAlign w:val="bottom"/>
            <w:hideMark/>
          </w:tcPr>
          <w:p w14:paraId="4FD1BF2C" w14:textId="77777777" w:rsidR="00596A40" w:rsidRPr="00203E93" w:rsidRDefault="00596A40" w:rsidP="00596A40">
            <w:pPr>
              <w:spacing w:line="240" w:lineRule="auto"/>
              <w:jc w:val="center"/>
              <w:rPr>
                <w:rFonts w:cs="Times New Roman"/>
                <w:color w:val="000000"/>
              </w:rPr>
            </w:pPr>
            <w:r w:rsidRPr="00203E93">
              <w:rPr>
                <w:rFonts w:cs="Times New Roman"/>
                <w:color w:val="000000"/>
              </w:rPr>
              <w:t>0%</w:t>
            </w:r>
          </w:p>
        </w:tc>
      </w:tr>
      <w:tr w:rsidR="00596A40" w:rsidRPr="00203E93" w14:paraId="34139B46" w14:textId="77777777" w:rsidTr="00CC74A4">
        <w:trPr>
          <w:trHeight w:val="420"/>
        </w:trPr>
        <w:tc>
          <w:tcPr>
            <w:tcW w:w="3016" w:type="dxa"/>
            <w:tcBorders>
              <w:top w:val="nil"/>
              <w:left w:val="nil"/>
              <w:bottom w:val="nil"/>
              <w:right w:val="nil"/>
            </w:tcBorders>
            <w:shd w:val="clear" w:color="auto" w:fill="auto"/>
            <w:noWrap/>
            <w:vAlign w:val="bottom"/>
            <w:hideMark/>
          </w:tcPr>
          <w:p w14:paraId="5B5B2CD2" w14:textId="77777777" w:rsidR="00596A40" w:rsidRPr="00203E93" w:rsidRDefault="00596A40" w:rsidP="00596A40">
            <w:pPr>
              <w:spacing w:line="240" w:lineRule="auto"/>
              <w:rPr>
                <w:rFonts w:cs="Times New Roman"/>
                <w:color w:val="000000"/>
              </w:rPr>
            </w:pPr>
            <w:r w:rsidRPr="00203E93">
              <w:rPr>
                <w:rFonts w:cs="Times New Roman"/>
                <w:color w:val="000000"/>
              </w:rPr>
              <w:t>GCA*Block(Location)</w:t>
            </w:r>
          </w:p>
        </w:tc>
        <w:tc>
          <w:tcPr>
            <w:tcW w:w="1000" w:type="dxa"/>
            <w:tcBorders>
              <w:top w:val="nil"/>
              <w:left w:val="nil"/>
              <w:bottom w:val="nil"/>
              <w:right w:val="nil"/>
            </w:tcBorders>
            <w:shd w:val="clear" w:color="auto" w:fill="auto"/>
            <w:vAlign w:val="bottom"/>
            <w:hideMark/>
          </w:tcPr>
          <w:p w14:paraId="53D36B33" w14:textId="77777777" w:rsidR="00596A40" w:rsidRPr="00203E93" w:rsidRDefault="00596A40" w:rsidP="00596A40">
            <w:pPr>
              <w:spacing w:line="240" w:lineRule="auto"/>
              <w:jc w:val="right"/>
              <w:rPr>
                <w:rFonts w:cs="Times New Roman"/>
                <w:color w:val="000000"/>
              </w:rPr>
            </w:pPr>
            <w:r w:rsidRPr="00203E93">
              <w:rPr>
                <w:rFonts w:cs="Times New Roman"/>
                <w:color w:val="000000"/>
              </w:rPr>
              <w:t>0</w:t>
            </w:r>
          </w:p>
        </w:tc>
        <w:tc>
          <w:tcPr>
            <w:tcW w:w="576" w:type="dxa"/>
            <w:tcBorders>
              <w:top w:val="nil"/>
              <w:left w:val="nil"/>
              <w:bottom w:val="nil"/>
              <w:right w:val="nil"/>
            </w:tcBorders>
            <w:shd w:val="clear" w:color="auto" w:fill="auto"/>
            <w:noWrap/>
            <w:vAlign w:val="bottom"/>
            <w:hideMark/>
          </w:tcPr>
          <w:p w14:paraId="70C4677B"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gridSpan w:val="3"/>
            <w:tcBorders>
              <w:top w:val="nil"/>
              <w:left w:val="nil"/>
              <w:bottom w:val="nil"/>
              <w:right w:val="nil"/>
            </w:tcBorders>
            <w:shd w:val="clear" w:color="auto" w:fill="auto"/>
            <w:vAlign w:val="bottom"/>
            <w:hideMark/>
          </w:tcPr>
          <w:p w14:paraId="39C2BF5D" w14:textId="77777777" w:rsidR="00596A40" w:rsidRPr="00203E93" w:rsidRDefault="00596A40" w:rsidP="00596A40">
            <w:pPr>
              <w:spacing w:line="240" w:lineRule="auto"/>
              <w:jc w:val="center"/>
              <w:rPr>
                <w:rFonts w:cs="Times New Roman"/>
                <w:color w:val="000000"/>
              </w:rPr>
            </w:pPr>
            <w:r w:rsidRPr="00203E93">
              <w:rPr>
                <w:rFonts w:cs="Times New Roman"/>
                <w:color w:val="000000"/>
              </w:rPr>
              <w:t>0%</w:t>
            </w:r>
          </w:p>
        </w:tc>
        <w:tc>
          <w:tcPr>
            <w:tcW w:w="916" w:type="dxa"/>
            <w:gridSpan w:val="3"/>
            <w:tcBorders>
              <w:top w:val="nil"/>
              <w:left w:val="nil"/>
              <w:bottom w:val="nil"/>
              <w:right w:val="nil"/>
            </w:tcBorders>
            <w:shd w:val="clear" w:color="auto" w:fill="auto"/>
            <w:vAlign w:val="bottom"/>
            <w:hideMark/>
          </w:tcPr>
          <w:p w14:paraId="7F3418FD" w14:textId="77777777" w:rsidR="00596A40" w:rsidRPr="00203E93" w:rsidRDefault="00596A40" w:rsidP="00596A40">
            <w:pPr>
              <w:spacing w:line="240" w:lineRule="auto"/>
              <w:jc w:val="right"/>
              <w:rPr>
                <w:rFonts w:cs="Times New Roman"/>
                <w:color w:val="000000"/>
              </w:rPr>
            </w:pPr>
            <w:r w:rsidRPr="00203E93">
              <w:rPr>
                <w:rFonts w:cs="Times New Roman"/>
                <w:color w:val="000000"/>
              </w:rPr>
              <w:t>15</w:t>
            </w:r>
          </w:p>
        </w:tc>
        <w:tc>
          <w:tcPr>
            <w:tcW w:w="576" w:type="dxa"/>
            <w:gridSpan w:val="3"/>
            <w:tcBorders>
              <w:top w:val="nil"/>
              <w:left w:val="nil"/>
              <w:bottom w:val="nil"/>
              <w:right w:val="nil"/>
            </w:tcBorders>
            <w:shd w:val="clear" w:color="auto" w:fill="auto"/>
            <w:noWrap/>
            <w:vAlign w:val="bottom"/>
            <w:hideMark/>
          </w:tcPr>
          <w:p w14:paraId="0CAFA9AF"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gridSpan w:val="3"/>
            <w:tcBorders>
              <w:top w:val="nil"/>
              <w:left w:val="nil"/>
              <w:bottom w:val="nil"/>
              <w:right w:val="nil"/>
            </w:tcBorders>
            <w:shd w:val="clear" w:color="auto" w:fill="auto"/>
            <w:vAlign w:val="bottom"/>
            <w:hideMark/>
          </w:tcPr>
          <w:p w14:paraId="4A0D5725" w14:textId="77777777" w:rsidR="00596A40" w:rsidRPr="00203E93" w:rsidRDefault="00596A40" w:rsidP="00596A40">
            <w:pPr>
              <w:spacing w:line="240" w:lineRule="auto"/>
              <w:jc w:val="center"/>
              <w:rPr>
                <w:rFonts w:cs="Times New Roman"/>
                <w:color w:val="000000"/>
              </w:rPr>
            </w:pPr>
            <w:r w:rsidRPr="00203E93">
              <w:rPr>
                <w:rFonts w:cs="Times New Roman"/>
                <w:color w:val="000000"/>
              </w:rPr>
              <w:t>0%</w:t>
            </w:r>
          </w:p>
        </w:tc>
        <w:tc>
          <w:tcPr>
            <w:tcW w:w="738" w:type="dxa"/>
            <w:gridSpan w:val="5"/>
            <w:tcBorders>
              <w:top w:val="nil"/>
              <w:left w:val="nil"/>
              <w:bottom w:val="nil"/>
              <w:right w:val="nil"/>
            </w:tcBorders>
            <w:shd w:val="clear" w:color="auto" w:fill="auto"/>
            <w:noWrap/>
            <w:vAlign w:val="bottom"/>
            <w:hideMark/>
          </w:tcPr>
          <w:p w14:paraId="7CD50599" w14:textId="77777777" w:rsidR="00596A40" w:rsidRPr="00203E93" w:rsidRDefault="00596A40" w:rsidP="00596A40">
            <w:pPr>
              <w:spacing w:line="240" w:lineRule="auto"/>
              <w:jc w:val="right"/>
              <w:rPr>
                <w:rFonts w:cs="Times New Roman"/>
                <w:color w:val="000000"/>
              </w:rPr>
            </w:pPr>
            <w:r w:rsidRPr="00203E93">
              <w:rPr>
                <w:rFonts w:cs="Times New Roman"/>
                <w:color w:val="000000"/>
              </w:rPr>
              <w:t>5</w:t>
            </w:r>
          </w:p>
        </w:tc>
        <w:tc>
          <w:tcPr>
            <w:tcW w:w="576" w:type="dxa"/>
            <w:gridSpan w:val="2"/>
            <w:tcBorders>
              <w:top w:val="nil"/>
              <w:left w:val="nil"/>
              <w:bottom w:val="nil"/>
              <w:right w:val="nil"/>
            </w:tcBorders>
            <w:shd w:val="clear" w:color="auto" w:fill="auto"/>
            <w:noWrap/>
            <w:vAlign w:val="bottom"/>
            <w:hideMark/>
          </w:tcPr>
          <w:p w14:paraId="1344B2A6"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8" w:type="dxa"/>
            <w:tcBorders>
              <w:top w:val="nil"/>
              <w:left w:val="nil"/>
              <w:bottom w:val="nil"/>
              <w:right w:val="nil"/>
            </w:tcBorders>
            <w:shd w:val="clear" w:color="auto" w:fill="auto"/>
            <w:vAlign w:val="bottom"/>
            <w:hideMark/>
          </w:tcPr>
          <w:p w14:paraId="4D864BB7" w14:textId="77777777" w:rsidR="00596A40" w:rsidRPr="00203E93" w:rsidRDefault="00596A40" w:rsidP="00596A40">
            <w:pPr>
              <w:spacing w:line="240" w:lineRule="auto"/>
              <w:jc w:val="center"/>
              <w:rPr>
                <w:rFonts w:cs="Times New Roman"/>
                <w:color w:val="000000"/>
              </w:rPr>
            </w:pPr>
            <w:r w:rsidRPr="00203E93">
              <w:rPr>
                <w:rFonts w:cs="Times New Roman"/>
                <w:color w:val="000000"/>
              </w:rPr>
              <w:t>0%</w:t>
            </w:r>
          </w:p>
        </w:tc>
      </w:tr>
      <w:tr w:rsidR="00596A40" w:rsidRPr="00203E93" w14:paraId="6541D8C1" w14:textId="77777777" w:rsidTr="00CC74A4">
        <w:trPr>
          <w:trHeight w:val="315"/>
        </w:trPr>
        <w:tc>
          <w:tcPr>
            <w:tcW w:w="3016" w:type="dxa"/>
            <w:tcBorders>
              <w:top w:val="nil"/>
              <w:left w:val="nil"/>
              <w:bottom w:val="nil"/>
              <w:right w:val="nil"/>
            </w:tcBorders>
            <w:shd w:val="clear" w:color="auto" w:fill="auto"/>
            <w:noWrap/>
            <w:vAlign w:val="bottom"/>
            <w:hideMark/>
          </w:tcPr>
          <w:p w14:paraId="6F38A691" w14:textId="77777777" w:rsidR="00596A40" w:rsidRPr="00203E93" w:rsidRDefault="00596A40" w:rsidP="00596A40">
            <w:pPr>
              <w:spacing w:line="240" w:lineRule="auto"/>
              <w:rPr>
                <w:rFonts w:cs="Times New Roman"/>
                <w:color w:val="000000"/>
              </w:rPr>
            </w:pPr>
            <w:r w:rsidRPr="00203E93">
              <w:rPr>
                <w:rFonts w:cs="Times New Roman"/>
                <w:color w:val="000000"/>
              </w:rPr>
              <w:t>GCA*Location*Year</w:t>
            </w:r>
          </w:p>
        </w:tc>
        <w:tc>
          <w:tcPr>
            <w:tcW w:w="1000" w:type="dxa"/>
            <w:tcBorders>
              <w:top w:val="nil"/>
              <w:left w:val="nil"/>
              <w:bottom w:val="nil"/>
              <w:right w:val="nil"/>
            </w:tcBorders>
            <w:shd w:val="clear" w:color="auto" w:fill="auto"/>
            <w:vAlign w:val="bottom"/>
            <w:hideMark/>
          </w:tcPr>
          <w:p w14:paraId="6B5AF638" w14:textId="77777777" w:rsidR="00596A40" w:rsidRPr="00203E93" w:rsidRDefault="00596A40" w:rsidP="00596A40">
            <w:pPr>
              <w:spacing w:line="240" w:lineRule="auto"/>
              <w:jc w:val="right"/>
              <w:rPr>
                <w:rFonts w:cs="Times New Roman"/>
                <w:color w:val="000000"/>
              </w:rPr>
            </w:pPr>
          </w:p>
        </w:tc>
        <w:tc>
          <w:tcPr>
            <w:tcW w:w="576" w:type="dxa"/>
            <w:tcBorders>
              <w:top w:val="nil"/>
              <w:left w:val="nil"/>
              <w:bottom w:val="nil"/>
              <w:right w:val="nil"/>
            </w:tcBorders>
            <w:shd w:val="clear" w:color="auto" w:fill="auto"/>
            <w:noWrap/>
            <w:vAlign w:val="bottom"/>
            <w:hideMark/>
          </w:tcPr>
          <w:p w14:paraId="1BA4B1C4" w14:textId="77777777" w:rsidR="00596A40" w:rsidRPr="00203E93" w:rsidRDefault="00596A40" w:rsidP="00596A40">
            <w:pPr>
              <w:spacing w:line="240" w:lineRule="auto"/>
              <w:rPr>
                <w:rFonts w:cs="Times New Roman"/>
                <w:color w:val="000000"/>
              </w:rPr>
            </w:pPr>
          </w:p>
        </w:tc>
        <w:tc>
          <w:tcPr>
            <w:tcW w:w="656" w:type="dxa"/>
            <w:gridSpan w:val="3"/>
            <w:tcBorders>
              <w:top w:val="nil"/>
              <w:left w:val="nil"/>
              <w:bottom w:val="nil"/>
              <w:right w:val="nil"/>
            </w:tcBorders>
            <w:shd w:val="clear" w:color="auto" w:fill="auto"/>
            <w:vAlign w:val="bottom"/>
            <w:hideMark/>
          </w:tcPr>
          <w:p w14:paraId="18446394" w14:textId="77777777" w:rsidR="00596A40" w:rsidRPr="00203E93" w:rsidRDefault="00596A40" w:rsidP="00596A40">
            <w:pPr>
              <w:spacing w:line="240" w:lineRule="auto"/>
              <w:jc w:val="center"/>
              <w:rPr>
                <w:rFonts w:cs="Times New Roman"/>
                <w:color w:val="000000"/>
              </w:rPr>
            </w:pPr>
          </w:p>
        </w:tc>
        <w:tc>
          <w:tcPr>
            <w:tcW w:w="916" w:type="dxa"/>
            <w:gridSpan w:val="3"/>
            <w:tcBorders>
              <w:top w:val="nil"/>
              <w:left w:val="nil"/>
              <w:bottom w:val="nil"/>
              <w:right w:val="nil"/>
            </w:tcBorders>
            <w:shd w:val="clear" w:color="auto" w:fill="auto"/>
            <w:vAlign w:val="bottom"/>
            <w:hideMark/>
          </w:tcPr>
          <w:p w14:paraId="12ACE129" w14:textId="77777777" w:rsidR="00596A40" w:rsidRPr="00203E93" w:rsidRDefault="00596A40" w:rsidP="00596A40">
            <w:pPr>
              <w:spacing w:line="240" w:lineRule="auto"/>
              <w:jc w:val="right"/>
              <w:rPr>
                <w:rFonts w:cs="Times New Roman"/>
                <w:color w:val="000000"/>
              </w:rPr>
            </w:pPr>
          </w:p>
        </w:tc>
        <w:tc>
          <w:tcPr>
            <w:tcW w:w="576" w:type="dxa"/>
            <w:gridSpan w:val="3"/>
            <w:tcBorders>
              <w:top w:val="nil"/>
              <w:left w:val="nil"/>
              <w:bottom w:val="nil"/>
              <w:right w:val="nil"/>
            </w:tcBorders>
            <w:shd w:val="clear" w:color="auto" w:fill="auto"/>
            <w:noWrap/>
            <w:vAlign w:val="bottom"/>
            <w:hideMark/>
          </w:tcPr>
          <w:p w14:paraId="0D46A4CF" w14:textId="77777777" w:rsidR="00596A40" w:rsidRPr="00203E93" w:rsidRDefault="00596A40" w:rsidP="00596A40">
            <w:pPr>
              <w:spacing w:line="240" w:lineRule="auto"/>
              <w:rPr>
                <w:rFonts w:cs="Times New Roman"/>
                <w:color w:val="000000"/>
              </w:rPr>
            </w:pPr>
          </w:p>
        </w:tc>
        <w:tc>
          <w:tcPr>
            <w:tcW w:w="656" w:type="dxa"/>
            <w:gridSpan w:val="3"/>
            <w:tcBorders>
              <w:top w:val="nil"/>
              <w:left w:val="nil"/>
              <w:bottom w:val="nil"/>
              <w:right w:val="nil"/>
            </w:tcBorders>
            <w:shd w:val="clear" w:color="auto" w:fill="auto"/>
            <w:vAlign w:val="bottom"/>
            <w:hideMark/>
          </w:tcPr>
          <w:p w14:paraId="6A2D548A" w14:textId="77777777" w:rsidR="00596A40" w:rsidRPr="00203E93" w:rsidRDefault="00596A40" w:rsidP="00596A40">
            <w:pPr>
              <w:spacing w:line="240" w:lineRule="auto"/>
              <w:jc w:val="center"/>
              <w:rPr>
                <w:rFonts w:cs="Times New Roman"/>
                <w:color w:val="000000"/>
              </w:rPr>
            </w:pPr>
          </w:p>
        </w:tc>
        <w:tc>
          <w:tcPr>
            <w:tcW w:w="738" w:type="dxa"/>
            <w:gridSpan w:val="5"/>
            <w:tcBorders>
              <w:top w:val="nil"/>
              <w:left w:val="nil"/>
              <w:bottom w:val="nil"/>
              <w:right w:val="nil"/>
            </w:tcBorders>
            <w:shd w:val="clear" w:color="auto" w:fill="auto"/>
            <w:noWrap/>
            <w:vAlign w:val="bottom"/>
            <w:hideMark/>
          </w:tcPr>
          <w:p w14:paraId="68112CF0" w14:textId="77777777" w:rsidR="00596A40" w:rsidRPr="00203E93" w:rsidRDefault="00596A40" w:rsidP="00596A40">
            <w:pPr>
              <w:spacing w:line="240" w:lineRule="auto"/>
              <w:jc w:val="right"/>
              <w:rPr>
                <w:rFonts w:cs="Times New Roman"/>
                <w:color w:val="000000"/>
              </w:rPr>
            </w:pPr>
            <w:r w:rsidRPr="00203E93">
              <w:rPr>
                <w:rFonts w:cs="Times New Roman"/>
                <w:color w:val="000000"/>
              </w:rPr>
              <w:t>2</w:t>
            </w:r>
          </w:p>
        </w:tc>
        <w:tc>
          <w:tcPr>
            <w:tcW w:w="576" w:type="dxa"/>
            <w:gridSpan w:val="2"/>
            <w:tcBorders>
              <w:top w:val="nil"/>
              <w:left w:val="nil"/>
              <w:bottom w:val="nil"/>
              <w:right w:val="nil"/>
            </w:tcBorders>
            <w:shd w:val="clear" w:color="auto" w:fill="auto"/>
            <w:noWrap/>
            <w:vAlign w:val="bottom"/>
            <w:hideMark/>
          </w:tcPr>
          <w:p w14:paraId="75F5E839"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8" w:type="dxa"/>
            <w:tcBorders>
              <w:top w:val="nil"/>
              <w:left w:val="nil"/>
              <w:bottom w:val="nil"/>
              <w:right w:val="nil"/>
            </w:tcBorders>
            <w:shd w:val="clear" w:color="auto" w:fill="auto"/>
            <w:vAlign w:val="bottom"/>
            <w:hideMark/>
          </w:tcPr>
          <w:p w14:paraId="75DAC844" w14:textId="77777777" w:rsidR="00596A40" w:rsidRPr="00203E93" w:rsidRDefault="00596A40" w:rsidP="00596A40">
            <w:pPr>
              <w:spacing w:line="240" w:lineRule="auto"/>
              <w:jc w:val="center"/>
              <w:rPr>
                <w:rFonts w:cs="Times New Roman"/>
                <w:color w:val="000000"/>
              </w:rPr>
            </w:pPr>
            <w:r w:rsidRPr="00203E93">
              <w:rPr>
                <w:rFonts w:cs="Times New Roman"/>
                <w:color w:val="000000"/>
              </w:rPr>
              <w:t>0%</w:t>
            </w:r>
          </w:p>
        </w:tc>
      </w:tr>
      <w:tr w:rsidR="00596A40" w:rsidRPr="00203E93" w14:paraId="4FA83237" w14:textId="77777777" w:rsidTr="00CC74A4">
        <w:trPr>
          <w:trHeight w:val="315"/>
        </w:trPr>
        <w:tc>
          <w:tcPr>
            <w:tcW w:w="3016" w:type="dxa"/>
            <w:tcBorders>
              <w:top w:val="nil"/>
              <w:left w:val="nil"/>
              <w:bottom w:val="nil"/>
              <w:right w:val="nil"/>
            </w:tcBorders>
            <w:shd w:val="clear" w:color="auto" w:fill="auto"/>
            <w:noWrap/>
            <w:vAlign w:val="bottom"/>
            <w:hideMark/>
          </w:tcPr>
          <w:p w14:paraId="2A254E4A" w14:textId="77777777" w:rsidR="00596A40" w:rsidRPr="00203E93" w:rsidRDefault="00596A40" w:rsidP="00596A40">
            <w:pPr>
              <w:spacing w:line="240" w:lineRule="auto"/>
              <w:rPr>
                <w:rFonts w:cs="Times New Roman"/>
                <w:color w:val="000000"/>
              </w:rPr>
            </w:pPr>
            <w:r w:rsidRPr="00203E93">
              <w:rPr>
                <w:rFonts w:cs="Times New Roman"/>
                <w:color w:val="000000"/>
              </w:rPr>
              <w:t>SCA*Block(Location)</w:t>
            </w:r>
          </w:p>
        </w:tc>
        <w:tc>
          <w:tcPr>
            <w:tcW w:w="1000" w:type="dxa"/>
            <w:tcBorders>
              <w:top w:val="nil"/>
              <w:left w:val="nil"/>
              <w:bottom w:val="nil"/>
              <w:right w:val="nil"/>
            </w:tcBorders>
            <w:shd w:val="clear" w:color="auto" w:fill="auto"/>
            <w:vAlign w:val="bottom"/>
            <w:hideMark/>
          </w:tcPr>
          <w:p w14:paraId="74392F1E" w14:textId="77777777" w:rsidR="00596A40" w:rsidRPr="00203E93" w:rsidRDefault="00596A40" w:rsidP="00596A40">
            <w:pPr>
              <w:spacing w:line="240" w:lineRule="auto"/>
              <w:jc w:val="right"/>
              <w:rPr>
                <w:rFonts w:cs="Times New Roman"/>
                <w:color w:val="000000"/>
              </w:rPr>
            </w:pPr>
            <w:r w:rsidRPr="00203E93">
              <w:rPr>
                <w:rFonts w:cs="Times New Roman"/>
                <w:color w:val="000000"/>
              </w:rPr>
              <w:t>20</w:t>
            </w:r>
          </w:p>
        </w:tc>
        <w:tc>
          <w:tcPr>
            <w:tcW w:w="576" w:type="dxa"/>
            <w:tcBorders>
              <w:top w:val="nil"/>
              <w:left w:val="nil"/>
              <w:bottom w:val="nil"/>
              <w:right w:val="nil"/>
            </w:tcBorders>
            <w:shd w:val="clear" w:color="auto" w:fill="auto"/>
            <w:noWrap/>
            <w:vAlign w:val="bottom"/>
            <w:hideMark/>
          </w:tcPr>
          <w:p w14:paraId="50D1819E"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gridSpan w:val="3"/>
            <w:tcBorders>
              <w:top w:val="nil"/>
              <w:left w:val="nil"/>
              <w:bottom w:val="nil"/>
              <w:right w:val="nil"/>
            </w:tcBorders>
            <w:shd w:val="clear" w:color="auto" w:fill="auto"/>
            <w:vAlign w:val="bottom"/>
            <w:hideMark/>
          </w:tcPr>
          <w:p w14:paraId="10665DA6" w14:textId="77777777" w:rsidR="00596A40" w:rsidRPr="00203E93" w:rsidRDefault="00596A40" w:rsidP="00596A40">
            <w:pPr>
              <w:spacing w:line="240" w:lineRule="auto"/>
              <w:jc w:val="center"/>
              <w:rPr>
                <w:rFonts w:cs="Times New Roman"/>
                <w:color w:val="000000"/>
              </w:rPr>
            </w:pPr>
            <w:r w:rsidRPr="00203E93">
              <w:rPr>
                <w:rFonts w:cs="Times New Roman"/>
                <w:color w:val="000000"/>
              </w:rPr>
              <w:t>1%</w:t>
            </w:r>
          </w:p>
        </w:tc>
        <w:tc>
          <w:tcPr>
            <w:tcW w:w="916" w:type="dxa"/>
            <w:gridSpan w:val="3"/>
            <w:tcBorders>
              <w:top w:val="nil"/>
              <w:left w:val="nil"/>
              <w:bottom w:val="nil"/>
              <w:right w:val="nil"/>
            </w:tcBorders>
            <w:shd w:val="clear" w:color="auto" w:fill="auto"/>
            <w:vAlign w:val="bottom"/>
            <w:hideMark/>
          </w:tcPr>
          <w:p w14:paraId="42235536" w14:textId="77777777" w:rsidR="00596A40" w:rsidRPr="00203E93" w:rsidRDefault="00596A40" w:rsidP="00596A40">
            <w:pPr>
              <w:spacing w:line="240" w:lineRule="auto"/>
              <w:jc w:val="right"/>
              <w:rPr>
                <w:rFonts w:cs="Times New Roman"/>
                <w:color w:val="000000"/>
              </w:rPr>
            </w:pPr>
            <w:r w:rsidRPr="00203E93">
              <w:rPr>
                <w:rFonts w:cs="Times New Roman"/>
                <w:color w:val="000000"/>
              </w:rPr>
              <w:t>0</w:t>
            </w:r>
          </w:p>
        </w:tc>
        <w:tc>
          <w:tcPr>
            <w:tcW w:w="576" w:type="dxa"/>
            <w:gridSpan w:val="3"/>
            <w:tcBorders>
              <w:top w:val="nil"/>
              <w:left w:val="nil"/>
              <w:bottom w:val="nil"/>
              <w:right w:val="nil"/>
            </w:tcBorders>
            <w:shd w:val="clear" w:color="auto" w:fill="auto"/>
            <w:noWrap/>
            <w:vAlign w:val="bottom"/>
            <w:hideMark/>
          </w:tcPr>
          <w:p w14:paraId="6088E363"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gridSpan w:val="3"/>
            <w:tcBorders>
              <w:top w:val="nil"/>
              <w:left w:val="nil"/>
              <w:bottom w:val="nil"/>
              <w:right w:val="nil"/>
            </w:tcBorders>
            <w:shd w:val="clear" w:color="auto" w:fill="auto"/>
            <w:vAlign w:val="bottom"/>
            <w:hideMark/>
          </w:tcPr>
          <w:p w14:paraId="7E8846F2" w14:textId="77777777" w:rsidR="00596A40" w:rsidRPr="00203E93" w:rsidRDefault="00596A40" w:rsidP="00596A40">
            <w:pPr>
              <w:spacing w:line="240" w:lineRule="auto"/>
              <w:jc w:val="center"/>
              <w:rPr>
                <w:rFonts w:cs="Times New Roman"/>
                <w:color w:val="000000"/>
              </w:rPr>
            </w:pPr>
            <w:r w:rsidRPr="00203E93">
              <w:rPr>
                <w:rFonts w:cs="Times New Roman"/>
                <w:color w:val="000000"/>
              </w:rPr>
              <w:t>0%</w:t>
            </w:r>
          </w:p>
        </w:tc>
        <w:tc>
          <w:tcPr>
            <w:tcW w:w="738" w:type="dxa"/>
            <w:gridSpan w:val="5"/>
            <w:tcBorders>
              <w:top w:val="nil"/>
              <w:left w:val="nil"/>
              <w:bottom w:val="nil"/>
              <w:right w:val="nil"/>
            </w:tcBorders>
            <w:shd w:val="clear" w:color="auto" w:fill="auto"/>
            <w:noWrap/>
            <w:vAlign w:val="bottom"/>
            <w:hideMark/>
          </w:tcPr>
          <w:p w14:paraId="4D16A707" w14:textId="77777777" w:rsidR="00596A40" w:rsidRPr="00203E93" w:rsidRDefault="00596A40" w:rsidP="00596A40">
            <w:pPr>
              <w:spacing w:line="240" w:lineRule="auto"/>
              <w:jc w:val="right"/>
              <w:rPr>
                <w:rFonts w:cs="Times New Roman"/>
                <w:color w:val="000000"/>
              </w:rPr>
            </w:pPr>
            <w:r w:rsidRPr="00203E93">
              <w:rPr>
                <w:rFonts w:cs="Times New Roman"/>
                <w:color w:val="000000"/>
              </w:rPr>
              <w:t>253</w:t>
            </w:r>
          </w:p>
        </w:tc>
        <w:tc>
          <w:tcPr>
            <w:tcW w:w="576" w:type="dxa"/>
            <w:gridSpan w:val="2"/>
            <w:tcBorders>
              <w:top w:val="nil"/>
              <w:left w:val="nil"/>
              <w:bottom w:val="nil"/>
              <w:right w:val="nil"/>
            </w:tcBorders>
            <w:shd w:val="clear" w:color="auto" w:fill="auto"/>
            <w:noWrap/>
            <w:vAlign w:val="bottom"/>
            <w:hideMark/>
          </w:tcPr>
          <w:p w14:paraId="79128DC8"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8" w:type="dxa"/>
            <w:tcBorders>
              <w:top w:val="nil"/>
              <w:left w:val="nil"/>
              <w:bottom w:val="nil"/>
              <w:right w:val="nil"/>
            </w:tcBorders>
            <w:shd w:val="clear" w:color="auto" w:fill="auto"/>
            <w:vAlign w:val="bottom"/>
            <w:hideMark/>
          </w:tcPr>
          <w:p w14:paraId="57D6347B" w14:textId="77777777" w:rsidR="00596A40" w:rsidRPr="00203E93" w:rsidRDefault="00596A40" w:rsidP="00596A40">
            <w:pPr>
              <w:spacing w:line="240" w:lineRule="auto"/>
              <w:jc w:val="center"/>
              <w:rPr>
                <w:rFonts w:cs="Times New Roman"/>
                <w:color w:val="000000"/>
              </w:rPr>
            </w:pPr>
            <w:r w:rsidRPr="00203E93">
              <w:rPr>
                <w:rFonts w:cs="Times New Roman"/>
                <w:color w:val="000000"/>
              </w:rPr>
              <w:t>8%</w:t>
            </w:r>
          </w:p>
        </w:tc>
      </w:tr>
      <w:tr w:rsidR="00596A40" w:rsidRPr="00203E93" w14:paraId="6A0E5839" w14:textId="77777777" w:rsidTr="00AB1E56">
        <w:trPr>
          <w:trHeight w:val="330"/>
        </w:trPr>
        <w:tc>
          <w:tcPr>
            <w:tcW w:w="3016" w:type="dxa"/>
            <w:tcBorders>
              <w:top w:val="nil"/>
              <w:left w:val="nil"/>
              <w:bottom w:val="nil"/>
              <w:right w:val="nil"/>
            </w:tcBorders>
            <w:shd w:val="clear" w:color="auto" w:fill="auto"/>
            <w:noWrap/>
            <w:vAlign w:val="bottom"/>
            <w:hideMark/>
          </w:tcPr>
          <w:p w14:paraId="029B5887" w14:textId="77777777" w:rsidR="00596A40" w:rsidRPr="00203E93" w:rsidRDefault="00596A40" w:rsidP="00596A40">
            <w:pPr>
              <w:spacing w:line="240" w:lineRule="auto"/>
              <w:rPr>
                <w:rFonts w:cs="Times New Roman"/>
                <w:color w:val="000000"/>
              </w:rPr>
            </w:pPr>
            <w:r w:rsidRPr="00203E93">
              <w:rPr>
                <w:rFonts w:cs="Times New Roman"/>
                <w:color w:val="000000"/>
              </w:rPr>
              <w:t>Residual</w:t>
            </w:r>
          </w:p>
        </w:tc>
        <w:tc>
          <w:tcPr>
            <w:tcW w:w="1000" w:type="dxa"/>
            <w:tcBorders>
              <w:top w:val="nil"/>
              <w:left w:val="nil"/>
              <w:bottom w:val="nil"/>
              <w:right w:val="nil"/>
            </w:tcBorders>
            <w:shd w:val="clear" w:color="auto" w:fill="auto"/>
            <w:vAlign w:val="bottom"/>
            <w:hideMark/>
          </w:tcPr>
          <w:p w14:paraId="1C9FDFC7" w14:textId="77777777" w:rsidR="00596A40" w:rsidRPr="00203E93" w:rsidRDefault="00596A40" w:rsidP="00596A40">
            <w:pPr>
              <w:spacing w:line="240" w:lineRule="auto"/>
              <w:jc w:val="right"/>
              <w:rPr>
                <w:rFonts w:cs="Times New Roman"/>
                <w:color w:val="000000"/>
              </w:rPr>
            </w:pPr>
            <w:r w:rsidRPr="00203E93">
              <w:rPr>
                <w:rFonts w:cs="Times New Roman"/>
                <w:color w:val="000000"/>
              </w:rPr>
              <w:t>1704</w:t>
            </w:r>
          </w:p>
        </w:tc>
        <w:tc>
          <w:tcPr>
            <w:tcW w:w="576" w:type="dxa"/>
            <w:tcBorders>
              <w:top w:val="nil"/>
              <w:left w:val="nil"/>
              <w:bottom w:val="nil"/>
              <w:right w:val="nil"/>
            </w:tcBorders>
            <w:shd w:val="clear" w:color="auto" w:fill="auto"/>
            <w:noWrap/>
            <w:vAlign w:val="bottom"/>
            <w:hideMark/>
          </w:tcPr>
          <w:p w14:paraId="3C5899A1"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gridSpan w:val="3"/>
            <w:tcBorders>
              <w:top w:val="nil"/>
              <w:left w:val="nil"/>
              <w:bottom w:val="nil"/>
              <w:right w:val="nil"/>
            </w:tcBorders>
            <w:shd w:val="clear" w:color="auto" w:fill="auto"/>
            <w:vAlign w:val="bottom"/>
            <w:hideMark/>
          </w:tcPr>
          <w:p w14:paraId="2E0A9925" w14:textId="77777777" w:rsidR="00596A40" w:rsidRPr="00203E93" w:rsidRDefault="00596A40" w:rsidP="00596A40">
            <w:pPr>
              <w:spacing w:line="240" w:lineRule="auto"/>
              <w:jc w:val="center"/>
              <w:rPr>
                <w:rFonts w:cs="Times New Roman"/>
                <w:color w:val="000000"/>
              </w:rPr>
            </w:pPr>
            <w:r w:rsidRPr="00203E93">
              <w:rPr>
                <w:rFonts w:cs="Times New Roman"/>
                <w:color w:val="000000"/>
              </w:rPr>
              <w:t>88%</w:t>
            </w:r>
          </w:p>
        </w:tc>
        <w:tc>
          <w:tcPr>
            <w:tcW w:w="916" w:type="dxa"/>
            <w:gridSpan w:val="3"/>
            <w:tcBorders>
              <w:top w:val="nil"/>
              <w:left w:val="nil"/>
              <w:bottom w:val="nil"/>
              <w:right w:val="nil"/>
            </w:tcBorders>
            <w:shd w:val="clear" w:color="auto" w:fill="auto"/>
            <w:vAlign w:val="bottom"/>
            <w:hideMark/>
          </w:tcPr>
          <w:p w14:paraId="67A1EA3E" w14:textId="77777777" w:rsidR="00596A40" w:rsidRPr="00203E93" w:rsidRDefault="00596A40" w:rsidP="00596A40">
            <w:pPr>
              <w:spacing w:line="240" w:lineRule="auto"/>
              <w:jc w:val="right"/>
              <w:rPr>
                <w:rFonts w:cs="Times New Roman"/>
                <w:color w:val="000000"/>
              </w:rPr>
            </w:pPr>
            <w:r w:rsidRPr="00203E93">
              <w:rPr>
                <w:rFonts w:cs="Times New Roman"/>
                <w:color w:val="000000"/>
              </w:rPr>
              <w:t>3843</w:t>
            </w:r>
          </w:p>
        </w:tc>
        <w:tc>
          <w:tcPr>
            <w:tcW w:w="576" w:type="dxa"/>
            <w:gridSpan w:val="3"/>
            <w:tcBorders>
              <w:top w:val="nil"/>
              <w:left w:val="nil"/>
              <w:bottom w:val="nil"/>
              <w:right w:val="nil"/>
            </w:tcBorders>
            <w:shd w:val="clear" w:color="auto" w:fill="auto"/>
            <w:noWrap/>
            <w:vAlign w:val="bottom"/>
            <w:hideMark/>
          </w:tcPr>
          <w:p w14:paraId="49A44981"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gridSpan w:val="3"/>
            <w:tcBorders>
              <w:top w:val="nil"/>
              <w:left w:val="nil"/>
              <w:bottom w:val="nil"/>
              <w:right w:val="nil"/>
            </w:tcBorders>
            <w:shd w:val="clear" w:color="auto" w:fill="auto"/>
            <w:vAlign w:val="bottom"/>
            <w:hideMark/>
          </w:tcPr>
          <w:p w14:paraId="3EA4B2CE" w14:textId="77777777" w:rsidR="00596A40" w:rsidRPr="00203E93" w:rsidRDefault="00596A40" w:rsidP="00596A40">
            <w:pPr>
              <w:spacing w:line="240" w:lineRule="auto"/>
              <w:jc w:val="center"/>
              <w:rPr>
                <w:rFonts w:cs="Times New Roman"/>
                <w:color w:val="000000"/>
              </w:rPr>
            </w:pPr>
            <w:r w:rsidRPr="00203E93">
              <w:rPr>
                <w:rFonts w:cs="Times New Roman"/>
                <w:color w:val="000000"/>
              </w:rPr>
              <w:t>85%</w:t>
            </w:r>
          </w:p>
        </w:tc>
        <w:tc>
          <w:tcPr>
            <w:tcW w:w="738" w:type="dxa"/>
            <w:gridSpan w:val="5"/>
            <w:tcBorders>
              <w:top w:val="nil"/>
              <w:left w:val="nil"/>
              <w:bottom w:val="nil"/>
              <w:right w:val="nil"/>
            </w:tcBorders>
            <w:shd w:val="clear" w:color="auto" w:fill="auto"/>
            <w:noWrap/>
            <w:vAlign w:val="bottom"/>
            <w:hideMark/>
          </w:tcPr>
          <w:p w14:paraId="4F6C539D" w14:textId="77777777" w:rsidR="00596A40" w:rsidRPr="00203E93" w:rsidRDefault="00596A40" w:rsidP="00596A40">
            <w:pPr>
              <w:spacing w:line="240" w:lineRule="auto"/>
              <w:jc w:val="right"/>
              <w:rPr>
                <w:rFonts w:cs="Times New Roman"/>
                <w:color w:val="000000"/>
              </w:rPr>
            </w:pPr>
            <w:r w:rsidRPr="00203E93">
              <w:rPr>
                <w:rFonts w:cs="Times New Roman"/>
                <w:color w:val="000000"/>
              </w:rPr>
              <w:t>2564</w:t>
            </w:r>
          </w:p>
        </w:tc>
        <w:tc>
          <w:tcPr>
            <w:tcW w:w="576" w:type="dxa"/>
            <w:gridSpan w:val="2"/>
            <w:tcBorders>
              <w:top w:val="nil"/>
              <w:left w:val="nil"/>
              <w:bottom w:val="nil"/>
              <w:right w:val="nil"/>
            </w:tcBorders>
            <w:shd w:val="clear" w:color="auto" w:fill="auto"/>
            <w:noWrap/>
            <w:vAlign w:val="bottom"/>
            <w:hideMark/>
          </w:tcPr>
          <w:p w14:paraId="09D09285"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8" w:type="dxa"/>
            <w:tcBorders>
              <w:top w:val="nil"/>
              <w:left w:val="nil"/>
              <w:bottom w:val="nil"/>
              <w:right w:val="nil"/>
            </w:tcBorders>
            <w:shd w:val="clear" w:color="auto" w:fill="auto"/>
            <w:vAlign w:val="bottom"/>
            <w:hideMark/>
          </w:tcPr>
          <w:p w14:paraId="21919BAF" w14:textId="77777777" w:rsidR="00596A40" w:rsidRPr="00203E93" w:rsidRDefault="00596A40" w:rsidP="00596A40">
            <w:pPr>
              <w:spacing w:line="240" w:lineRule="auto"/>
              <w:jc w:val="center"/>
              <w:rPr>
                <w:rFonts w:cs="Times New Roman"/>
                <w:color w:val="000000"/>
              </w:rPr>
            </w:pPr>
            <w:r w:rsidRPr="00203E93">
              <w:rPr>
                <w:rFonts w:cs="Times New Roman"/>
                <w:color w:val="000000"/>
              </w:rPr>
              <w:t>79%</w:t>
            </w:r>
          </w:p>
        </w:tc>
      </w:tr>
      <w:tr w:rsidR="00AB1E56" w:rsidRPr="00203E93" w14:paraId="201D4228" w14:textId="77777777" w:rsidTr="00AB1E56">
        <w:trPr>
          <w:trHeight w:val="315"/>
        </w:trPr>
        <w:tc>
          <w:tcPr>
            <w:tcW w:w="4016" w:type="dxa"/>
            <w:gridSpan w:val="2"/>
            <w:tcBorders>
              <w:top w:val="nil"/>
              <w:left w:val="nil"/>
              <w:bottom w:val="nil"/>
              <w:right w:val="nil"/>
            </w:tcBorders>
            <w:shd w:val="clear" w:color="auto" w:fill="auto"/>
            <w:noWrap/>
            <w:vAlign w:val="bottom"/>
          </w:tcPr>
          <w:p w14:paraId="435B5FC5" w14:textId="115AFA38" w:rsidR="00AB1E56" w:rsidRDefault="00AB1E56" w:rsidP="00AB1E56">
            <w:pPr>
              <w:spacing w:line="240" w:lineRule="auto"/>
              <w:rPr>
                <w:rFonts w:cs="Times New Roman"/>
                <w:color w:val="000000"/>
                <w:vertAlign w:val="subscript"/>
              </w:rPr>
            </w:pPr>
            <w:r w:rsidRPr="000F73C0">
              <w:rPr>
                <w:rFonts w:cs="Times New Roman"/>
                <w:color w:val="000000"/>
                <w:vertAlign w:val="subscript"/>
              </w:rPr>
              <w:t xml:space="preserve">* </w:t>
            </w:r>
            <w:r w:rsidR="00B7572A">
              <w:rPr>
                <w:rFonts w:cs="Times New Roman"/>
                <w:color w:val="000000"/>
                <w:vertAlign w:val="subscript"/>
              </w:rPr>
              <w:t xml:space="preserve">P </w:t>
            </w:r>
            <w:r w:rsidR="009021A8">
              <w:rPr>
                <w:rFonts w:cs="Times New Roman"/>
                <w:color w:val="000000"/>
                <w:vertAlign w:val="subscript"/>
              </w:rPr>
              <w:t xml:space="preserve">&lt; </w:t>
            </w:r>
            <w:r w:rsidRPr="000F73C0">
              <w:rPr>
                <w:rFonts w:cs="Times New Roman"/>
                <w:color w:val="000000"/>
                <w:vertAlign w:val="subscript"/>
              </w:rPr>
              <w:t>0.05, **</w:t>
            </w:r>
            <w:r w:rsidR="00B7572A">
              <w:rPr>
                <w:rFonts w:cs="Times New Roman"/>
                <w:color w:val="000000"/>
                <w:vertAlign w:val="subscript"/>
              </w:rPr>
              <w:t xml:space="preserve">P </w:t>
            </w:r>
            <w:r w:rsidR="009021A8">
              <w:rPr>
                <w:rFonts w:cs="Times New Roman"/>
                <w:color w:val="000000"/>
                <w:vertAlign w:val="subscript"/>
              </w:rPr>
              <w:t xml:space="preserve">&lt; </w:t>
            </w:r>
            <w:r w:rsidRPr="000F73C0">
              <w:rPr>
                <w:rFonts w:cs="Times New Roman"/>
                <w:color w:val="000000"/>
                <w:vertAlign w:val="subscript"/>
              </w:rPr>
              <w:t>0.01, ***</w:t>
            </w:r>
            <w:r w:rsidR="00B7572A">
              <w:rPr>
                <w:rFonts w:cs="Times New Roman"/>
                <w:color w:val="000000"/>
                <w:vertAlign w:val="subscript"/>
              </w:rPr>
              <w:t xml:space="preserve">P </w:t>
            </w:r>
            <w:r w:rsidR="009021A8">
              <w:rPr>
                <w:rFonts w:cs="Times New Roman"/>
                <w:color w:val="000000"/>
                <w:vertAlign w:val="subscript"/>
              </w:rPr>
              <w:t xml:space="preserve">&lt; </w:t>
            </w:r>
            <w:r w:rsidRPr="000F73C0">
              <w:rPr>
                <w:rFonts w:cs="Times New Roman"/>
                <w:color w:val="000000"/>
                <w:vertAlign w:val="subscript"/>
              </w:rPr>
              <w:t>0.001 respectively</w:t>
            </w:r>
          </w:p>
          <w:p w14:paraId="2375D2F9" w14:textId="77777777" w:rsidR="00AB1E56" w:rsidRPr="00203E93" w:rsidRDefault="00AB1E56" w:rsidP="00596A40">
            <w:pPr>
              <w:spacing w:line="240" w:lineRule="auto"/>
              <w:jc w:val="right"/>
              <w:rPr>
                <w:rFonts w:cs="Times New Roman"/>
                <w:color w:val="000000"/>
              </w:rPr>
            </w:pPr>
          </w:p>
        </w:tc>
        <w:tc>
          <w:tcPr>
            <w:tcW w:w="576" w:type="dxa"/>
            <w:tcBorders>
              <w:top w:val="nil"/>
              <w:left w:val="nil"/>
              <w:bottom w:val="nil"/>
              <w:right w:val="nil"/>
            </w:tcBorders>
            <w:shd w:val="clear" w:color="auto" w:fill="auto"/>
            <w:noWrap/>
            <w:vAlign w:val="bottom"/>
          </w:tcPr>
          <w:p w14:paraId="7A2B5C17" w14:textId="77777777" w:rsidR="00AB1E56" w:rsidRPr="00203E93" w:rsidRDefault="00AB1E56" w:rsidP="00596A40">
            <w:pPr>
              <w:spacing w:line="240" w:lineRule="auto"/>
              <w:rPr>
                <w:rFonts w:cs="Times New Roman"/>
                <w:color w:val="000000"/>
              </w:rPr>
            </w:pPr>
          </w:p>
        </w:tc>
        <w:tc>
          <w:tcPr>
            <w:tcW w:w="656" w:type="dxa"/>
            <w:gridSpan w:val="3"/>
            <w:tcBorders>
              <w:top w:val="nil"/>
              <w:left w:val="nil"/>
              <w:bottom w:val="nil"/>
              <w:right w:val="nil"/>
            </w:tcBorders>
            <w:shd w:val="clear" w:color="auto" w:fill="auto"/>
            <w:vAlign w:val="bottom"/>
          </w:tcPr>
          <w:p w14:paraId="6C78E30D" w14:textId="77777777" w:rsidR="00AB1E56" w:rsidRPr="00203E93" w:rsidRDefault="00AB1E56" w:rsidP="00596A40">
            <w:pPr>
              <w:spacing w:line="240" w:lineRule="auto"/>
              <w:jc w:val="center"/>
              <w:rPr>
                <w:rFonts w:cs="Times New Roman"/>
                <w:color w:val="000000"/>
              </w:rPr>
            </w:pPr>
          </w:p>
        </w:tc>
        <w:tc>
          <w:tcPr>
            <w:tcW w:w="916" w:type="dxa"/>
            <w:gridSpan w:val="3"/>
            <w:tcBorders>
              <w:top w:val="nil"/>
              <w:left w:val="nil"/>
              <w:bottom w:val="nil"/>
              <w:right w:val="nil"/>
            </w:tcBorders>
            <w:shd w:val="clear" w:color="auto" w:fill="auto"/>
            <w:vAlign w:val="bottom"/>
          </w:tcPr>
          <w:p w14:paraId="74AB5DEF" w14:textId="77777777" w:rsidR="00AB1E56" w:rsidRPr="00203E93" w:rsidRDefault="00AB1E56" w:rsidP="00596A40">
            <w:pPr>
              <w:spacing w:line="240" w:lineRule="auto"/>
              <w:jc w:val="right"/>
              <w:rPr>
                <w:rFonts w:cs="Times New Roman"/>
                <w:color w:val="000000"/>
              </w:rPr>
            </w:pPr>
          </w:p>
        </w:tc>
        <w:tc>
          <w:tcPr>
            <w:tcW w:w="576" w:type="dxa"/>
            <w:gridSpan w:val="3"/>
            <w:tcBorders>
              <w:top w:val="nil"/>
              <w:left w:val="nil"/>
              <w:bottom w:val="nil"/>
              <w:right w:val="nil"/>
            </w:tcBorders>
            <w:shd w:val="clear" w:color="auto" w:fill="auto"/>
            <w:noWrap/>
            <w:vAlign w:val="bottom"/>
          </w:tcPr>
          <w:p w14:paraId="6D3F8F89" w14:textId="77777777" w:rsidR="00AB1E56" w:rsidRPr="00203E93" w:rsidRDefault="00AB1E56" w:rsidP="00596A40">
            <w:pPr>
              <w:spacing w:line="240" w:lineRule="auto"/>
              <w:rPr>
                <w:rFonts w:cs="Times New Roman"/>
                <w:color w:val="000000"/>
              </w:rPr>
            </w:pPr>
          </w:p>
        </w:tc>
        <w:tc>
          <w:tcPr>
            <w:tcW w:w="656" w:type="dxa"/>
            <w:gridSpan w:val="3"/>
            <w:tcBorders>
              <w:top w:val="nil"/>
              <w:left w:val="nil"/>
              <w:bottom w:val="nil"/>
              <w:right w:val="nil"/>
            </w:tcBorders>
            <w:shd w:val="clear" w:color="auto" w:fill="auto"/>
            <w:vAlign w:val="bottom"/>
          </w:tcPr>
          <w:p w14:paraId="3A726265" w14:textId="77777777" w:rsidR="00AB1E56" w:rsidRPr="00203E93" w:rsidRDefault="00AB1E56" w:rsidP="00596A40">
            <w:pPr>
              <w:spacing w:line="240" w:lineRule="auto"/>
              <w:jc w:val="center"/>
              <w:rPr>
                <w:rFonts w:cs="Times New Roman"/>
                <w:color w:val="000000"/>
              </w:rPr>
            </w:pPr>
          </w:p>
        </w:tc>
        <w:tc>
          <w:tcPr>
            <w:tcW w:w="738" w:type="dxa"/>
            <w:gridSpan w:val="5"/>
            <w:tcBorders>
              <w:top w:val="nil"/>
              <w:left w:val="nil"/>
              <w:bottom w:val="nil"/>
              <w:right w:val="nil"/>
            </w:tcBorders>
            <w:shd w:val="clear" w:color="auto" w:fill="auto"/>
            <w:noWrap/>
            <w:vAlign w:val="bottom"/>
          </w:tcPr>
          <w:p w14:paraId="51359E9F" w14:textId="77777777" w:rsidR="00AB1E56" w:rsidRPr="00203E93" w:rsidRDefault="00AB1E56" w:rsidP="00596A40">
            <w:pPr>
              <w:spacing w:line="240" w:lineRule="auto"/>
              <w:jc w:val="right"/>
              <w:rPr>
                <w:rFonts w:cs="Times New Roman"/>
                <w:color w:val="000000"/>
              </w:rPr>
            </w:pPr>
          </w:p>
        </w:tc>
        <w:tc>
          <w:tcPr>
            <w:tcW w:w="576" w:type="dxa"/>
            <w:gridSpan w:val="2"/>
            <w:tcBorders>
              <w:top w:val="nil"/>
              <w:left w:val="nil"/>
              <w:bottom w:val="nil"/>
              <w:right w:val="nil"/>
            </w:tcBorders>
            <w:shd w:val="clear" w:color="auto" w:fill="auto"/>
            <w:noWrap/>
            <w:vAlign w:val="bottom"/>
          </w:tcPr>
          <w:p w14:paraId="1113231D" w14:textId="77777777" w:rsidR="00AB1E56" w:rsidRPr="00203E93" w:rsidRDefault="00AB1E56" w:rsidP="00596A40">
            <w:pPr>
              <w:spacing w:line="240" w:lineRule="auto"/>
              <w:rPr>
                <w:rFonts w:cs="Times New Roman"/>
                <w:color w:val="000000"/>
              </w:rPr>
            </w:pPr>
          </w:p>
        </w:tc>
        <w:tc>
          <w:tcPr>
            <w:tcW w:w="658" w:type="dxa"/>
            <w:tcBorders>
              <w:top w:val="nil"/>
              <w:left w:val="nil"/>
              <w:bottom w:val="nil"/>
              <w:right w:val="nil"/>
            </w:tcBorders>
            <w:shd w:val="clear" w:color="auto" w:fill="auto"/>
            <w:vAlign w:val="bottom"/>
          </w:tcPr>
          <w:p w14:paraId="2636D1D9" w14:textId="77777777" w:rsidR="00AB1E56" w:rsidRPr="00203E93" w:rsidRDefault="00AB1E56" w:rsidP="00596A40">
            <w:pPr>
              <w:spacing w:line="240" w:lineRule="auto"/>
              <w:jc w:val="center"/>
              <w:rPr>
                <w:rFonts w:cs="Times New Roman"/>
                <w:color w:val="000000"/>
              </w:rPr>
            </w:pPr>
          </w:p>
        </w:tc>
      </w:tr>
    </w:tbl>
    <w:p w14:paraId="1D7FC795" w14:textId="77777777" w:rsidR="00AB1E56" w:rsidRDefault="00AB1E56">
      <w:pPr>
        <w:rPr>
          <w:rFonts w:cs="Times New Roman"/>
          <w:color w:val="000000"/>
          <w:vertAlign w:val="subscript"/>
        </w:rPr>
      </w:pPr>
    </w:p>
    <w:p w14:paraId="05EA87E4" w14:textId="77777777" w:rsidR="00E7669F" w:rsidRDefault="00E7669F">
      <w:pPr>
        <w:spacing w:line="240" w:lineRule="auto"/>
        <w:rPr>
          <w:rFonts w:cs="Times New Roman"/>
          <w:b/>
          <w:color w:val="000000"/>
        </w:rPr>
      </w:pPr>
      <w:r>
        <w:rPr>
          <w:rFonts w:cs="Times New Roman"/>
          <w:b/>
          <w:color w:val="000000"/>
        </w:rPr>
        <w:br w:type="page"/>
      </w:r>
    </w:p>
    <w:p w14:paraId="4A186ACE" w14:textId="157A0A51" w:rsidR="00AB1E56" w:rsidRPr="00E7669F" w:rsidRDefault="00E7669F">
      <w:pPr>
        <w:rPr>
          <w:rFonts w:cs="Times New Roman"/>
          <w:b/>
          <w:color w:val="000000"/>
        </w:rPr>
      </w:pPr>
      <w:r w:rsidRPr="00E7669F">
        <w:rPr>
          <w:rFonts w:cs="Times New Roman"/>
          <w:b/>
          <w:color w:val="000000"/>
        </w:rPr>
        <w:lastRenderedPageBreak/>
        <w:t>Table 2-3, continued</w:t>
      </w:r>
    </w:p>
    <w:p w14:paraId="25C64C36" w14:textId="77777777" w:rsidR="00AB1E56" w:rsidRPr="00E7669F" w:rsidRDefault="00AB1E56" w:rsidP="00E7669F">
      <w:pPr>
        <w:spacing w:line="240" w:lineRule="auto"/>
        <w:rPr>
          <w:rFonts w:cs="Times New Roman"/>
          <w:b/>
          <w:color w:val="000000"/>
        </w:rPr>
      </w:pPr>
      <w:r w:rsidRPr="00E7669F">
        <w:rPr>
          <w:rFonts w:cs="Times New Roman"/>
          <w:b/>
          <w:color w:val="000000"/>
        </w:rPr>
        <w:t xml:space="preserve">Table 2-3 C. </w:t>
      </w:r>
    </w:p>
    <w:tbl>
      <w:tblPr>
        <w:tblW w:w="9366" w:type="dxa"/>
        <w:tblInd w:w="93" w:type="dxa"/>
        <w:tblLook w:val="04A0" w:firstRow="1" w:lastRow="0" w:firstColumn="1" w:lastColumn="0" w:noHBand="0" w:noVBand="1"/>
      </w:tblPr>
      <w:tblGrid>
        <w:gridCol w:w="3016"/>
        <w:gridCol w:w="1000"/>
        <w:gridCol w:w="585"/>
        <w:gridCol w:w="656"/>
        <w:gridCol w:w="952"/>
        <w:gridCol w:w="585"/>
        <w:gridCol w:w="656"/>
        <w:gridCol w:w="675"/>
        <w:gridCol w:w="585"/>
        <w:gridCol w:w="656"/>
      </w:tblGrid>
      <w:tr w:rsidR="00596A40" w:rsidRPr="00203E93" w14:paraId="6D3BD86D" w14:textId="77777777" w:rsidTr="00235C84">
        <w:trPr>
          <w:trHeight w:val="315"/>
        </w:trPr>
        <w:tc>
          <w:tcPr>
            <w:tcW w:w="3016" w:type="dxa"/>
            <w:tcBorders>
              <w:top w:val="single" w:sz="8" w:space="0" w:color="auto"/>
              <w:left w:val="nil"/>
              <w:bottom w:val="nil"/>
              <w:right w:val="nil"/>
            </w:tcBorders>
            <w:shd w:val="clear" w:color="auto" w:fill="auto"/>
            <w:noWrap/>
            <w:vAlign w:val="bottom"/>
            <w:hideMark/>
          </w:tcPr>
          <w:p w14:paraId="43667242" w14:textId="77777777" w:rsidR="00596A40" w:rsidRPr="00203E93" w:rsidRDefault="00596A40" w:rsidP="00596A40">
            <w:pPr>
              <w:spacing w:line="240" w:lineRule="auto"/>
              <w:rPr>
                <w:rFonts w:cs="Times New Roman"/>
                <w:color w:val="000000"/>
              </w:rPr>
            </w:pPr>
            <w:r w:rsidRPr="00203E93">
              <w:rPr>
                <w:rFonts w:cs="Times New Roman"/>
                <w:color w:val="000000"/>
              </w:rPr>
              <w:t> </w:t>
            </w:r>
          </w:p>
        </w:tc>
        <w:tc>
          <w:tcPr>
            <w:tcW w:w="6350" w:type="dxa"/>
            <w:gridSpan w:val="9"/>
            <w:tcBorders>
              <w:top w:val="single" w:sz="8" w:space="0" w:color="auto"/>
              <w:left w:val="nil"/>
              <w:bottom w:val="single" w:sz="4" w:space="0" w:color="auto"/>
              <w:right w:val="nil"/>
            </w:tcBorders>
            <w:shd w:val="clear" w:color="auto" w:fill="auto"/>
            <w:noWrap/>
            <w:vAlign w:val="bottom"/>
            <w:hideMark/>
          </w:tcPr>
          <w:p w14:paraId="4C3A221F" w14:textId="2CE6A628" w:rsidR="00596A40" w:rsidRPr="00203E93" w:rsidRDefault="00596A40" w:rsidP="009D15AB">
            <w:pPr>
              <w:spacing w:line="240" w:lineRule="auto"/>
              <w:jc w:val="center"/>
              <w:rPr>
                <w:rFonts w:cs="Times New Roman"/>
                <w:color w:val="000000"/>
              </w:rPr>
            </w:pPr>
            <w:r w:rsidRPr="00203E93">
              <w:rPr>
                <w:rFonts w:cs="Times New Roman"/>
                <w:color w:val="000000"/>
              </w:rPr>
              <w:t xml:space="preserve">Tiller Diameter </w:t>
            </w:r>
          </w:p>
        </w:tc>
      </w:tr>
      <w:tr w:rsidR="00596A40" w:rsidRPr="00203E93" w14:paraId="1293001F" w14:textId="77777777" w:rsidTr="00235C84">
        <w:trPr>
          <w:trHeight w:val="330"/>
        </w:trPr>
        <w:tc>
          <w:tcPr>
            <w:tcW w:w="3016" w:type="dxa"/>
            <w:tcBorders>
              <w:top w:val="nil"/>
              <w:left w:val="nil"/>
              <w:bottom w:val="single" w:sz="8" w:space="0" w:color="auto"/>
              <w:right w:val="nil"/>
            </w:tcBorders>
            <w:shd w:val="clear" w:color="auto" w:fill="auto"/>
            <w:vAlign w:val="bottom"/>
            <w:hideMark/>
          </w:tcPr>
          <w:p w14:paraId="2BEAAD48" w14:textId="77777777" w:rsidR="00596A40" w:rsidRPr="00203E93" w:rsidRDefault="00596A40" w:rsidP="00596A40">
            <w:pPr>
              <w:spacing w:line="240" w:lineRule="auto"/>
              <w:rPr>
                <w:rFonts w:cs="Times New Roman"/>
                <w:color w:val="000000"/>
              </w:rPr>
            </w:pPr>
            <w:r w:rsidRPr="00203E93">
              <w:rPr>
                <w:rFonts w:cs="Times New Roman"/>
                <w:color w:val="000000"/>
              </w:rPr>
              <w:t>Source of Variation</w:t>
            </w:r>
          </w:p>
        </w:tc>
        <w:tc>
          <w:tcPr>
            <w:tcW w:w="2241" w:type="dxa"/>
            <w:gridSpan w:val="3"/>
            <w:tcBorders>
              <w:top w:val="nil"/>
              <w:left w:val="nil"/>
              <w:bottom w:val="single" w:sz="8" w:space="0" w:color="auto"/>
              <w:right w:val="nil"/>
            </w:tcBorders>
            <w:shd w:val="clear" w:color="auto" w:fill="auto"/>
            <w:vAlign w:val="bottom"/>
            <w:hideMark/>
          </w:tcPr>
          <w:p w14:paraId="65067B58" w14:textId="77777777" w:rsidR="00596A40" w:rsidRPr="00203E93" w:rsidRDefault="00596A40" w:rsidP="00596A40">
            <w:pPr>
              <w:spacing w:line="240" w:lineRule="auto"/>
              <w:jc w:val="center"/>
              <w:rPr>
                <w:rFonts w:cs="Times New Roman"/>
                <w:color w:val="000000"/>
              </w:rPr>
            </w:pPr>
            <w:r w:rsidRPr="00203E93">
              <w:rPr>
                <w:rFonts w:cs="Times New Roman"/>
                <w:color w:val="000000"/>
              </w:rPr>
              <w:t>2013</w:t>
            </w:r>
          </w:p>
        </w:tc>
        <w:tc>
          <w:tcPr>
            <w:tcW w:w="2193" w:type="dxa"/>
            <w:gridSpan w:val="3"/>
            <w:tcBorders>
              <w:top w:val="nil"/>
              <w:left w:val="nil"/>
              <w:bottom w:val="single" w:sz="8" w:space="0" w:color="auto"/>
              <w:right w:val="nil"/>
            </w:tcBorders>
            <w:shd w:val="clear" w:color="auto" w:fill="auto"/>
            <w:vAlign w:val="bottom"/>
            <w:hideMark/>
          </w:tcPr>
          <w:p w14:paraId="44B6D727" w14:textId="77777777" w:rsidR="00596A40" w:rsidRPr="00203E93" w:rsidRDefault="00596A40" w:rsidP="00596A40">
            <w:pPr>
              <w:spacing w:line="240" w:lineRule="auto"/>
              <w:jc w:val="center"/>
              <w:rPr>
                <w:rFonts w:cs="Times New Roman"/>
                <w:color w:val="000000"/>
              </w:rPr>
            </w:pPr>
            <w:r w:rsidRPr="00203E93">
              <w:rPr>
                <w:rFonts w:cs="Times New Roman"/>
                <w:color w:val="000000"/>
              </w:rPr>
              <w:t>2014</w:t>
            </w:r>
          </w:p>
        </w:tc>
        <w:tc>
          <w:tcPr>
            <w:tcW w:w="1916" w:type="dxa"/>
            <w:gridSpan w:val="3"/>
            <w:tcBorders>
              <w:top w:val="nil"/>
              <w:left w:val="nil"/>
              <w:bottom w:val="single" w:sz="8" w:space="0" w:color="auto"/>
              <w:right w:val="nil"/>
            </w:tcBorders>
            <w:shd w:val="clear" w:color="auto" w:fill="auto"/>
            <w:vAlign w:val="bottom"/>
            <w:hideMark/>
          </w:tcPr>
          <w:p w14:paraId="3568DA7F" w14:textId="77777777" w:rsidR="00596A40" w:rsidRPr="00203E93" w:rsidRDefault="00596A40" w:rsidP="00596A40">
            <w:pPr>
              <w:spacing w:line="240" w:lineRule="auto"/>
              <w:jc w:val="center"/>
              <w:rPr>
                <w:rFonts w:cs="Times New Roman"/>
                <w:color w:val="000000"/>
              </w:rPr>
            </w:pPr>
            <w:r w:rsidRPr="00203E93">
              <w:rPr>
                <w:rFonts w:cs="Times New Roman"/>
                <w:color w:val="000000"/>
              </w:rPr>
              <w:t>Combined</w:t>
            </w:r>
          </w:p>
        </w:tc>
      </w:tr>
      <w:tr w:rsidR="00596A40" w:rsidRPr="00203E93" w14:paraId="46713768" w14:textId="77777777" w:rsidTr="00235C84">
        <w:trPr>
          <w:trHeight w:val="405"/>
        </w:trPr>
        <w:tc>
          <w:tcPr>
            <w:tcW w:w="3016" w:type="dxa"/>
            <w:tcBorders>
              <w:top w:val="nil"/>
              <w:left w:val="nil"/>
              <w:bottom w:val="nil"/>
              <w:right w:val="nil"/>
            </w:tcBorders>
            <w:shd w:val="clear" w:color="auto" w:fill="auto"/>
            <w:noWrap/>
            <w:vAlign w:val="bottom"/>
            <w:hideMark/>
          </w:tcPr>
          <w:p w14:paraId="2C7871C4" w14:textId="77777777" w:rsidR="00596A40" w:rsidRPr="00203E93" w:rsidRDefault="00596A40" w:rsidP="00596A40">
            <w:pPr>
              <w:spacing w:line="240" w:lineRule="auto"/>
              <w:rPr>
                <w:rFonts w:cs="Times New Roman"/>
                <w:color w:val="000000"/>
              </w:rPr>
            </w:pPr>
            <w:r w:rsidRPr="00203E93">
              <w:rPr>
                <w:rFonts w:cs="Times New Roman"/>
                <w:color w:val="000000"/>
              </w:rPr>
              <w:t>GCA</w:t>
            </w:r>
          </w:p>
        </w:tc>
        <w:tc>
          <w:tcPr>
            <w:tcW w:w="1000" w:type="dxa"/>
            <w:tcBorders>
              <w:top w:val="nil"/>
              <w:left w:val="nil"/>
              <w:bottom w:val="nil"/>
              <w:right w:val="nil"/>
            </w:tcBorders>
            <w:shd w:val="clear" w:color="auto" w:fill="auto"/>
            <w:vAlign w:val="bottom"/>
            <w:hideMark/>
          </w:tcPr>
          <w:p w14:paraId="23B13124" w14:textId="77777777" w:rsidR="00596A40" w:rsidRPr="00203E93" w:rsidRDefault="00596A40" w:rsidP="00596A40">
            <w:pPr>
              <w:spacing w:line="240" w:lineRule="auto"/>
              <w:jc w:val="right"/>
              <w:rPr>
                <w:rFonts w:cs="Times New Roman"/>
                <w:color w:val="000000"/>
              </w:rPr>
            </w:pPr>
            <w:r w:rsidRPr="00203E93">
              <w:rPr>
                <w:rFonts w:cs="Times New Roman"/>
                <w:color w:val="000000"/>
              </w:rPr>
              <w:t>0.27</w:t>
            </w:r>
          </w:p>
        </w:tc>
        <w:tc>
          <w:tcPr>
            <w:tcW w:w="585" w:type="dxa"/>
            <w:tcBorders>
              <w:top w:val="nil"/>
              <w:left w:val="nil"/>
              <w:bottom w:val="nil"/>
              <w:right w:val="nil"/>
            </w:tcBorders>
            <w:shd w:val="clear" w:color="auto" w:fill="auto"/>
            <w:noWrap/>
            <w:vAlign w:val="bottom"/>
            <w:hideMark/>
          </w:tcPr>
          <w:p w14:paraId="5FB6E9C0"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nil"/>
              <w:right w:val="nil"/>
            </w:tcBorders>
            <w:shd w:val="clear" w:color="auto" w:fill="auto"/>
            <w:vAlign w:val="bottom"/>
            <w:hideMark/>
          </w:tcPr>
          <w:p w14:paraId="07324305" w14:textId="77777777" w:rsidR="00596A40" w:rsidRPr="00203E93" w:rsidRDefault="00596A40" w:rsidP="00596A40">
            <w:pPr>
              <w:spacing w:line="240" w:lineRule="auto"/>
              <w:jc w:val="center"/>
              <w:rPr>
                <w:rFonts w:cs="Times New Roman"/>
                <w:color w:val="000000"/>
              </w:rPr>
            </w:pPr>
            <w:r w:rsidRPr="00203E93">
              <w:rPr>
                <w:rFonts w:cs="Times New Roman"/>
                <w:color w:val="000000"/>
              </w:rPr>
              <w:t>10%</w:t>
            </w:r>
          </w:p>
        </w:tc>
        <w:tc>
          <w:tcPr>
            <w:tcW w:w="952" w:type="dxa"/>
            <w:tcBorders>
              <w:top w:val="nil"/>
              <w:left w:val="nil"/>
              <w:bottom w:val="nil"/>
              <w:right w:val="nil"/>
            </w:tcBorders>
            <w:shd w:val="clear" w:color="auto" w:fill="auto"/>
            <w:vAlign w:val="bottom"/>
            <w:hideMark/>
          </w:tcPr>
          <w:p w14:paraId="2E41C93F" w14:textId="77777777" w:rsidR="00596A40" w:rsidRPr="00203E93" w:rsidRDefault="00596A40" w:rsidP="00596A40">
            <w:pPr>
              <w:spacing w:line="240" w:lineRule="auto"/>
              <w:jc w:val="right"/>
              <w:rPr>
                <w:rFonts w:cs="Times New Roman"/>
                <w:color w:val="000000"/>
              </w:rPr>
            </w:pPr>
            <w:r w:rsidRPr="00203E93">
              <w:rPr>
                <w:rFonts w:cs="Times New Roman"/>
                <w:color w:val="000000"/>
              </w:rPr>
              <w:t>0.35</w:t>
            </w:r>
          </w:p>
        </w:tc>
        <w:tc>
          <w:tcPr>
            <w:tcW w:w="585" w:type="dxa"/>
            <w:tcBorders>
              <w:top w:val="nil"/>
              <w:left w:val="nil"/>
              <w:bottom w:val="nil"/>
              <w:right w:val="nil"/>
            </w:tcBorders>
            <w:shd w:val="clear" w:color="auto" w:fill="auto"/>
            <w:noWrap/>
            <w:vAlign w:val="bottom"/>
            <w:hideMark/>
          </w:tcPr>
          <w:p w14:paraId="2CD232BB"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nil"/>
              <w:right w:val="nil"/>
            </w:tcBorders>
            <w:shd w:val="clear" w:color="auto" w:fill="auto"/>
            <w:vAlign w:val="bottom"/>
            <w:hideMark/>
          </w:tcPr>
          <w:p w14:paraId="16F0F64B" w14:textId="77777777" w:rsidR="00596A40" w:rsidRPr="00203E93" w:rsidRDefault="00596A40" w:rsidP="00596A40">
            <w:pPr>
              <w:spacing w:line="240" w:lineRule="auto"/>
              <w:jc w:val="center"/>
              <w:rPr>
                <w:rFonts w:cs="Times New Roman"/>
                <w:color w:val="000000"/>
              </w:rPr>
            </w:pPr>
            <w:r w:rsidRPr="00203E93">
              <w:rPr>
                <w:rFonts w:cs="Times New Roman"/>
                <w:color w:val="000000"/>
              </w:rPr>
              <w:t>15%</w:t>
            </w:r>
          </w:p>
        </w:tc>
        <w:tc>
          <w:tcPr>
            <w:tcW w:w="675" w:type="dxa"/>
            <w:tcBorders>
              <w:top w:val="nil"/>
              <w:left w:val="nil"/>
              <w:bottom w:val="nil"/>
              <w:right w:val="nil"/>
            </w:tcBorders>
            <w:shd w:val="clear" w:color="auto" w:fill="auto"/>
            <w:noWrap/>
            <w:vAlign w:val="bottom"/>
            <w:hideMark/>
          </w:tcPr>
          <w:p w14:paraId="3525643A" w14:textId="77777777" w:rsidR="00596A40" w:rsidRPr="00203E93" w:rsidRDefault="00596A40" w:rsidP="00596A40">
            <w:pPr>
              <w:spacing w:line="240" w:lineRule="auto"/>
              <w:jc w:val="right"/>
              <w:rPr>
                <w:rFonts w:cs="Times New Roman"/>
                <w:color w:val="000000"/>
              </w:rPr>
            </w:pPr>
            <w:r w:rsidRPr="00203E93">
              <w:rPr>
                <w:rFonts w:cs="Times New Roman"/>
                <w:color w:val="000000"/>
              </w:rPr>
              <w:t>0.30</w:t>
            </w:r>
          </w:p>
        </w:tc>
        <w:tc>
          <w:tcPr>
            <w:tcW w:w="585" w:type="dxa"/>
            <w:tcBorders>
              <w:top w:val="nil"/>
              <w:left w:val="nil"/>
              <w:bottom w:val="nil"/>
              <w:right w:val="nil"/>
            </w:tcBorders>
            <w:shd w:val="clear" w:color="auto" w:fill="auto"/>
            <w:noWrap/>
            <w:vAlign w:val="bottom"/>
            <w:hideMark/>
          </w:tcPr>
          <w:p w14:paraId="7682DBC2"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nil"/>
              <w:right w:val="nil"/>
            </w:tcBorders>
            <w:shd w:val="clear" w:color="auto" w:fill="auto"/>
            <w:vAlign w:val="bottom"/>
            <w:hideMark/>
          </w:tcPr>
          <w:p w14:paraId="1535A7C0" w14:textId="77777777" w:rsidR="00596A40" w:rsidRPr="00203E93" w:rsidRDefault="00596A40" w:rsidP="00596A40">
            <w:pPr>
              <w:spacing w:line="240" w:lineRule="auto"/>
              <w:jc w:val="center"/>
              <w:rPr>
                <w:rFonts w:cs="Times New Roman"/>
                <w:color w:val="000000"/>
              </w:rPr>
            </w:pPr>
            <w:r w:rsidRPr="00203E93">
              <w:rPr>
                <w:rFonts w:cs="Times New Roman"/>
                <w:color w:val="000000"/>
              </w:rPr>
              <w:t>12%</w:t>
            </w:r>
          </w:p>
        </w:tc>
      </w:tr>
      <w:tr w:rsidR="00596A40" w:rsidRPr="00203E93" w14:paraId="7F3F2F14" w14:textId="77777777" w:rsidTr="00235C84">
        <w:trPr>
          <w:trHeight w:val="405"/>
        </w:trPr>
        <w:tc>
          <w:tcPr>
            <w:tcW w:w="3016" w:type="dxa"/>
            <w:tcBorders>
              <w:top w:val="nil"/>
              <w:left w:val="nil"/>
              <w:bottom w:val="nil"/>
              <w:right w:val="nil"/>
            </w:tcBorders>
            <w:shd w:val="clear" w:color="auto" w:fill="auto"/>
            <w:noWrap/>
            <w:vAlign w:val="bottom"/>
            <w:hideMark/>
          </w:tcPr>
          <w:p w14:paraId="006775A4" w14:textId="77777777" w:rsidR="00596A40" w:rsidRPr="00203E93" w:rsidRDefault="00596A40" w:rsidP="00596A40">
            <w:pPr>
              <w:spacing w:line="240" w:lineRule="auto"/>
              <w:rPr>
                <w:rFonts w:cs="Times New Roman"/>
                <w:color w:val="000000"/>
              </w:rPr>
            </w:pPr>
            <w:r w:rsidRPr="00203E93">
              <w:rPr>
                <w:rFonts w:cs="Times New Roman"/>
                <w:color w:val="000000"/>
              </w:rPr>
              <w:t>SCA</w:t>
            </w:r>
          </w:p>
        </w:tc>
        <w:tc>
          <w:tcPr>
            <w:tcW w:w="1000" w:type="dxa"/>
            <w:tcBorders>
              <w:top w:val="nil"/>
              <w:left w:val="nil"/>
              <w:bottom w:val="nil"/>
              <w:right w:val="nil"/>
            </w:tcBorders>
            <w:shd w:val="clear" w:color="auto" w:fill="auto"/>
            <w:noWrap/>
            <w:vAlign w:val="bottom"/>
            <w:hideMark/>
          </w:tcPr>
          <w:p w14:paraId="1C18B46D" w14:textId="77777777" w:rsidR="00596A40" w:rsidRPr="00203E93" w:rsidRDefault="00596A40" w:rsidP="00596A40">
            <w:pPr>
              <w:spacing w:line="240" w:lineRule="auto"/>
              <w:jc w:val="right"/>
              <w:rPr>
                <w:rFonts w:cs="Times New Roman"/>
                <w:color w:val="000000"/>
              </w:rPr>
            </w:pPr>
            <w:r w:rsidRPr="00203E93">
              <w:rPr>
                <w:rFonts w:cs="Times New Roman"/>
                <w:color w:val="000000"/>
              </w:rPr>
              <w:t>0.13</w:t>
            </w:r>
          </w:p>
        </w:tc>
        <w:tc>
          <w:tcPr>
            <w:tcW w:w="585" w:type="dxa"/>
            <w:tcBorders>
              <w:top w:val="nil"/>
              <w:left w:val="nil"/>
              <w:bottom w:val="nil"/>
              <w:right w:val="nil"/>
            </w:tcBorders>
            <w:shd w:val="clear" w:color="auto" w:fill="auto"/>
            <w:noWrap/>
            <w:vAlign w:val="bottom"/>
            <w:hideMark/>
          </w:tcPr>
          <w:p w14:paraId="7ACE74A4"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nil"/>
              <w:right w:val="nil"/>
            </w:tcBorders>
            <w:shd w:val="clear" w:color="auto" w:fill="auto"/>
            <w:vAlign w:val="bottom"/>
            <w:hideMark/>
          </w:tcPr>
          <w:p w14:paraId="5D5DA4E6" w14:textId="77777777" w:rsidR="00596A40" w:rsidRPr="00203E93" w:rsidRDefault="00596A40" w:rsidP="00596A40">
            <w:pPr>
              <w:spacing w:line="240" w:lineRule="auto"/>
              <w:jc w:val="center"/>
              <w:rPr>
                <w:rFonts w:cs="Times New Roman"/>
                <w:color w:val="000000"/>
              </w:rPr>
            </w:pPr>
            <w:r w:rsidRPr="00203E93">
              <w:rPr>
                <w:rFonts w:cs="Times New Roman"/>
                <w:color w:val="000000"/>
              </w:rPr>
              <w:t>5%</w:t>
            </w:r>
          </w:p>
        </w:tc>
        <w:tc>
          <w:tcPr>
            <w:tcW w:w="952" w:type="dxa"/>
            <w:tcBorders>
              <w:top w:val="nil"/>
              <w:left w:val="nil"/>
              <w:bottom w:val="nil"/>
              <w:right w:val="nil"/>
            </w:tcBorders>
            <w:shd w:val="clear" w:color="auto" w:fill="auto"/>
            <w:vAlign w:val="bottom"/>
            <w:hideMark/>
          </w:tcPr>
          <w:p w14:paraId="6C8BE5FE" w14:textId="77777777" w:rsidR="00596A40" w:rsidRPr="00203E93" w:rsidRDefault="00596A40" w:rsidP="00596A40">
            <w:pPr>
              <w:spacing w:line="240" w:lineRule="auto"/>
              <w:jc w:val="right"/>
              <w:rPr>
                <w:rFonts w:cs="Times New Roman"/>
                <w:color w:val="000000"/>
              </w:rPr>
            </w:pPr>
            <w:r w:rsidRPr="00203E93">
              <w:rPr>
                <w:rFonts w:cs="Times New Roman"/>
                <w:color w:val="000000"/>
              </w:rPr>
              <w:t>0.11</w:t>
            </w:r>
          </w:p>
        </w:tc>
        <w:tc>
          <w:tcPr>
            <w:tcW w:w="585" w:type="dxa"/>
            <w:tcBorders>
              <w:top w:val="nil"/>
              <w:left w:val="nil"/>
              <w:bottom w:val="nil"/>
              <w:right w:val="nil"/>
            </w:tcBorders>
            <w:shd w:val="clear" w:color="auto" w:fill="auto"/>
            <w:noWrap/>
            <w:vAlign w:val="bottom"/>
            <w:hideMark/>
          </w:tcPr>
          <w:p w14:paraId="4E032454"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nil"/>
              <w:right w:val="nil"/>
            </w:tcBorders>
            <w:shd w:val="clear" w:color="auto" w:fill="auto"/>
            <w:vAlign w:val="bottom"/>
            <w:hideMark/>
          </w:tcPr>
          <w:p w14:paraId="69958973" w14:textId="77777777" w:rsidR="00596A40" w:rsidRPr="00203E93" w:rsidRDefault="00596A40" w:rsidP="00596A40">
            <w:pPr>
              <w:spacing w:line="240" w:lineRule="auto"/>
              <w:jc w:val="center"/>
              <w:rPr>
                <w:rFonts w:cs="Times New Roman"/>
                <w:color w:val="000000"/>
              </w:rPr>
            </w:pPr>
            <w:r w:rsidRPr="00203E93">
              <w:rPr>
                <w:rFonts w:cs="Times New Roman"/>
                <w:color w:val="000000"/>
              </w:rPr>
              <w:t>5%</w:t>
            </w:r>
          </w:p>
        </w:tc>
        <w:tc>
          <w:tcPr>
            <w:tcW w:w="675" w:type="dxa"/>
            <w:tcBorders>
              <w:top w:val="nil"/>
              <w:left w:val="nil"/>
              <w:bottom w:val="nil"/>
              <w:right w:val="nil"/>
            </w:tcBorders>
            <w:shd w:val="clear" w:color="auto" w:fill="auto"/>
            <w:noWrap/>
            <w:vAlign w:val="bottom"/>
            <w:hideMark/>
          </w:tcPr>
          <w:p w14:paraId="28C6DFF0" w14:textId="77777777" w:rsidR="00596A40" w:rsidRPr="00203E93" w:rsidRDefault="00596A40" w:rsidP="00596A40">
            <w:pPr>
              <w:spacing w:line="240" w:lineRule="auto"/>
              <w:jc w:val="right"/>
              <w:rPr>
                <w:rFonts w:cs="Times New Roman"/>
                <w:color w:val="000000"/>
              </w:rPr>
            </w:pPr>
            <w:r w:rsidRPr="00203E93">
              <w:rPr>
                <w:rFonts w:cs="Times New Roman"/>
                <w:color w:val="000000"/>
              </w:rPr>
              <w:t>0.12</w:t>
            </w:r>
          </w:p>
        </w:tc>
        <w:tc>
          <w:tcPr>
            <w:tcW w:w="585" w:type="dxa"/>
            <w:tcBorders>
              <w:top w:val="nil"/>
              <w:left w:val="nil"/>
              <w:bottom w:val="nil"/>
              <w:right w:val="nil"/>
            </w:tcBorders>
            <w:shd w:val="clear" w:color="auto" w:fill="auto"/>
            <w:noWrap/>
            <w:vAlign w:val="bottom"/>
            <w:hideMark/>
          </w:tcPr>
          <w:p w14:paraId="7089C7E3"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nil"/>
              <w:right w:val="nil"/>
            </w:tcBorders>
            <w:shd w:val="clear" w:color="auto" w:fill="auto"/>
            <w:vAlign w:val="bottom"/>
            <w:hideMark/>
          </w:tcPr>
          <w:p w14:paraId="70C6372A" w14:textId="77777777" w:rsidR="00596A40" w:rsidRPr="00203E93" w:rsidRDefault="00596A40" w:rsidP="00596A40">
            <w:pPr>
              <w:spacing w:line="240" w:lineRule="auto"/>
              <w:jc w:val="center"/>
              <w:rPr>
                <w:rFonts w:cs="Times New Roman"/>
                <w:color w:val="000000"/>
              </w:rPr>
            </w:pPr>
            <w:r w:rsidRPr="00203E93">
              <w:rPr>
                <w:rFonts w:cs="Times New Roman"/>
                <w:color w:val="000000"/>
              </w:rPr>
              <w:t>5%</w:t>
            </w:r>
          </w:p>
        </w:tc>
      </w:tr>
      <w:tr w:rsidR="00596A40" w:rsidRPr="00203E93" w14:paraId="67714E8E" w14:textId="77777777" w:rsidTr="00235C84">
        <w:trPr>
          <w:trHeight w:val="405"/>
        </w:trPr>
        <w:tc>
          <w:tcPr>
            <w:tcW w:w="3016" w:type="dxa"/>
            <w:tcBorders>
              <w:top w:val="nil"/>
              <w:left w:val="nil"/>
              <w:bottom w:val="nil"/>
              <w:right w:val="nil"/>
            </w:tcBorders>
            <w:shd w:val="clear" w:color="auto" w:fill="auto"/>
            <w:noWrap/>
            <w:vAlign w:val="bottom"/>
            <w:hideMark/>
          </w:tcPr>
          <w:p w14:paraId="35FE16F7" w14:textId="77777777" w:rsidR="00596A40" w:rsidRPr="00203E93" w:rsidRDefault="00596A40" w:rsidP="00596A40">
            <w:pPr>
              <w:spacing w:line="240" w:lineRule="auto"/>
              <w:rPr>
                <w:rFonts w:cs="Times New Roman"/>
                <w:color w:val="000000"/>
              </w:rPr>
            </w:pPr>
            <w:r w:rsidRPr="00203E93">
              <w:rPr>
                <w:rFonts w:cs="Times New Roman"/>
                <w:color w:val="000000"/>
              </w:rPr>
              <w:t>GCA*Location</w:t>
            </w:r>
          </w:p>
        </w:tc>
        <w:tc>
          <w:tcPr>
            <w:tcW w:w="1000" w:type="dxa"/>
            <w:tcBorders>
              <w:top w:val="nil"/>
              <w:left w:val="nil"/>
              <w:bottom w:val="nil"/>
              <w:right w:val="nil"/>
            </w:tcBorders>
            <w:shd w:val="clear" w:color="auto" w:fill="auto"/>
            <w:vAlign w:val="bottom"/>
            <w:hideMark/>
          </w:tcPr>
          <w:p w14:paraId="6FC3CF94" w14:textId="77777777" w:rsidR="00596A40" w:rsidRPr="00203E93" w:rsidRDefault="00596A40" w:rsidP="00596A40">
            <w:pPr>
              <w:spacing w:line="240" w:lineRule="auto"/>
              <w:jc w:val="right"/>
              <w:rPr>
                <w:rFonts w:cs="Times New Roman"/>
                <w:color w:val="000000"/>
              </w:rPr>
            </w:pPr>
            <w:r w:rsidRPr="00203E93">
              <w:rPr>
                <w:rFonts w:cs="Times New Roman"/>
                <w:color w:val="000000"/>
              </w:rPr>
              <w:t>0.01</w:t>
            </w:r>
          </w:p>
        </w:tc>
        <w:tc>
          <w:tcPr>
            <w:tcW w:w="585" w:type="dxa"/>
            <w:tcBorders>
              <w:top w:val="nil"/>
              <w:left w:val="nil"/>
              <w:bottom w:val="nil"/>
              <w:right w:val="nil"/>
            </w:tcBorders>
            <w:shd w:val="clear" w:color="auto" w:fill="auto"/>
            <w:noWrap/>
            <w:vAlign w:val="bottom"/>
            <w:hideMark/>
          </w:tcPr>
          <w:p w14:paraId="45FF5667"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6FA28E26" w14:textId="77777777" w:rsidR="00596A40" w:rsidRPr="00203E93" w:rsidRDefault="00596A40" w:rsidP="00596A40">
            <w:pPr>
              <w:spacing w:line="240" w:lineRule="auto"/>
              <w:jc w:val="center"/>
              <w:rPr>
                <w:rFonts w:cs="Times New Roman"/>
                <w:color w:val="000000"/>
              </w:rPr>
            </w:pPr>
            <w:r w:rsidRPr="00203E93">
              <w:rPr>
                <w:rFonts w:cs="Times New Roman"/>
                <w:color w:val="000000"/>
              </w:rPr>
              <w:t>0%</w:t>
            </w:r>
          </w:p>
        </w:tc>
        <w:tc>
          <w:tcPr>
            <w:tcW w:w="952" w:type="dxa"/>
            <w:tcBorders>
              <w:top w:val="nil"/>
              <w:left w:val="nil"/>
              <w:bottom w:val="nil"/>
              <w:right w:val="nil"/>
            </w:tcBorders>
            <w:shd w:val="clear" w:color="auto" w:fill="auto"/>
            <w:vAlign w:val="bottom"/>
            <w:hideMark/>
          </w:tcPr>
          <w:p w14:paraId="4A3434C0" w14:textId="77777777" w:rsidR="00596A40" w:rsidRPr="00203E93" w:rsidRDefault="00596A40" w:rsidP="00596A40">
            <w:pPr>
              <w:spacing w:line="240" w:lineRule="auto"/>
              <w:jc w:val="right"/>
              <w:rPr>
                <w:rFonts w:cs="Times New Roman"/>
                <w:color w:val="000000"/>
              </w:rPr>
            </w:pPr>
            <w:r w:rsidRPr="00203E93">
              <w:rPr>
                <w:rFonts w:cs="Times New Roman"/>
                <w:color w:val="000000"/>
              </w:rPr>
              <w:t>0.02</w:t>
            </w:r>
          </w:p>
        </w:tc>
        <w:tc>
          <w:tcPr>
            <w:tcW w:w="585" w:type="dxa"/>
            <w:tcBorders>
              <w:top w:val="nil"/>
              <w:left w:val="nil"/>
              <w:bottom w:val="nil"/>
              <w:right w:val="nil"/>
            </w:tcBorders>
            <w:shd w:val="clear" w:color="auto" w:fill="auto"/>
            <w:noWrap/>
            <w:vAlign w:val="bottom"/>
            <w:hideMark/>
          </w:tcPr>
          <w:p w14:paraId="4FD887C9"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40DE0249" w14:textId="77777777" w:rsidR="00596A40" w:rsidRPr="00203E93" w:rsidRDefault="00596A40" w:rsidP="00596A40">
            <w:pPr>
              <w:spacing w:line="240" w:lineRule="auto"/>
              <w:jc w:val="center"/>
              <w:rPr>
                <w:rFonts w:cs="Times New Roman"/>
                <w:color w:val="000000"/>
              </w:rPr>
            </w:pPr>
            <w:r w:rsidRPr="00203E93">
              <w:rPr>
                <w:rFonts w:cs="Times New Roman"/>
                <w:color w:val="000000"/>
              </w:rPr>
              <w:t>1%</w:t>
            </w:r>
          </w:p>
        </w:tc>
        <w:tc>
          <w:tcPr>
            <w:tcW w:w="675" w:type="dxa"/>
            <w:tcBorders>
              <w:top w:val="nil"/>
              <w:left w:val="nil"/>
              <w:bottom w:val="nil"/>
              <w:right w:val="nil"/>
            </w:tcBorders>
            <w:shd w:val="clear" w:color="auto" w:fill="auto"/>
            <w:noWrap/>
            <w:vAlign w:val="bottom"/>
            <w:hideMark/>
          </w:tcPr>
          <w:p w14:paraId="200A8350" w14:textId="77777777" w:rsidR="00596A40" w:rsidRPr="00203E93" w:rsidRDefault="00596A40" w:rsidP="00596A40">
            <w:pPr>
              <w:spacing w:line="240" w:lineRule="auto"/>
              <w:jc w:val="right"/>
              <w:rPr>
                <w:rFonts w:cs="Times New Roman"/>
                <w:color w:val="000000"/>
              </w:rPr>
            </w:pPr>
            <w:r w:rsidRPr="00203E93">
              <w:rPr>
                <w:rFonts w:cs="Times New Roman"/>
                <w:color w:val="000000"/>
              </w:rPr>
              <w:t>0.00</w:t>
            </w:r>
          </w:p>
        </w:tc>
        <w:tc>
          <w:tcPr>
            <w:tcW w:w="585" w:type="dxa"/>
            <w:tcBorders>
              <w:top w:val="nil"/>
              <w:left w:val="nil"/>
              <w:bottom w:val="nil"/>
              <w:right w:val="nil"/>
            </w:tcBorders>
            <w:shd w:val="clear" w:color="auto" w:fill="auto"/>
            <w:noWrap/>
            <w:vAlign w:val="bottom"/>
            <w:hideMark/>
          </w:tcPr>
          <w:p w14:paraId="4E5C50E7" w14:textId="77777777" w:rsidR="00596A40" w:rsidRPr="00203E93" w:rsidRDefault="00596A40" w:rsidP="00596A40">
            <w:pPr>
              <w:spacing w:line="240" w:lineRule="auto"/>
              <w:rPr>
                <w:rFonts w:cs="Times New Roman"/>
                <w:color w:val="000000"/>
              </w:rPr>
            </w:pPr>
          </w:p>
        </w:tc>
        <w:tc>
          <w:tcPr>
            <w:tcW w:w="656" w:type="dxa"/>
            <w:tcBorders>
              <w:top w:val="nil"/>
              <w:left w:val="nil"/>
              <w:bottom w:val="nil"/>
              <w:right w:val="nil"/>
            </w:tcBorders>
            <w:shd w:val="clear" w:color="auto" w:fill="auto"/>
            <w:vAlign w:val="bottom"/>
            <w:hideMark/>
          </w:tcPr>
          <w:p w14:paraId="46989AA4" w14:textId="77777777" w:rsidR="00596A40" w:rsidRPr="00203E93" w:rsidRDefault="00596A40" w:rsidP="00596A40">
            <w:pPr>
              <w:spacing w:line="240" w:lineRule="auto"/>
              <w:jc w:val="center"/>
              <w:rPr>
                <w:rFonts w:cs="Times New Roman"/>
                <w:color w:val="000000"/>
              </w:rPr>
            </w:pPr>
            <w:r w:rsidRPr="00203E93">
              <w:rPr>
                <w:rFonts w:cs="Times New Roman"/>
                <w:color w:val="000000"/>
              </w:rPr>
              <w:t>0%</w:t>
            </w:r>
          </w:p>
        </w:tc>
      </w:tr>
      <w:tr w:rsidR="00596A40" w:rsidRPr="00203E93" w14:paraId="4F815455" w14:textId="77777777" w:rsidTr="00235C84">
        <w:trPr>
          <w:trHeight w:val="420"/>
        </w:trPr>
        <w:tc>
          <w:tcPr>
            <w:tcW w:w="3016" w:type="dxa"/>
            <w:tcBorders>
              <w:top w:val="nil"/>
              <w:left w:val="nil"/>
              <w:bottom w:val="nil"/>
              <w:right w:val="nil"/>
            </w:tcBorders>
            <w:shd w:val="clear" w:color="auto" w:fill="auto"/>
            <w:noWrap/>
            <w:vAlign w:val="bottom"/>
            <w:hideMark/>
          </w:tcPr>
          <w:p w14:paraId="00DF9AA5" w14:textId="77777777" w:rsidR="00596A40" w:rsidRPr="00203E93" w:rsidRDefault="00596A40" w:rsidP="00596A40">
            <w:pPr>
              <w:spacing w:line="240" w:lineRule="auto"/>
              <w:rPr>
                <w:rFonts w:cs="Times New Roman"/>
                <w:color w:val="000000"/>
              </w:rPr>
            </w:pPr>
            <w:r w:rsidRPr="00203E93">
              <w:rPr>
                <w:rFonts w:cs="Times New Roman"/>
                <w:color w:val="000000"/>
              </w:rPr>
              <w:t>GCA*Block(Location)</w:t>
            </w:r>
          </w:p>
        </w:tc>
        <w:tc>
          <w:tcPr>
            <w:tcW w:w="1000" w:type="dxa"/>
            <w:tcBorders>
              <w:top w:val="nil"/>
              <w:left w:val="nil"/>
              <w:bottom w:val="nil"/>
              <w:right w:val="nil"/>
            </w:tcBorders>
            <w:shd w:val="clear" w:color="auto" w:fill="auto"/>
            <w:vAlign w:val="bottom"/>
            <w:hideMark/>
          </w:tcPr>
          <w:p w14:paraId="1D3C657D" w14:textId="77777777" w:rsidR="00596A40" w:rsidRPr="00203E93" w:rsidRDefault="00596A40" w:rsidP="00596A40">
            <w:pPr>
              <w:spacing w:line="240" w:lineRule="auto"/>
              <w:jc w:val="right"/>
              <w:rPr>
                <w:rFonts w:cs="Times New Roman"/>
                <w:color w:val="000000"/>
              </w:rPr>
            </w:pPr>
            <w:r w:rsidRPr="00203E93">
              <w:rPr>
                <w:rFonts w:cs="Times New Roman"/>
                <w:color w:val="000000"/>
              </w:rPr>
              <w:t>0.00</w:t>
            </w:r>
          </w:p>
        </w:tc>
        <w:tc>
          <w:tcPr>
            <w:tcW w:w="585" w:type="dxa"/>
            <w:tcBorders>
              <w:top w:val="nil"/>
              <w:left w:val="nil"/>
              <w:bottom w:val="nil"/>
              <w:right w:val="nil"/>
            </w:tcBorders>
            <w:shd w:val="clear" w:color="auto" w:fill="auto"/>
            <w:noWrap/>
            <w:vAlign w:val="bottom"/>
            <w:hideMark/>
          </w:tcPr>
          <w:p w14:paraId="310E3312"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08CA0389" w14:textId="77777777" w:rsidR="00596A40" w:rsidRPr="00203E93" w:rsidRDefault="00596A40" w:rsidP="00596A40">
            <w:pPr>
              <w:spacing w:line="240" w:lineRule="auto"/>
              <w:jc w:val="center"/>
              <w:rPr>
                <w:rFonts w:cs="Times New Roman"/>
                <w:color w:val="000000"/>
              </w:rPr>
            </w:pPr>
            <w:r w:rsidRPr="00203E93">
              <w:rPr>
                <w:rFonts w:cs="Times New Roman"/>
                <w:color w:val="000000"/>
              </w:rPr>
              <w:t>0%</w:t>
            </w:r>
          </w:p>
        </w:tc>
        <w:tc>
          <w:tcPr>
            <w:tcW w:w="952" w:type="dxa"/>
            <w:tcBorders>
              <w:top w:val="nil"/>
              <w:left w:val="nil"/>
              <w:bottom w:val="nil"/>
              <w:right w:val="nil"/>
            </w:tcBorders>
            <w:shd w:val="clear" w:color="auto" w:fill="auto"/>
            <w:vAlign w:val="bottom"/>
            <w:hideMark/>
          </w:tcPr>
          <w:p w14:paraId="48F64D43" w14:textId="77777777" w:rsidR="00596A40" w:rsidRPr="00203E93" w:rsidRDefault="00596A40" w:rsidP="00596A40">
            <w:pPr>
              <w:spacing w:line="240" w:lineRule="auto"/>
              <w:jc w:val="right"/>
              <w:rPr>
                <w:rFonts w:cs="Times New Roman"/>
                <w:color w:val="000000"/>
              </w:rPr>
            </w:pPr>
            <w:r w:rsidRPr="00203E93">
              <w:rPr>
                <w:rFonts w:cs="Times New Roman"/>
                <w:color w:val="000000"/>
              </w:rPr>
              <w:t>0.00</w:t>
            </w:r>
          </w:p>
        </w:tc>
        <w:tc>
          <w:tcPr>
            <w:tcW w:w="585" w:type="dxa"/>
            <w:tcBorders>
              <w:top w:val="nil"/>
              <w:left w:val="nil"/>
              <w:bottom w:val="nil"/>
              <w:right w:val="nil"/>
            </w:tcBorders>
            <w:shd w:val="clear" w:color="auto" w:fill="auto"/>
            <w:noWrap/>
            <w:vAlign w:val="bottom"/>
            <w:hideMark/>
          </w:tcPr>
          <w:p w14:paraId="2BFEE529"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6CAA2192" w14:textId="77777777" w:rsidR="00596A40" w:rsidRPr="00203E93" w:rsidRDefault="00596A40" w:rsidP="00596A40">
            <w:pPr>
              <w:spacing w:line="240" w:lineRule="auto"/>
              <w:jc w:val="center"/>
              <w:rPr>
                <w:rFonts w:cs="Times New Roman"/>
                <w:color w:val="000000"/>
              </w:rPr>
            </w:pPr>
            <w:r w:rsidRPr="00203E93">
              <w:rPr>
                <w:rFonts w:cs="Times New Roman"/>
                <w:color w:val="000000"/>
              </w:rPr>
              <w:t>0%</w:t>
            </w:r>
          </w:p>
        </w:tc>
        <w:tc>
          <w:tcPr>
            <w:tcW w:w="675" w:type="dxa"/>
            <w:tcBorders>
              <w:top w:val="nil"/>
              <w:left w:val="nil"/>
              <w:bottom w:val="nil"/>
              <w:right w:val="nil"/>
            </w:tcBorders>
            <w:shd w:val="clear" w:color="auto" w:fill="auto"/>
            <w:noWrap/>
            <w:vAlign w:val="bottom"/>
            <w:hideMark/>
          </w:tcPr>
          <w:p w14:paraId="55D6C969" w14:textId="77777777" w:rsidR="00596A40" w:rsidRPr="00203E93" w:rsidRDefault="00596A40" w:rsidP="00596A40">
            <w:pPr>
              <w:spacing w:line="240" w:lineRule="auto"/>
              <w:jc w:val="right"/>
              <w:rPr>
                <w:rFonts w:cs="Times New Roman"/>
                <w:color w:val="000000"/>
              </w:rPr>
            </w:pPr>
            <w:r w:rsidRPr="00203E93">
              <w:rPr>
                <w:rFonts w:cs="Times New Roman"/>
                <w:color w:val="000000"/>
              </w:rPr>
              <w:t>0.00</w:t>
            </w:r>
          </w:p>
        </w:tc>
        <w:tc>
          <w:tcPr>
            <w:tcW w:w="585" w:type="dxa"/>
            <w:tcBorders>
              <w:top w:val="nil"/>
              <w:left w:val="nil"/>
              <w:bottom w:val="nil"/>
              <w:right w:val="nil"/>
            </w:tcBorders>
            <w:shd w:val="clear" w:color="auto" w:fill="auto"/>
            <w:noWrap/>
            <w:vAlign w:val="bottom"/>
            <w:hideMark/>
          </w:tcPr>
          <w:p w14:paraId="2BF9A639" w14:textId="77777777" w:rsidR="00596A40" w:rsidRPr="00203E93" w:rsidRDefault="00596A40" w:rsidP="00596A40">
            <w:pPr>
              <w:spacing w:line="240" w:lineRule="auto"/>
              <w:rPr>
                <w:rFonts w:cs="Times New Roman"/>
                <w:color w:val="000000"/>
              </w:rPr>
            </w:pPr>
          </w:p>
        </w:tc>
        <w:tc>
          <w:tcPr>
            <w:tcW w:w="656" w:type="dxa"/>
            <w:tcBorders>
              <w:top w:val="nil"/>
              <w:left w:val="nil"/>
              <w:bottom w:val="nil"/>
              <w:right w:val="nil"/>
            </w:tcBorders>
            <w:shd w:val="clear" w:color="auto" w:fill="auto"/>
            <w:vAlign w:val="bottom"/>
            <w:hideMark/>
          </w:tcPr>
          <w:p w14:paraId="236AB3D2" w14:textId="77777777" w:rsidR="00596A40" w:rsidRPr="00203E93" w:rsidRDefault="00596A40" w:rsidP="00596A40">
            <w:pPr>
              <w:spacing w:line="240" w:lineRule="auto"/>
              <w:jc w:val="center"/>
              <w:rPr>
                <w:rFonts w:cs="Times New Roman"/>
                <w:color w:val="000000"/>
              </w:rPr>
            </w:pPr>
            <w:r w:rsidRPr="00203E93">
              <w:rPr>
                <w:rFonts w:cs="Times New Roman"/>
                <w:color w:val="000000"/>
              </w:rPr>
              <w:t>0%</w:t>
            </w:r>
          </w:p>
        </w:tc>
      </w:tr>
      <w:tr w:rsidR="00596A40" w:rsidRPr="00203E93" w14:paraId="68CB838E" w14:textId="77777777" w:rsidTr="00235C84">
        <w:trPr>
          <w:trHeight w:val="315"/>
        </w:trPr>
        <w:tc>
          <w:tcPr>
            <w:tcW w:w="3016" w:type="dxa"/>
            <w:tcBorders>
              <w:top w:val="nil"/>
              <w:left w:val="nil"/>
              <w:bottom w:val="nil"/>
              <w:right w:val="nil"/>
            </w:tcBorders>
            <w:shd w:val="clear" w:color="auto" w:fill="auto"/>
            <w:noWrap/>
            <w:vAlign w:val="bottom"/>
            <w:hideMark/>
          </w:tcPr>
          <w:p w14:paraId="2F8D20F0" w14:textId="77777777" w:rsidR="00596A40" w:rsidRPr="00203E93" w:rsidRDefault="00596A40" w:rsidP="00596A40">
            <w:pPr>
              <w:spacing w:line="240" w:lineRule="auto"/>
              <w:rPr>
                <w:rFonts w:cs="Times New Roman"/>
                <w:color w:val="000000"/>
              </w:rPr>
            </w:pPr>
            <w:r w:rsidRPr="00203E93">
              <w:rPr>
                <w:rFonts w:cs="Times New Roman"/>
                <w:color w:val="000000"/>
              </w:rPr>
              <w:t>GCA*Location*Year</w:t>
            </w:r>
          </w:p>
        </w:tc>
        <w:tc>
          <w:tcPr>
            <w:tcW w:w="1000" w:type="dxa"/>
            <w:tcBorders>
              <w:top w:val="nil"/>
              <w:left w:val="nil"/>
              <w:bottom w:val="nil"/>
              <w:right w:val="nil"/>
            </w:tcBorders>
            <w:shd w:val="clear" w:color="auto" w:fill="auto"/>
            <w:vAlign w:val="bottom"/>
            <w:hideMark/>
          </w:tcPr>
          <w:p w14:paraId="54356BC8" w14:textId="77777777" w:rsidR="00596A40" w:rsidRPr="00203E93" w:rsidRDefault="00596A40" w:rsidP="00596A40">
            <w:pPr>
              <w:spacing w:line="240" w:lineRule="auto"/>
              <w:jc w:val="right"/>
              <w:rPr>
                <w:rFonts w:cs="Times New Roman"/>
                <w:color w:val="000000"/>
              </w:rPr>
            </w:pPr>
          </w:p>
        </w:tc>
        <w:tc>
          <w:tcPr>
            <w:tcW w:w="585" w:type="dxa"/>
            <w:tcBorders>
              <w:top w:val="nil"/>
              <w:left w:val="nil"/>
              <w:bottom w:val="nil"/>
              <w:right w:val="nil"/>
            </w:tcBorders>
            <w:shd w:val="clear" w:color="auto" w:fill="auto"/>
            <w:noWrap/>
            <w:vAlign w:val="bottom"/>
            <w:hideMark/>
          </w:tcPr>
          <w:p w14:paraId="2074B445" w14:textId="77777777" w:rsidR="00596A40" w:rsidRPr="00203E93" w:rsidRDefault="00596A40" w:rsidP="00596A40">
            <w:pPr>
              <w:spacing w:line="240" w:lineRule="auto"/>
              <w:rPr>
                <w:rFonts w:cs="Times New Roman"/>
                <w:color w:val="000000"/>
              </w:rPr>
            </w:pPr>
          </w:p>
        </w:tc>
        <w:tc>
          <w:tcPr>
            <w:tcW w:w="656" w:type="dxa"/>
            <w:tcBorders>
              <w:top w:val="nil"/>
              <w:left w:val="nil"/>
              <w:bottom w:val="nil"/>
              <w:right w:val="nil"/>
            </w:tcBorders>
            <w:shd w:val="clear" w:color="auto" w:fill="auto"/>
            <w:vAlign w:val="bottom"/>
            <w:hideMark/>
          </w:tcPr>
          <w:p w14:paraId="38348206" w14:textId="77777777" w:rsidR="00596A40" w:rsidRPr="00203E93" w:rsidRDefault="00596A40" w:rsidP="00596A40">
            <w:pPr>
              <w:spacing w:line="240" w:lineRule="auto"/>
              <w:jc w:val="center"/>
              <w:rPr>
                <w:rFonts w:cs="Times New Roman"/>
                <w:color w:val="000000"/>
              </w:rPr>
            </w:pPr>
          </w:p>
        </w:tc>
        <w:tc>
          <w:tcPr>
            <w:tcW w:w="952" w:type="dxa"/>
            <w:tcBorders>
              <w:top w:val="nil"/>
              <w:left w:val="nil"/>
              <w:bottom w:val="nil"/>
              <w:right w:val="nil"/>
            </w:tcBorders>
            <w:shd w:val="clear" w:color="auto" w:fill="auto"/>
            <w:vAlign w:val="bottom"/>
            <w:hideMark/>
          </w:tcPr>
          <w:p w14:paraId="516CFA8B" w14:textId="77777777" w:rsidR="00596A40" w:rsidRPr="00203E93" w:rsidRDefault="00596A40" w:rsidP="00596A40">
            <w:pPr>
              <w:spacing w:line="240" w:lineRule="auto"/>
              <w:jc w:val="right"/>
              <w:rPr>
                <w:rFonts w:cs="Times New Roman"/>
                <w:color w:val="000000"/>
              </w:rPr>
            </w:pPr>
          </w:p>
        </w:tc>
        <w:tc>
          <w:tcPr>
            <w:tcW w:w="585" w:type="dxa"/>
            <w:tcBorders>
              <w:top w:val="nil"/>
              <w:left w:val="nil"/>
              <w:bottom w:val="nil"/>
              <w:right w:val="nil"/>
            </w:tcBorders>
            <w:shd w:val="clear" w:color="auto" w:fill="auto"/>
            <w:noWrap/>
            <w:vAlign w:val="bottom"/>
            <w:hideMark/>
          </w:tcPr>
          <w:p w14:paraId="5CD48295" w14:textId="77777777" w:rsidR="00596A40" w:rsidRPr="00203E93" w:rsidRDefault="00596A40" w:rsidP="00596A40">
            <w:pPr>
              <w:spacing w:line="240" w:lineRule="auto"/>
              <w:rPr>
                <w:rFonts w:cs="Times New Roman"/>
                <w:color w:val="000000"/>
              </w:rPr>
            </w:pPr>
          </w:p>
        </w:tc>
        <w:tc>
          <w:tcPr>
            <w:tcW w:w="656" w:type="dxa"/>
            <w:tcBorders>
              <w:top w:val="nil"/>
              <w:left w:val="nil"/>
              <w:bottom w:val="nil"/>
              <w:right w:val="nil"/>
            </w:tcBorders>
            <w:shd w:val="clear" w:color="auto" w:fill="auto"/>
            <w:vAlign w:val="bottom"/>
            <w:hideMark/>
          </w:tcPr>
          <w:p w14:paraId="5FA27108" w14:textId="77777777" w:rsidR="00596A40" w:rsidRPr="00203E93" w:rsidRDefault="00596A40" w:rsidP="00596A40">
            <w:pPr>
              <w:spacing w:line="240" w:lineRule="auto"/>
              <w:jc w:val="center"/>
              <w:rPr>
                <w:rFonts w:cs="Times New Roman"/>
                <w:color w:val="000000"/>
              </w:rPr>
            </w:pPr>
          </w:p>
        </w:tc>
        <w:tc>
          <w:tcPr>
            <w:tcW w:w="675" w:type="dxa"/>
            <w:tcBorders>
              <w:top w:val="nil"/>
              <w:left w:val="nil"/>
              <w:bottom w:val="nil"/>
              <w:right w:val="nil"/>
            </w:tcBorders>
            <w:shd w:val="clear" w:color="auto" w:fill="auto"/>
            <w:noWrap/>
            <w:vAlign w:val="bottom"/>
            <w:hideMark/>
          </w:tcPr>
          <w:p w14:paraId="75D7371D" w14:textId="77777777" w:rsidR="00596A40" w:rsidRPr="00203E93" w:rsidRDefault="00596A40" w:rsidP="00596A40">
            <w:pPr>
              <w:spacing w:line="240" w:lineRule="auto"/>
              <w:jc w:val="right"/>
              <w:rPr>
                <w:rFonts w:cs="Times New Roman"/>
                <w:color w:val="000000"/>
              </w:rPr>
            </w:pPr>
            <w:r w:rsidRPr="00203E93">
              <w:rPr>
                <w:rFonts w:cs="Times New Roman"/>
                <w:color w:val="000000"/>
              </w:rPr>
              <w:t>0.02</w:t>
            </w:r>
          </w:p>
        </w:tc>
        <w:tc>
          <w:tcPr>
            <w:tcW w:w="585" w:type="dxa"/>
            <w:tcBorders>
              <w:top w:val="nil"/>
              <w:left w:val="nil"/>
              <w:bottom w:val="nil"/>
              <w:right w:val="nil"/>
            </w:tcBorders>
            <w:shd w:val="clear" w:color="auto" w:fill="auto"/>
            <w:noWrap/>
            <w:vAlign w:val="bottom"/>
            <w:hideMark/>
          </w:tcPr>
          <w:p w14:paraId="5C6A535D"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760CEC20" w14:textId="77777777" w:rsidR="00596A40" w:rsidRPr="00203E93" w:rsidRDefault="00596A40" w:rsidP="00596A40">
            <w:pPr>
              <w:spacing w:line="240" w:lineRule="auto"/>
              <w:jc w:val="center"/>
              <w:rPr>
                <w:rFonts w:cs="Times New Roman"/>
                <w:color w:val="000000"/>
              </w:rPr>
            </w:pPr>
            <w:r w:rsidRPr="00203E93">
              <w:rPr>
                <w:rFonts w:cs="Times New Roman"/>
                <w:color w:val="000000"/>
              </w:rPr>
              <w:t>1%</w:t>
            </w:r>
          </w:p>
        </w:tc>
      </w:tr>
      <w:tr w:rsidR="00596A40" w:rsidRPr="00203E93" w14:paraId="228446DD" w14:textId="77777777" w:rsidTr="00235C84">
        <w:trPr>
          <w:trHeight w:val="315"/>
        </w:trPr>
        <w:tc>
          <w:tcPr>
            <w:tcW w:w="3016" w:type="dxa"/>
            <w:tcBorders>
              <w:top w:val="nil"/>
              <w:left w:val="nil"/>
              <w:bottom w:val="nil"/>
              <w:right w:val="nil"/>
            </w:tcBorders>
            <w:shd w:val="clear" w:color="auto" w:fill="auto"/>
            <w:noWrap/>
            <w:vAlign w:val="bottom"/>
            <w:hideMark/>
          </w:tcPr>
          <w:p w14:paraId="6282C935" w14:textId="77777777" w:rsidR="00596A40" w:rsidRPr="00203E93" w:rsidRDefault="00596A40" w:rsidP="00596A40">
            <w:pPr>
              <w:spacing w:line="240" w:lineRule="auto"/>
              <w:rPr>
                <w:rFonts w:cs="Times New Roman"/>
                <w:color w:val="000000"/>
              </w:rPr>
            </w:pPr>
            <w:r w:rsidRPr="00203E93">
              <w:rPr>
                <w:rFonts w:cs="Times New Roman"/>
                <w:color w:val="000000"/>
              </w:rPr>
              <w:t>SCA*Block(Location)</w:t>
            </w:r>
          </w:p>
        </w:tc>
        <w:tc>
          <w:tcPr>
            <w:tcW w:w="1000" w:type="dxa"/>
            <w:tcBorders>
              <w:top w:val="nil"/>
              <w:left w:val="nil"/>
              <w:bottom w:val="nil"/>
              <w:right w:val="nil"/>
            </w:tcBorders>
            <w:shd w:val="clear" w:color="auto" w:fill="auto"/>
            <w:vAlign w:val="bottom"/>
            <w:hideMark/>
          </w:tcPr>
          <w:p w14:paraId="4E6DE24D" w14:textId="77777777" w:rsidR="00596A40" w:rsidRPr="00203E93" w:rsidRDefault="00596A40" w:rsidP="00596A40">
            <w:pPr>
              <w:spacing w:line="240" w:lineRule="auto"/>
              <w:jc w:val="right"/>
              <w:rPr>
                <w:rFonts w:cs="Times New Roman"/>
                <w:color w:val="000000"/>
              </w:rPr>
            </w:pPr>
            <w:r w:rsidRPr="00203E93">
              <w:rPr>
                <w:rFonts w:cs="Times New Roman"/>
                <w:color w:val="000000"/>
              </w:rPr>
              <w:t>0.00</w:t>
            </w:r>
          </w:p>
        </w:tc>
        <w:tc>
          <w:tcPr>
            <w:tcW w:w="585" w:type="dxa"/>
            <w:tcBorders>
              <w:top w:val="nil"/>
              <w:left w:val="nil"/>
              <w:bottom w:val="nil"/>
              <w:right w:val="nil"/>
            </w:tcBorders>
            <w:shd w:val="clear" w:color="auto" w:fill="auto"/>
            <w:noWrap/>
            <w:vAlign w:val="bottom"/>
            <w:hideMark/>
          </w:tcPr>
          <w:p w14:paraId="688F7AF6"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636D2B26" w14:textId="77777777" w:rsidR="00596A40" w:rsidRPr="00203E93" w:rsidRDefault="00596A40" w:rsidP="00596A40">
            <w:pPr>
              <w:spacing w:line="240" w:lineRule="auto"/>
              <w:jc w:val="center"/>
              <w:rPr>
                <w:rFonts w:cs="Times New Roman"/>
                <w:color w:val="000000"/>
              </w:rPr>
            </w:pPr>
            <w:r w:rsidRPr="00203E93">
              <w:rPr>
                <w:rFonts w:cs="Times New Roman"/>
                <w:color w:val="000000"/>
              </w:rPr>
              <w:t>0%</w:t>
            </w:r>
          </w:p>
        </w:tc>
        <w:tc>
          <w:tcPr>
            <w:tcW w:w="952" w:type="dxa"/>
            <w:tcBorders>
              <w:top w:val="nil"/>
              <w:left w:val="nil"/>
              <w:bottom w:val="nil"/>
              <w:right w:val="nil"/>
            </w:tcBorders>
            <w:shd w:val="clear" w:color="auto" w:fill="auto"/>
            <w:vAlign w:val="bottom"/>
            <w:hideMark/>
          </w:tcPr>
          <w:p w14:paraId="6E1D2D57" w14:textId="77777777" w:rsidR="00596A40" w:rsidRPr="00203E93" w:rsidRDefault="00596A40" w:rsidP="00596A40">
            <w:pPr>
              <w:spacing w:line="240" w:lineRule="auto"/>
              <w:jc w:val="right"/>
              <w:rPr>
                <w:rFonts w:cs="Times New Roman"/>
                <w:color w:val="000000"/>
              </w:rPr>
            </w:pPr>
            <w:r w:rsidRPr="00203E93">
              <w:rPr>
                <w:rFonts w:cs="Times New Roman"/>
                <w:color w:val="000000"/>
              </w:rPr>
              <w:t>0.00</w:t>
            </w:r>
          </w:p>
        </w:tc>
        <w:tc>
          <w:tcPr>
            <w:tcW w:w="585" w:type="dxa"/>
            <w:tcBorders>
              <w:top w:val="nil"/>
              <w:left w:val="nil"/>
              <w:bottom w:val="nil"/>
              <w:right w:val="nil"/>
            </w:tcBorders>
            <w:shd w:val="clear" w:color="auto" w:fill="auto"/>
            <w:noWrap/>
            <w:vAlign w:val="bottom"/>
            <w:hideMark/>
          </w:tcPr>
          <w:p w14:paraId="706148F4"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5F38BDA3" w14:textId="77777777" w:rsidR="00596A40" w:rsidRPr="00203E93" w:rsidRDefault="00596A40" w:rsidP="00596A40">
            <w:pPr>
              <w:spacing w:line="240" w:lineRule="auto"/>
              <w:jc w:val="center"/>
              <w:rPr>
                <w:rFonts w:cs="Times New Roman"/>
                <w:color w:val="000000"/>
              </w:rPr>
            </w:pPr>
            <w:r w:rsidRPr="00203E93">
              <w:rPr>
                <w:rFonts w:cs="Times New Roman"/>
                <w:color w:val="000000"/>
              </w:rPr>
              <w:t>0%</w:t>
            </w:r>
          </w:p>
        </w:tc>
        <w:tc>
          <w:tcPr>
            <w:tcW w:w="675" w:type="dxa"/>
            <w:tcBorders>
              <w:top w:val="nil"/>
              <w:left w:val="nil"/>
              <w:bottom w:val="nil"/>
              <w:right w:val="nil"/>
            </w:tcBorders>
            <w:shd w:val="clear" w:color="auto" w:fill="auto"/>
            <w:noWrap/>
            <w:vAlign w:val="bottom"/>
            <w:hideMark/>
          </w:tcPr>
          <w:p w14:paraId="1ECFFFF1" w14:textId="77777777" w:rsidR="00596A40" w:rsidRPr="00203E93" w:rsidRDefault="00596A40" w:rsidP="00596A40">
            <w:pPr>
              <w:spacing w:line="240" w:lineRule="auto"/>
              <w:jc w:val="right"/>
              <w:rPr>
                <w:rFonts w:cs="Times New Roman"/>
                <w:color w:val="000000"/>
              </w:rPr>
            </w:pPr>
            <w:r w:rsidRPr="00203E93">
              <w:rPr>
                <w:rFonts w:cs="Times New Roman"/>
                <w:color w:val="000000"/>
              </w:rPr>
              <w:t>0.08</w:t>
            </w:r>
          </w:p>
        </w:tc>
        <w:tc>
          <w:tcPr>
            <w:tcW w:w="585" w:type="dxa"/>
            <w:tcBorders>
              <w:top w:val="nil"/>
              <w:left w:val="nil"/>
              <w:bottom w:val="nil"/>
              <w:right w:val="nil"/>
            </w:tcBorders>
            <w:shd w:val="clear" w:color="auto" w:fill="auto"/>
            <w:noWrap/>
            <w:vAlign w:val="bottom"/>
            <w:hideMark/>
          </w:tcPr>
          <w:p w14:paraId="2C9A7F58"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nil"/>
              <w:right w:val="nil"/>
            </w:tcBorders>
            <w:shd w:val="clear" w:color="auto" w:fill="auto"/>
            <w:vAlign w:val="bottom"/>
            <w:hideMark/>
          </w:tcPr>
          <w:p w14:paraId="3E140EB0" w14:textId="77777777" w:rsidR="00596A40" w:rsidRPr="00203E93" w:rsidRDefault="00596A40" w:rsidP="00596A40">
            <w:pPr>
              <w:spacing w:line="240" w:lineRule="auto"/>
              <w:jc w:val="center"/>
              <w:rPr>
                <w:rFonts w:cs="Times New Roman"/>
                <w:color w:val="000000"/>
              </w:rPr>
            </w:pPr>
            <w:r w:rsidRPr="00203E93">
              <w:rPr>
                <w:rFonts w:cs="Times New Roman"/>
                <w:color w:val="000000"/>
              </w:rPr>
              <w:t>3%</w:t>
            </w:r>
          </w:p>
        </w:tc>
      </w:tr>
      <w:tr w:rsidR="00596A40" w:rsidRPr="00203E93" w14:paraId="694F6644" w14:textId="77777777" w:rsidTr="00235C84">
        <w:trPr>
          <w:trHeight w:val="330"/>
        </w:trPr>
        <w:tc>
          <w:tcPr>
            <w:tcW w:w="3016" w:type="dxa"/>
            <w:tcBorders>
              <w:top w:val="nil"/>
              <w:left w:val="nil"/>
              <w:bottom w:val="single" w:sz="8" w:space="0" w:color="auto"/>
              <w:right w:val="nil"/>
            </w:tcBorders>
            <w:shd w:val="clear" w:color="auto" w:fill="auto"/>
            <w:noWrap/>
            <w:vAlign w:val="bottom"/>
            <w:hideMark/>
          </w:tcPr>
          <w:p w14:paraId="479F465B" w14:textId="77777777" w:rsidR="00596A40" w:rsidRPr="00203E93" w:rsidRDefault="00596A40" w:rsidP="00596A40">
            <w:pPr>
              <w:spacing w:line="240" w:lineRule="auto"/>
              <w:rPr>
                <w:rFonts w:cs="Times New Roman"/>
                <w:color w:val="000000"/>
              </w:rPr>
            </w:pPr>
            <w:r w:rsidRPr="00203E93">
              <w:rPr>
                <w:rFonts w:cs="Times New Roman"/>
                <w:color w:val="000000"/>
              </w:rPr>
              <w:t>Residual</w:t>
            </w:r>
          </w:p>
        </w:tc>
        <w:tc>
          <w:tcPr>
            <w:tcW w:w="1000" w:type="dxa"/>
            <w:tcBorders>
              <w:top w:val="nil"/>
              <w:left w:val="nil"/>
              <w:bottom w:val="single" w:sz="8" w:space="0" w:color="auto"/>
              <w:right w:val="nil"/>
            </w:tcBorders>
            <w:shd w:val="clear" w:color="auto" w:fill="auto"/>
            <w:noWrap/>
            <w:vAlign w:val="bottom"/>
            <w:hideMark/>
          </w:tcPr>
          <w:p w14:paraId="445AE222" w14:textId="77777777" w:rsidR="00596A40" w:rsidRPr="00203E93" w:rsidRDefault="00596A40" w:rsidP="00596A40">
            <w:pPr>
              <w:spacing w:line="240" w:lineRule="auto"/>
              <w:jc w:val="right"/>
              <w:rPr>
                <w:rFonts w:cs="Times New Roman"/>
                <w:color w:val="000000"/>
              </w:rPr>
            </w:pPr>
            <w:r w:rsidRPr="00203E93">
              <w:rPr>
                <w:rFonts w:cs="Times New Roman"/>
                <w:color w:val="000000"/>
              </w:rPr>
              <w:t>2.38</w:t>
            </w:r>
          </w:p>
        </w:tc>
        <w:tc>
          <w:tcPr>
            <w:tcW w:w="585" w:type="dxa"/>
            <w:tcBorders>
              <w:top w:val="nil"/>
              <w:left w:val="nil"/>
              <w:bottom w:val="single" w:sz="8" w:space="0" w:color="auto"/>
              <w:right w:val="nil"/>
            </w:tcBorders>
            <w:shd w:val="clear" w:color="auto" w:fill="auto"/>
            <w:noWrap/>
            <w:vAlign w:val="bottom"/>
            <w:hideMark/>
          </w:tcPr>
          <w:p w14:paraId="6DA1FA5B"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single" w:sz="8" w:space="0" w:color="auto"/>
              <w:right w:val="nil"/>
            </w:tcBorders>
            <w:shd w:val="clear" w:color="auto" w:fill="auto"/>
            <w:vAlign w:val="bottom"/>
            <w:hideMark/>
          </w:tcPr>
          <w:p w14:paraId="7A0E6440" w14:textId="77777777" w:rsidR="00596A40" w:rsidRPr="00203E93" w:rsidRDefault="00596A40" w:rsidP="00596A40">
            <w:pPr>
              <w:spacing w:line="240" w:lineRule="auto"/>
              <w:jc w:val="center"/>
              <w:rPr>
                <w:rFonts w:cs="Times New Roman"/>
                <w:color w:val="000000"/>
              </w:rPr>
            </w:pPr>
            <w:r w:rsidRPr="00203E93">
              <w:rPr>
                <w:rFonts w:cs="Times New Roman"/>
                <w:color w:val="000000"/>
              </w:rPr>
              <w:t>85%</w:t>
            </w:r>
          </w:p>
        </w:tc>
        <w:tc>
          <w:tcPr>
            <w:tcW w:w="952" w:type="dxa"/>
            <w:tcBorders>
              <w:top w:val="nil"/>
              <w:left w:val="nil"/>
              <w:bottom w:val="single" w:sz="8" w:space="0" w:color="auto"/>
              <w:right w:val="nil"/>
            </w:tcBorders>
            <w:shd w:val="clear" w:color="auto" w:fill="auto"/>
            <w:vAlign w:val="bottom"/>
            <w:hideMark/>
          </w:tcPr>
          <w:p w14:paraId="1528DA5F" w14:textId="77777777" w:rsidR="00596A40" w:rsidRPr="00203E93" w:rsidRDefault="00596A40" w:rsidP="00596A40">
            <w:pPr>
              <w:spacing w:line="240" w:lineRule="auto"/>
              <w:jc w:val="right"/>
              <w:rPr>
                <w:rFonts w:cs="Times New Roman"/>
                <w:color w:val="000000"/>
              </w:rPr>
            </w:pPr>
            <w:r w:rsidRPr="00203E93">
              <w:rPr>
                <w:rFonts w:cs="Times New Roman"/>
                <w:color w:val="000000"/>
              </w:rPr>
              <w:t>1.83</w:t>
            </w:r>
          </w:p>
        </w:tc>
        <w:tc>
          <w:tcPr>
            <w:tcW w:w="585" w:type="dxa"/>
            <w:tcBorders>
              <w:top w:val="nil"/>
              <w:left w:val="nil"/>
              <w:bottom w:val="single" w:sz="8" w:space="0" w:color="auto"/>
              <w:right w:val="nil"/>
            </w:tcBorders>
            <w:shd w:val="clear" w:color="auto" w:fill="auto"/>
            <w:noWrap/>
            <w:vAlign w:val="bottom"/>
            <w:hideMark/>
          </w:tcPr>
          <w:p w14:paraId="5B4E305F"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single" w:sz="8" w:space="0" w:color="auto"/>
              <w:right w:val="nil"/>
            </w:tcBorders>
            <w:shd w:val="clear" w:color="auto" w:fill="auto"/>
            <w:vAlign w:val="bottom"/>
            <w:hideMark/>
          </w:tcPr>
          <w:p w14:paraId="61A29FC0" w14:textId="77777777" w:rsidR="00596A40" w:rsidRPr="00203E93" w:rsidRDefault="00596A40" w:rsidP="00596A40">
            <w:pPr>
              <w:spacing w:line="240" w:lineRule="auto"/>
              <w:jc w:val="center"/>
              <w:rPr>
                <w:rFonts w:cs="Times New Roman"/>
                <w:color w:val="000000"/>
              </w:rPr>
            </w:pPr>
            <w:r w:rsidRPr="00203E93">
              <w:rPr>
                <w:rFonts w:cs="Times New Roman"/>
                <w:color w:val="000000"/>
              </w:rPr>
              <w:t>79%</w:t>
            </w:r>
          </w:p>
        </w:tc>
        <w:tc>
          <w:tcPr>
            <w:tcW w:w="675" w:type="dxa"/>
            <w:tcBorders>
              <w:top w:val="nil"/>
              <w:left w:val="nil"/>
              <w:bottom w:val="single" w:sz="8" w:space="0" w:color="auto"/>
              <w:right w:val="nil"/>
            </w:tcBorders>
            <w:shd w:val="clear" w:color="auto" w:fill="auto"/>
            <w:noWrap/>
            <w:vAlign w:val="bottom"/>
            <w:hideMark/>
          </w:tcPr>
          <w:p w14:paraId="36D77087" w14:textId="77777777" w:rsidR="00596A40" w:rsidRPr="00203E93" w:rsidRDefault="00596A40" w:rsidP="00596A40">
            <w:pPr>
              <w:spacing w:line="240" w:lineRule="auto"/>
              <w:jc w:val="right"/>
              <w:rPr>
                <w:rFonts w:cs="Times New Roman"/>
                <w:color w:val="000000"/>
              </w:rPr>
            </w:pPr>
            <w:r w:rsidRPr="00203E93">
              <w:rPr>
                <w:rFonts w:cs="Times New Roman"/>
                <w:color w:val="000000"/>
              </w:rPr>
              <w:t>2.03</w:t>
            </w:r>
          </w:p>
        </w:tc>
        <w:tc>
          <w:tcPr>
            <w:tcW w:w="585" w:type="dxa"/>
            <w:tcBorders>
              <w:top w:val="nil"/>
              <w:left w:val="nil"/>
              <w:bottom w:val="single" w:sz="8" w:space="0" w:color="auto"/>
              <w:right w:val="nil"/>
            </w:tcBorders>
            <w:shd w:val="clear" w:color="auto" w:fill="auto"/>
            <w:noWrap/>
            <w:vAlign w:val="bottom"/>
            <w:hideMark/>
          </w:tcPr>
          <w:p w14:paraId="0204B47A"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single" w:sz="8" w:space="0" w:color="auto"/>
              <w:right w:val="nil"/>
            </w:tcBorders>
            <w:shd w:val="clear" w:color="auto" w:fill="auto"/>
            <w:vAlign w:val="bottom"/>
            <w:hideMark/>
          </w:tcPr>
          <w:p w14:paraId="098C6019" w14:textId="77777777" w:rsidR="00596A40" w:rsidRPr="00203E93" w:rsidRDefault="00596A40" w:rsidP="00596A40">
            <w:pPr>
              <w:spacing w:line="240" w:lineRule="auto"/>
              <w:jc w:val="center"/>
              <w:rPr>
                <w:rFonts w:cs="Times New Roman"/>
                <w:color w:val="000000"/>
              </w:rPr>
            </w:pPr>
            <w:r w:rsidRPr="00203E93">
              <w:rPr>
                <w:rFonts w:cs="Times New Roman"/>
                <w:color w:val="000000"/>
              </w:rPr>
              <w:t>80%</w:t>
            </w:r>
          </w:p>
        </w:tc>
      </w:tr>
      <w:tr w:rsidR="00596A40" w:rsidRPr="00203E93" w14:paraId="312410F8" w14:textId="77777777" w:rsidTr="002B4489">
        <w:trPr>
          <w:trHeight w:val="315"/>
        </w:trPr>
        <w:tc>
          <w:tcPr>
            <w:tcW w:w="3016" w:type="dxa"/>
            <w:tcBorders>
              <w:top w:val="single" w:sz="8" w:space="0" w:color="auto"/>
              <w:left w:val="nil"/>
              <w:bottom w:val="nil"/>
              <w:right w:val="nil"/>
            </w:tcBorders>
            <w:shd w:val="clear" w:color="auto" w:fill="auto"/>
            <w:noWrap/>
            <w:vAlign w:val="bottom"/>
            <w:hideMark/>
          </w:tcPr>
          <w:p w14:paraId="26131E9B" w14:textId="77777777" w:rsidR="00596A40" w:rsidRPr="00203E93" w:rsidRDefault="00596A40" w:rsidP="00596A40">
            <w:pPr>
              <w:spacing w:line="240" w:lineRule="auto"/>
              <w:rPr>
                <w:rFonts w:cs="Times New Roman"/>
                <w:color w:val="000000"/>
              </w:rPr>
            </w:pPr>
          </w:p>
        </w:tc>
        <w:tc>
          <w:tcPr>
            <w:tcW w:w="6350" w:type="dxa"/>
            <w:gridSpan w:val="9"/>
            <w:tcBorders>
              <w:top w:val="single" w:sz="8" w:space="0" w:color="auto"/>
              <w:left w:val="nil"/>
              <w:bottom w:val="single" w:sz="4" w:space="0" w:color="auto"/>
              <w:right w:val="nil"/>
            </w:tcBorders>
            <w:shd w:val="clear" w:color="auto" w:fill="auto"/>
            <w:noWrap/>
            <w:vAlign w:val="bottom"/>
            <w:hideMark/>
          </w:tcPr>
          <w:p w14:paraId="4689D7AE" w14:textId="31801FD2" w:rsidR="00596A40" w:rsidRPr="00203E93" w:rsidRDefault="00B8390A" w:rsidP="00B8390A">
            <w:pPr>
              <w:spacing w:line="240" w:lineRule="auto"/>
              <w:jc w:val="center"/>
              <w:rPr>
                <w:rFonts w:cs="Times New Roman"/>
                <w:color w:val="000000"/>
              </w:rPr>
            </w:pPr>
            <w:r>
              <w:rPr>
                <w:rFonts w:cs="Times New Roman"/>
                <w:color w:val="000000"/>
              </w:rPr>
              <w:t>Leaf Width</w:t>
            </w:r>
            <w:r w:rsidR="00596A40" w:rsidRPr="00203E93">
              <w:rPr>
                <w:rFonts w:cs="Times New Roman"/>
                <w:color w:val="000000"/>
              </w:rPr>
              <w:t xml:space="preserve"> </w:t>
            </w:r>
          </w:p>
        </w:tc>
      </w:tr>
      <w:tr w:rsidR="00596A40" w:rsidRPr="00203E93" w14:paraId="3F000EE8" w14:textId="77777777" w:rsidTr="002B4489">
        <w:trPr>
          <w:trHeight w:val="330"/>
        </w:trPr>
        <w:tc>
          <w:tcPr>
            <w:tcW w:w="3016" w:type="dxa"/>
            <w:tcBorders>
              <w:top w:val="nil"/>
              <w:left w:val="nil"/>
              <w:bottom w:val="single" w:sz="8" w:space="0" w:color="auto"/>
              <w:right w:val="nil"/>
            </w:tcBorders>
            <w:shd w:val="clear" w:color="auto" w:fill="auto"/>
            <w:vAlign w:val="bottom"/>
            <w:hideMark/>
          </w:tcPr>
          <w:p w14:paraId="4FABBD01" w14:textId="77777777" w:rsidR="00596A40" w:rsidRPr="00203E93" w:rsidRDefault="00596A40" w:rsidP="00596A40">
            <w:pPr>
              <w:spacing w:line="240" w:lineRule="auto"/>
              <w:rPr>
                <w:rFonts w:cs="Times New Roman"/>
                <w:color w:val="000000"/>
              </w:rPr>
            </w:pPr>
            <w:r w:rsidRPr="00203E93">
              <w:rPr>
                <w:rFonts w:cs="Times New Roman"/>
                <w:color w:val="000000"/>
              </w:rPr>
              <w:t>Source of Variation</w:t>
            </w:r>
          </w:p>
        </w:tc>
        <w:tc>
          <w:tcPr>
            <w:tcW w:w="2241" w:type="dxa"/>
            <w:gridSpan w:val="3"/>
            <w:tcBorders>
              <w:top w:val="nil"/>
              <w:left w:val="nil"/>
              <w:bottom w:val="single" w:sz="8" w:space="0" w:color="auto"/>
              <w:right w:val="nil"/>
            </w:tcBorders>
            <w:shd w:val="clear" w:color="auto" w:fill="auto"/>
            <w:vAlign w:val="bottom"/>
            <w:hideMark/>
          </w:tcPr>
          <w:p w14:paraId="0A7EB113" w14:textId="77777777" w:rsidR="00596A40" w:rsidRPr="00203E93" w:rsidRDefault="00596A40" w:rsidP="00596A40">
            <w:pPr>
              <w:spacing w:line="240" w:lineRule="auto"/>
              <w:jc w:val="center"/>
              <w:rPr>
                <w:rFonts w:cs="Times New Roman"/>
                <w:color w:val="000000"/>
              </w:rPr>
            </w:pPr>
            <w:r w:rsidRPr="00203E93">
              <w:rPr>
                <w:rFonts w:cs="Times New Roman"/>
                <w:color w:val="000000"/>
              </w:rPr>
              <w:t>2013</w:t>
            </w:r>
          </w:p>
        </w:tc>
        <w:tc>
          <w:tcPr>
            <w:tcW w:w="2193" w:type="dxa"/>
            <w:gridSpan w:val="3"/>
            <w:tcBorders>
              <w:top w:val="nil"/>
              <w:left w:val="nil"/>
              <w:bottom w:val="single" w:sz="8" w:space="0" w:color="auto"/>
              <w:right w:val="nil"/>
            </w:tcBorders>
            <w:shd w:val="clear" w:color="auto" w:fill="auto"/>
            <w:vAlign w:val="bottom"/>
            <w:hideMark/>
          </w:tcPr>
          <w:p w14:paraId="395BD3FC" w14:textId="77777777" w:rsidR="00596A40" w:rsidRPr="00203E93" w:rsidRDefault="00596A40" w:rsidP="00596A40">
            <w:pPr>
              <w:spacing w:line="240" w:lineRule="auto"/>
              <w:jc w:val="center"/>
              <w:rPr>
                <w:rFonts w:cs="Times New Roman"/>
                <w:color w:val="000000"/>
              </w:rPr>
            </w:pPr>
            <w:r w:rsidRPr="00203E93">
              <w:rPr>
                <w:rFonts w:cs="Times New Roman"/>
                <w:color w:val="000000"/>
              </w:rPr>
              <w:t>2014</w:t>
            </w:r>
          </w:p>
        </w:tc>
        <w:tc>
          <w:tcPr>
            <w:tcW w:w="1916" w:type="dxa"/>
            <w:gridSpan w:val="3"/>
            <w:tcBorders>
              <w:top w:val="nil"/>
              <w:left w:val="nil"/>
              <w:bottom w:val="single" w:sz="8" w:space="0" w:color="auto"/>
              <w:right w:val="nil"/>
            </w:tcBorders>
            <w:shd w:val="clear" w:color="auto" w:fill="auto"/>
            <w:vAlign w:val="bottom"/>
            <w:hideMark/>
          </w:tcPr>
          <w:p w14:paraId="12E0393A" w14:textId="77777777" w:rsidR="00596A40" w:rsidRPr="00203E93" w:rsidRDefault="00596A40" w:rsidP="00596A40">
            <w:pPr>
              <w:spacing w:line="240" w:lineRule="auto"/>
              <w:jc w:val="center"/>
              <w:rPr>
                <w:rFonts w:cs="Times New Roman"/>
                <w:color w:val="000000"/>
              </w:rPr>
            </w:pPr>
            <w:r w:rsidRPr="00203E93">
              <w:rPr>
                <w:rFonts w:cs="Times New Roman"/>
                <w:color w:val="000000"/>
              </w:rPr>
              <w:t>Combined</w:t>
            </w:r>
          </w:p>
        </w:tc>
      </w:tr>
      <w:tr w:rsidR="00596A40" w:rsidRPr="00203E93" w14:paraId="636905F0" w14:textId="77777777" w:rsidTr="002B4489">
        <w:trPr>
          <w:trHeight w:val="315"/>
        </w:trPr>
        <w:tc>
          <w:tcPr>
            <w:tcW w:w="3016" w:type="dxa"/>
            <w:tcBorders>
              <w:top w:val="nil"/>
              <w:left w:val="nil"/>
              <w:bottom w:val="nil"/>
              <w:right w:val="nil"/>
            </w:tcBorders>
            <w:shd w:val="clear" w:color="auto" w:fill="auto"/>
            <w:noWrap/>
            <w:vAlign w:val="bottom"/>
            <w:hideMark/>
          </w:tcPr>
          <w:p w14:paraId="0048B3E6" w14:textId="77777777" w:rsidR="00596A40" w:rsidRPr="00203E93" w:rsidRDefault="00596A40" w:rsidP="00596A40">
            <w:pPr>
              <w:spacing w:line="240" w:lineRule="auto"/>
              <w:rPr>
                <w:rFonts w:cs="Times New Roman"/>
                <w:color w:val="000000"/>
              </w:rPr>
            </w:pPr>
            <w:r w:rsidRPr="00203E93">
              <w:rPr>
                <w:rFonts w:cs="Times New Roman"/>
                <w:color w:val="000000"/>
              </w:rPr>
              <w:t>GCA</w:t>
            </w:r>
          </w:p>
        </w:tc>
        <w:tc>
          <w:tcPr>
            <w:tcW w:w="1000" w:type="dxa"/>
            <w:tcBorders>
              <w:top w:val="nil"/>
              <w:left w:val="nil"/>
              <w:bottom w:val="nil"/>
              <w:right w:val="nil"/>
            </w:tcBorders>
            <w:shd w:val="clear" w:color="auto" w:fill="auto"/>
            <w:vAlign w:val="bottom"/>
            <w:hideMark/>
          </w:tcPr>
          <w:p w14:paraId="002A3B53" w14:textId="77777777" w:rsidR="00596A40" w:rsidRPr="00203E93" w:rsidRDefault="00596A40" w:rsidP="00596A40">
            <w:pPr>
              <w:spacing w:line="240" w:lineRule="auto"/>
              <w:jc w:val="right"/>
              <w:rPr>
                <w:rFonts w:cs="Times New Roman"/>
                <w:color w:val="000000"/>
              </w:rPr>
            </w:pPr>
            <w:r w:rsidRPr="00203E93">
              <w:rPr>
                <w:rFonts w:cs="Times New Roman"/>
                <w:color w:val="000000"/>
              </w:rPr>
              <w:t>0.35</w:t>
            </w:r>
          </w:p>
        </w:tc>
        <w:tc>
          <w:tcPr>
            <w:tcW w:w="585" w:type="dxa"/>
            <w:tcBorders>
              <w:top w:val="nil"/>
              <w:left w:val="nil"/>
              <w:bottom w:val="nil"/>
              <w:right w:val="nil"/>
            </w:tcBorders>
            <w:shd w:val="clear" w:color="auto" w:fill="auto"/>
            <w:noWrap/>
            <w:vAlign w:val="bottom"/>
            <w:hideMark/>
          </w:tcPr>
          <w:p w14:paraId="6F329E8A"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nil"/>
              <w:right w:val="nil"/>
            </w:tcBorders>
            <w:shd w:val="clear" w:color="auto" w:fill="auto"/>
            <w:vAlign w:val="bottom"/>
            <w:hideMark/>
          </w:tcPr>
          <w:p w14:paraId="03F915FA" w14:textId="77777777" w:rsidR="00596A40" w:rsidRPr="00203E93" w:rsidRDefault="00596A40" w:rsidP="00596A40">
            <w:pPr>
              <w:spacing w:line="240" w:lineRule="auto"/>
              <w:jc w:val="center"/>
              <w:rPr>
                <w:rFonts w:cs="Times New Roman"/>
                <w:color w:val="000000"/>
              </w:rPr>
            </w:pPr>
            <w:r w:rsidRPr="00203E93">
              <w:rPr>
                <w:rFonts w:cs="Times New Roman"/>
                <w:color w:val="000000"/>
              </w:rPr>
              <w:t>7%</w:t>
            </w:r>
          </w:p>
        </w:tc>
        <w:tc>
          <w:tcPr>
            <w:tcW w:w="952" w:type="dxa"/>
            <w:tcBorders>
              <w:top w:val="nil"/>
              <w:left w:val="nil"/>
              <w:bottom w:val="nil"/>
              <w:right w:val="nil"/>
            </w:tcBorders>
            <w:shd w:val="clear" w:color="auto" w:fill="auto"/>
            <w:vAlign w:val="bottom"/>
            <w:hideMark/>
          </w:tcPr>
          <w:p w14:paraId="05CCBD5D" w14:textId="77777777" w:rsidR="00596A40" w:rsidRPr="00203E93" w:rsidRDefault="00596A40" w:rsidP="00596A40">
            <w:pPr>
              <w:spacing w:line="240" w:lineRule="auto"/>
              <w:jc w:val="right"/>
              <w:rPr>
                <w:rFonts w:cs="Times New Roman"/>
                <w:color w:val="000000"/>
              </w:rPr>
            </w:pPr>
            <w:r w:rsidRPr="00203E93">
              <w:rPr>
                <w:rFonts w:cs="Times New Roman"/>
                <w:color w:val="000000"/>
              </w:rPr>
              <w:t>0.49</w:t>
            </w:r>
          </w:p>
        </w:tc>
        <w:tc>
          <w:tcPr>
            <w:tcW w:w="585" w:type="dxa"/>
            <w:tcBorders>
              <w:top w:val="nil"/>
              <w:left w:val="nil"/>
              <w:bottom w:val="nil"/>
              <w:right w:val="nil"/>
            </w:tcBorders>
            <w:shd w:val="clear" w:color="auto" w:fill="auto"/>
            <w:noWrap/>
            <w:vAlign w:val="bottom"/>
            <w:hideMark/>
          </w:tcPr>
          <w:p w14:paraId="1A894C57"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nil"/>
              <w:right w:val="nil"/>
            </w:tcBorders>
            <w:shd w:val="clear" w:color="auto" w:fill="auto"/>
            <w:vAlign w:val="bottom"/>
            <w:hideMark/>
          </w:tcPr>
          <w:p w14:paraId="204257E2" w14:textId="77777777" w:rsidR="00596A40" w:rsidRPr="00203E93" w:rsidRDefault="00596A40" w:rsidP="00596A40">
            <w:pPr>
              <w:spacing w:line="240" w:lineRule="auto"/>
              <w:jc w:val="center"/>
              <w:rPr>
                <w:rFonts w:cs="Times New Roman"/>
                <w:color w:val="000000"/>
              </w:rPr>
            </w:pPr>
            <w:r w:rsidRPr="00203E93">
              <w:rPr>
                <w:rFonts w:cs="Times New Roman"/>
                <w:color w:val="000000"/>
              </w:rPr>
              <w:t>9%</w:t>
            </w:r>
          </w:p>
        </w:tc>
        <w:tc>
          <w:tcPr>
            <w:tcW w:w="675" w:type="dxa"/>
            <w:tcBorders>
              <w:top w:val="nil"/>
              <w:left w:val="nil"/>
              <w:bottom w:val="nil"/>
              <w:right w:val="nil"/>
            </w:tcBorders>
            <w:shd w:val="clear" w:color="auto" w:fill="auto"/>
            <w:noWrap/>
            <w:vAlign w:val="bottom"/>
            <w:hideMark/>
          </w:tcPr>
          <w:p w14:paraId="2C324E5F" w14:textId="77777777" w:rsidR="00596A40" w:rsidRPr="00203E93" w:rsidRDefault="00596A40" w:rsidP="00596A40">
            <w:pPr>
              <w:spacing w:line="240" w:lineRule="auto"/>
              <w:jc w:val="right"/>
              <w:rPr>
                <w:rFonts w:cs="Times New Roman"/>
                <w:color w:val="000000"/>
              </w:rPr>
            </w:pPr>
            <w:r w:rsidRPr="00203E93">
              <w:rPr>
                <w:rFonts w:cs="Times New Roman"/>
                <w:color w:val="000000"/>
              </w:rPr>
              <w:t>0.37</w:t>
            </w:r>
          </w:p>
        </w:tc>
        <w:tc>
          <w:tcPr>
            <w:tcW w:w="585" w:type="dxa"/>
            <w:tcBorders>
              <w:top w:val="nil"/>
              <w:left w:val="nil"/>
              <w:bottom w:val="nil"/>
              <w:right w:val="nil"/>
            </w:tcBorders>
            <w:shd w:val="clear" w:color="auto" w:fill="auto"/>
            <w:noWrap/>
            <w:vAlign w:val="bottom"/>
            <w:hideMark/>
          </w:tcPr>
          <w:p w14:paraId="20F5611D"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009B5DC5" w14:textId="77777777" w:rsidR="00596A40" w:rsidRPr="00203E93" w:rsidRDefault="00596A40" w:rsidP="00596A40">
            <w:pPr>
              <w:spacing w:line="240" w:lineRule="auto"/>
              <w:jc w:val="center"/>
              <w:rPr>
                <w:rFonts w:cs="Times New Roman"/>
                <w:color w:val="000000"/>
              </w:rPr>
            </w:pPr>
            <w:r w:rsidRPr="00203E93">
              <w:rPr>
                <w:rFonts w:cs="Times New Roman"/>
                <w:color w:val="000000"/>
              </w:rPr>
              <w:t>7%</w:t>
            </w:r>
          </w:p>
        </w:tc>
      </w:tr>
      <w:tr w:rsidR="00596A40" w:rsidRPr="00203E93" w14:paraId="34FF4961" w14:textId="77777777" w:rsidTr="002B4489">
        <w:trPr>
          <w:trHeight w:val="405"/>
        </w:trPr>
        <w:tc>
          <w:tcPr>
            <w:tcW w:w="3016" w:type="dxa"/>
            <w:tcBorders>
              <w:top w:val="nil"/>
              <w:left w:val="nil"/>
              <w:bottom w:val="nil"/>
              <w:right w:val="nil"/>
            </w:tcBorders>
            <w:shd w:val="clear" w:color="auto" w:fill="auto"/>
            <w:noWrap/>
            <w:vAlign w:val="bottom"/>
            <w:hideMark/>
          </w:tcPr>
          <w:p w14:paraId="4F15AAF2" w14:textId="77777777" w:rsidR="00596A40" w:rsidRPr="00203E93" w:rsidRDefault="00596A40" w:rsidP="00596A40">
            <w:pPr>
              <w:spacing w:line="240" w:lineRule="auto"/>
              <w:rPr>
                <w:rFonts w:cs="Times New Roman"/>
                <w:color w:val="000000"/>
              </w:rPr>
            </w:pPr>
            <w:r w:rsidRPr="00203E93">
              <w:rPr>
                <w:rFonts w:cs="Times New Roman"/>
                <w:color w:val="000000"/>
              </w:rPr>
              <w:t>SCA</w:t>
            </w:r>
          </w:p>
        </w:tc>
        <w:tc>
          <w:tcPr>
            <w:tcW w:w="1000" w:type="dxa"/>
            <w:tcBorders>
              <w:top w:val="nil"/>
              <w:left w:val="nil"/>
              <w:bottom w:val="nil"/>
              <w:right w:val="nil"/>
            </w:tcBorders>
            <w:shd w:val="clear" w:color="auto" w:fill="auto"/>
            <w:vAlign w:val="bottom"/>
            <w:hideMark/>
          </w:tcPr>
          <w:p w14:paraId="0D4BD44B" w14:textId="77777777" w:rsidR="00596A40" w:rsidRPr="00203E93" w:rsidRDefault="00596A40" w:rsidP="00596A40">
            <w:pPr>
              <w:spacing w:line="240" w:lineRule="auto"/>
              <w:jc w:val="right"/>
              <w:rPr>
                <w:rFonts w:cs="Times New Roman"/>
                <w:color w:val="000000"/>
              </w:rPr>
            </w:pPr>
            <w:r w:rsidRPr="00203E93">
              <w:rPr>
                <w:rFonts w:cs="Times New Roman"/>
                <w:color w:val="000000"/>
              </w:rPr>
              <w:t>0.26</w:t>
            </w:r>
          </w:p>
        </w:tc>
        <w:tc>
          <w:tcPr>
            <w:tcW w:w="585" w:type="dxa"/>
            <w:tcBorders>
              <w:top w:val="nil"/>
              <w:left w:val="nil"/>
              <w:bottom w:val="nil"/>
              <w:right w:val="nil"/>
            </w:tcBorders>
            <w:shd w:val="clear" w:color="auto" w:fill="auto"/>
            <w:noWrap/>
            <w:vAlign w:val="bottom"/>
            <w:hideMark/>
          </w:tcPr>
          <w:p w14:paraId="311BF493"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nil"/>
              <w:right w:val="nil"/>
            </w:tcBorders>
            <w:shd w:val="clear" w:color="auto" w:fill="auto"/>
            <w:vAlign w:val="bottom"/>
            <w:hideMark/>
          </w:tcPr>
          <w:p w14:paraId="18826F24" w14:textId="77777777" w:rsidR="00596A40" w:rsidRPr="00203E93" w:rsidRDefault="00596A40" w:rsidP="00596A40">
            <w:pPr>
              <w:spacing w:line="240" w:lineRule="auto"/>
              <w:jc w:val="center"/>
              <w:rPr>
                <w:rFonts w:cs="Times New Roman"/>
                <w:color w:val="000000"/>
              </w:rPr>
            </w:pPr>
            <w:r w:rsidRPr="00203E93">
              <w:rPr>
                <w:rFonts w:cs="Times New Roman"/>
                <w:color w:val="000000"/>
              </w:rPr>
              <w:t>5%</w:t>
            </w:r>
          </w:p>
        </w:tc>
        <w:tc>
          <w:tcPr>
            <w:tcW w:w="952" w:type="dxa"/>
            <w:tcBorders>
              <w:top w:val="nil"/>
              <w:left w:val="nil"/>
              <w:bottom w:val="nil"/>
              <w:right w:val="nil"/>
            </w:tcBorders>
            <w:shd w:val="clear" w:color="auto" w:fill="auto"/>
            <w:vAlign w:val="bottom"/>
            <w:hideMark/>
          </w:tcPr>
          <w:p w14:paraId="5EEE7358" w14:textId="77777777" w:rsidR="00596A40" w:rsidRPr="00203E93" w:rsidRDefault="00596A40" w:rsidP="00596A40">
            <w:pPr>
              <w:spacing w:line="240" w:lineRule="auto"/>
              <w:jc w:val="right"/>
              <w:rPr>
                <w:rFonts w:cs="Times New Roman"/>
                <w:color w:val="000000"/>
              </w:rPr>
            </w:pPr>
            <w:r w:rsidRPr="00203E93">
              <w:rPr>
                <w:rFonts w:cs="Times New Roman"/>
                <w:color w:val="000000"/>
              </w:rPr>
              <w:t>0.36</w:t>
            </w:r>
          </w:p>
        </w:tc>
        <w:tc>
          <w:tcPr>
            <w:tcW w:w="585" w:type="dxa"/>
            <w:tcBorders>
              <w:top w:val="nil"/>
              <w:left w:val="nil"/>
              <w:bottom w:val="nil"/>
              <w:right w:val="nil"/>
            </w:tcBorders>
            <w:shd w:val="clear" w:color="auto" w:fill="auto"/>
            <w:noWrap/>
            <w:vAlign w:val="bottom"/>
            <w:hideMark/>
          </w:tcPr>
          <w:p w14:paraId="7CCBEACE"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nil"/>
              <w:right w:val="nil"/>
            </w:tcBorders>
            <w:shd w:val="clear" w:color="auto" w:fill="auto"/>
            <w:vAlign w:val="bottom"/>
            <w:hideMark/>
          </w:tcPr>
          <w:p w14:paraId="35FBD9FF" w14:textId="77777777" w:rsidR="00596A40" w:rsidRPr="00203E93" w:rsidRDefault="00596A40" w:rsidP="00596A40">
            <w:pPr>
              <w:spacing w:line="240" w:lineRule="auto"/>
              <w:jc w:val="center"/>
              <w:rPr>
                <w:rFonts w:cs="Times New Roman"/>
                <w:color w:val="000000"/>
              </w:rPr>
            </w:pPr>
            <w:r w:rsidRPr="00203E93">
              <w:rPr>
                <w:rFonts w:cs="Times New Roman"/>
                <w:color w:val="000000"/>
              </w:rPr>
              <w:t>7%</w:t>
            </w:r>
          </w:p>
        </w:tc>
        <w:tc>
          <w:tcPr>
            <w:tcW w:w="675" w:type="dxa"/>
            <w:tcBorders>
              <w:top w:val="nil"/>
              <w:left w:val="nil"/>
              <w:bottom w:val="nil"/>
              <w:right w:val="nil"/>
            </w:tcBorders>
            <w:shd w:val="clear" w:color="auto" w:fill="auto"/>
            <w:noWrap/>
            <w:vAlign w:val="bottom"/>
            <w:hideMark/>
          </w:tcPr>
          <w:p w14:paraId="19E6DA8A" w14:textId="77777777" w:rsidR="00596A40" w:rsidRPr="00203E93" w:rsidRDefault="00596A40" w:rsidP="00596A40">
            <w:pPr>
              <w:spacing w:line="240" w:lineRule="auto"/>
              <w:jc w:val="right"/>
              <w:rPr>
                <w:rFonts w:cs="Times New Roman"/>
                <w:color w:val="000000"/>
              </w:rPr>
            </w:pPr>
            <w:r w:rsidRPr="00203E93">
              <w:rPr>
                <w:rFonts w:cs="Times New Roman"/>
                <w:color w:val="000000"/>
              </w:rPr>
              <w:t>0.27</w:t>
            </w:r>
          </w:p>
        </w:tc>
        <w:tc>
          <w:tcPr>
            <w:tcW w:w="585" w:type="dxa"/>
            <w:tcBorders>
              <w:top w:val="nil"/>
              <w:left w:val="nil"/>
              <w:bottom w:val="nil"/>
              <w:right w:val="nil"/>
            </w:tcBorders>
            <w:shd w:val="clear" w:color="auto" w:fill="auto"/>
            <w:noWrap/>
            <w:vAlign w:val="bottom"/>
            <w:hideMark/>
          </w:tcPr>
          <w:p w14:paraId="485A9DE0"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nil"/>
              <w:right w:val="nil"/>
            </w:tcBorders>
            <w:shd w:val="clear" w:color="auto" w:fill="auto"/>
            <w:vAlign w:val="bottom"/>
            <w:hideMark/>
          </w:tcPr>
          <w:p w14:paraId="576767A0" w14:textId="77777777" w:rsidR="00596A40" w:rsidRPr="00203E93" w:rsidRDefault="00596A40" w:rsidP="00596A40">
            <w:pPr>
              <w:spacing w:line="240" w:lineRule="auto"/>
              <w:jc w:val="center"/>
              <w:rPr>
                <w:rFonts w:cs="Times New Roman"/>
                <w:color w:val="000000"/>
              </w:rPr>
            </w:pPr>
            <w:r w:rsidRPr="00203E93">
              <w:rPr>
                <w:rFonts w:cs="Times New Roman"/>
                <w:color w:val="000000"/>
              </w:rPr>
              <w:t>5%</w:t>
            </w:r>
          </w:p>
        </w:tc>
      </w:tr>
      <w:tr w:rsidR="00596A40" w:rsidRPr="00203E93" w14:paraId="4427B927" w14:textId="77777777" w:rsidTr="002B4489">
        <w:trPr>
          <w:trHeight w:val="420"/>
        </w:trPr>
        <w:tc>
          <w:tcPr>
            <w:tcW w:w="3016" w:type="dxa"/>
            <w:tcBorders>
              <w:top w:val="nil"/>
              <w:left w:val="nil"/>
              <w:bottom w:val="nil"/>
              <w:right w:val="nil"/>
            </w:tcBorders>
            <w:shd w:val="clear" w:color="auto" w:fill="auto"/>
            <w:noWrap/>
            <w:vAlign w:val="bottom"/>
            <w:hideMark/>
          </w:tcPr>
          <w:p w14:paraId="40AEE96D" w14:textId="77777777" w:rsidR="00596A40" w:rsidRPr="00203E93" w:rsidRDefault="00596A40" w:rsidP="00596A40">
            <w:pPr>
              <w:spacing w:line="240" w:lineRule="auto"/>
              <w:rPr>
                <w:rFonts w:cs="Times New Roman"/>
                <w:color w:val="000000"/>
              </w:rPr>
            </w:pPr>
            <w:r w:rsidRPr="00203E93">
              <w:rPr>
                <w:rFonts w:cs="Times New Roman"/>
                <w:color w:val="000000"/>
              </w:rPr>
              <w:t>GCA*Year</w:t>
            </w:r>
          </w:p>
        </w:tc>
        <w:tc>
          <w:tcPr>
            <w:tcW w:w="1000" w:type="dxa"/>
            <w:tcBorders>
              <w:top w:val="nil"/>
              <w:left w:val="nil"/>
              <w:bottom w:val="nil"/>
              <w:right w:val="nil"/>
            </w:tcBorders>
            <w:shd w:val="clear" w:color="auto" w:fill="auto"/>
            <w:vAlign w:val="bottom"/>
            <w:hideMark/>
          </w:tcPr>
          <w:p w14:paraId="113DD69D" w14:textId="77777777" w:rsidR="00596A40" w:rsidRPr="00203E93" w:rsidRDefault="00596A40" w:rsidP="00596A40">
            <w:pPr>
              <w:spacing w:line="240" w:lineRule="auto"/>
              <w:jc w:val="right"/>
              <w:rPr>
                <w:rFonts w:cs="Times New Roman"/>
                <w:color w:val="000000"/>
              </w:rPr>
            </w:pPr>
          </w:p>
        </w:tc>
        <w:tc>
          <w:tcPr>
            <w:tcW w:w="585" w:type="dxa"/>
            <w:tcBorders>
              <w:top w:val="nil"/>
              <w:left w:val="nil"/>
              <w:bottom w:val="nil"/>
              <w:right w:val="nil"/>
            </w:tcBorders>
            <w:shd w:val="clear" w:color="auto" w:fill="auto"/>
            <w:noWrap/>
            <w:vAlign w:val="bottom"/>
            <w:hideMark/>
          </w:tcPr>
          <w:p w14:paraId="0C5EFA9D" w14:textId="77777777" w:rsidR="00596A40" w:rsidRPr="00203E93" w:rsidRDefault="00596A40" w:rsidP="00596A40">
            <w:pPr>
              <w:spacing w:line="240" w:lineRule="auto"/>
              <w:rPr>
                <w:rFonts w:cs="Times New Roman"/>
                <w:color w:val="000000"/>
              </w:rPr>
            </w:pPr>
          </w:p>
        </w:tc>
        <w:tc>
          <w:tcPr>
            <w:tcW w:w="656" w:type="dxa"/>
            <w:tcBorders>
              <w:top w:val="nil"/>
              <w:left w:val="nil"/>
              <w:bottom w:val="nil"/>
              <w:right w:val="nil"/>
            </w:tcBorders>
            <w:shd w:val="clear" w:color="auto" w:fill="auto"/>
            <w:vAlign w:val="bottom"/>
            <w:hideMark/>
          </w:tcPr>
          <w:p w14:paraId="32C107A4" w14:textId="77777777" w:rsidR="00596A40" w:rsidRPr="00203E93" w:rsidRDefault="00596A40" w:rsidP="00596A40">
            <w:pPr>
              <w:spacing w:line="240" w:lineRule="auto"/>
              <w:jc w:val="center"/>
              <w:rPr>
                <w:rFonts w:cs="Times New Roman"/>
                <w:color w:val="000000"/>
              </w:rPr>
            </w:pPr>
          </w:p>
        </w:tc>
        <w:tc>
          <w:tcPr>
            <w:tcW w:w="952" w:type="dxa"/>
            <w:tcBorders>
              <w:top w:val="nil"/>
              <w:left w:val="nil"/>
              <w:bottom w:val="nil"/>
              <w:right w:val="nil"/>
            </w:tcBorders>
            <w:shd w:val="clear" w:color="auto" w:fill="auto"/>
            <w:vAlign w:val="bottom"/>
            <w:hideMark/>
          </w:tcPr>
          <w:p w14:paraId="324EF7AB" w14:textId="77777777" w:rsidR="00596A40" w:rsidRPr="00203E93" w:rsidRDefault="00596A40" w:rsidP="00596A40">
            <w:pPr>
              <w:spacing w:line="240" w:lineRule="auto"/>
              <w:jc w:val="right"/>
              <w:rPr>
                <w:rFonts w:cs="Times New Roman"/>
                <w:color w:val="000000"/>
              </w:rPr>
            </w:pPr>
          </w:p>
        </w:tc>
        <w:tc>
          <w:tcPr>
            <w:tcW w:w="585" w:type="dxa"/>
            <w:tcBorders>
              <w:top w:val="nil"/>
              <w:left w:val="nil"/>
              <w:bottom w:val="nil"/>
              <w:right w:val="nil"/>
            </w:tcBorders>
            <w:shd w:val="clear" w:color="auto" w:fill="auto"/>
            <w:noWrap/>
            <w:vAlign w:val="bottom"/>
            <w:hideMark/>
          </w:tcPr>
          <w:p w14:paraId="1A8033D7" w14:textId="77777777" w:rsidR="00596A40" w:rsidRPr="00203E93" w:rsidRDefault="00596A40" w:rsidP="00596A40">
            <w:pPr>
              <w:spacing w:line="240" w:lineRule="auto"/>
              <w:rPr>
                <w:rFonts w:cs="Times New Roman"/>
                <w:color w:val="000000"/>
              </w:rPr>
            </w:pPr>
          </w:p>
        </w:tc>
        <w:tc>
          <w:tcPr>
            <w:tcW w:w="656" w:type="dxa"/>
            <w:tcBorders>
              <w:top w:val="nil"/>
              <w:left w:val="nil"/>
              <w:bottom w:val="nil"/>
              <w:right w:val="nil"/>
            </w:tcBorders>
            <w:shd w:val="clear" w:color="auto" w:fill="auto"/>
            <w:vAlign w:val="bottom"/>
            <w:hideMark/>
          </w:tcPr>
          <w:p w14:paraId="435174FB" w14:textId="77777777" w:rsidR="00596A40" w:rsidRPr="00203E93" w:rsidRDefault="00596A40" w:rsidP="00596A40">
            <w:pPr>
              <w:spacing w:line="240" w:lineRule="auto"/>
              <w:jc w:val="center"/>
              <w:rPr>
                <w:rFonts w:cs="Times New Roman"/>
                <w:color w:val="000000"/>
              </w:rPr>
            </w:pPr>
          </w:p>
        </w:tc>
        <w:tc>
          <w:tcPr>
            <w:tcW w:w="675" w:type="dxa"/>
            <w:tcBorders>
              <w:top w:val="nil"/>
              <w:left w:val="nil"/>
              <w:bottom w:val="nil"/>
              <w:right w:val="nil"/>
            </w:tcBorders>
            <w:shd w:val="clear" w:color="auto" w:fill="auto"/>
            <w:noWrap/>
            <w:vAlign w:val="bottom"/>
            <w:hideMark/>
          </w:tcPr>
          <w:p w14:paraId="27018BAA" w14:textId="77777777" w:rsidR="00596A40" w:rsidRPr="00203E93" w:rsidRDefault="00596A40" w:rsidP="00596A40">
            <w:pPr>
              <w:spacing w:line="240" w:lineRule="auto"/>
              <w:jc w:val="right"/>
              <w:rPr>
                <w:rFonts w:cs="Times New Roman"/>
                <w:color w:val="000000"/>
              </w:rPr>
            </w:pPr>
            <w:r w:rsidRPr="00203E93">
              <w:rPr>
                <w:rFonts w:cs="Times New Roman"/>
                <w:color w:val="000000"/>
              </w:rPr>
              <w:t>0.05</w:t>
            </w:r>
          </w:p>
        </w:tc>
        <w:tc>
          <w:tcPr>
            <w:tcW w:w="585" w:type="dxa"/>
            <w:tcBorders>
              <w:top w:val="nil"/>
              <w:left w:val="nil"/>
              <w:bottom w:val="nil"/>
              <w:right w:val="nil"/>
            </w:tcBorders>
            <w:shd w:val="clear" w:color="auto" w:fill="auto"/>
            <w:noWrap/>
            <w:vAlign w:val="bottom"/>
            <w:hideMark/>
          </w:tcPr>
          <w:p w14:paraId="0157C15E"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1EA1E700" w14:textId="77777777" w:rsidR="00596A40" w:rsidRPr="00203E93" w:rsidRDefault="00596A40" w:rsidP="00596A40">
            <w:pPr>
              <w:spacing w:line="240" w:lineRule="auto"/>
              <w:jc w:val="center"/>
              <w:rPr>
                <w:rFonts w:cs="Times New Roman"/>
                <w:color w:val="000000"/>
              </w:rPr>
            </w:pPr>
            <w:r w:rsidRPr="00203E93">
              <w:rPr>
                <w:rFonts w:cs="Times New Roman"/>
                <w:color w:val="000000"/>
              </w:rPr>
              <w:t>1%</w:t>
            </w:r>
          </w:p>
        </w:tc>
      </w:tr>
      <w:tr w:rsidR="00596A40" w:rsidRPr="00203E93" w14:paraId="270DC2CE" w14:textId="77777777" w:rsidTr="002B4489">
        <w:trPr>
          <w:trHeight w:val="315"/>
        </w:trPr>
        <w:tc>
          <w:tcPr>
            <w:tcW w:w="3016" w:type="dxa"/>
            <w:tcBorders>
              <w:top w:val="nil"/>
              <w:left w:val="nil"/>
              <w:bottom w:val="nil"/>
              <w:right w:val="nil"/>
            </w:tcBorders>
            <w:shd w:val="clear" w:color="auto" w:fill="auto"/>
            <w:noWrap/>
            <w:vAlign w:val="bottom"/>
            <w:hideMark/>
          </w:tcPr>
          <w:p w14:paraId="42F6DD74" w14:textId="77777777" w:rsidR="00596A40" w:rsidRPr="00203E93" w:rsidRDefault="00596A40" w:rsidP="00596A40">
            <w:pPr>
              <w:spacing w:line="240" w:lineRule="auto"/>
              <w:rPr>
                <w:rFonts w:cs="Times New Roman"/>
                <w:color w:val="000000"/>
              </w:rPr>
            </w:pPr>
            <w:r w:rsidRPr="00203E93">
              <w:rPr>
                <w:rFonts w:cs="Times New Roman"/>
                <w:color w:val="000000"/>
              </w:rPr>
              <w:t>SCA*Year</w:t>
            </w:r>
          </w:p>
        </w:tc>
        <w:tc>
          <w:tcPr>
            <w:tcW w:w="1000" w:type="dxa"/>
            <w:tcBorders>
              <w:top w:val="nil"/>
              <w:left w:val="nil"/>
              <w:bottom w:val="nil"/>
              <w:right w:val="nil"/>
            </w:tcBorders>
            <w:shd w:val="clear" w:color="auto" w:fill="auto"/>
            <w:vAlign w:val="bottom"/>
            <w:hideMark/>
          </w:tcPr>
          <w:p w14:paraId="139A89DA" w14:textId="77777777" w:rsidR="00596A40" w:rsidRPr="00203E93" w:rsidRDefault="00596A40" w:rsidP="00596A40">
            <w:pPr>
              <w:spacing w:line="240" w:lineRule="auto"/>
              <w:jc w:val="right"/>
              <w:rPr>
                <w:rFonts w:cs="Times New Roman"/>
                <w:color w:val="000000"/>
              </w:rPr>
            </w:pPr>
          </w:p>
        </w:tc>
        <w:tc>
          <w:tcPr>
            <w:tcW w:w="585" w:type="dxa"/>
            <w:tcBorders>
              <w:top w:val="nil"/>
              <w:left w:val="nil"/>
              <w:bottom w:val="nil"/>
              <w:right w:val="nil"/>
            </w:tcBorders>
            <w:shd w:val="clear" w:color="auto" w:fill="auto"/>
            <w:noWrap/>
            <w:vAlign w:val="bottom"/>
            <w:hideMark/>
          </w:tcPr>
          <w:p w14:paraId="2AA73A73" w14:textId="77777777" w:rsidR="00596A40" w:rsidRPr="00203E93" w:rsidRDefault="00596A40" w:rsidP="00596A40">
            <w:pPr>
              <w:spacing w:line="240" w:lineRule="auto"/>
              <w:rPr>
                <w:rFonts w:cs="Times New Roman"/>
                <w:color w:val="000000"/>
              </w:rPr>
            </w:pPr>
          </w:p>
        </w:tc>
        <w:tc>
          <w:tcPr>
            <w:tcW w:w="656" w:type="dxa"/>
            <w:tcBorders>
              <w:top w:val="nil"/>
              <w:left w:val="nil"/>
              <w:bottom w:val="nil"/>
              <w:right w:val="nil"/>
            </w:tcBorders>
            <w:shd w:val="clear" w:color="auto" w:fill="auto"/>
            <w:vAlign w:val="bottom"/>
            <w:hideMark/>
          </w:tcPr>
          <w:p w14:paraId="6C7A27D7" w14:textId="77777777" w:rsidR="00596A40" w:rsidRPr="00203E93" w:rsidRDefault="00596A40" w:rsidP="00596A40">
            <w:pPr>
              <w:spacing w:line="240" w:lineRule="auto"/>
              <w:jc w:val="center"/>
              <w:rPr>
                <w:rFonts w:cs="Times New Roman"/>
                <w:color w:val="000000"/>
              </w:rPr>
            </w:pPr>
          </w:p>
        </w:tc>
        <w:tc>
          <w:tcPr>
            <w:tcW w:w="952" w:type="dxa"/>
            <w:tcBorders>
              <w:top w:val="nil"/>
              <w:left w:val="nil"/>
              <w:bottom w:val="nil"/>
              <w:right w:val="nil"/>
            </w:tcBorders>
            <w:shd w:val="clear" w:color="auto" w:fill="auto"/>
            <w:vAlign w:val="bottom"/>
            <w:hideMark/>
          </w:tcPr>
          <w:p w14:paraId="255749AF" w14:textId="77777777" w:rsidR="00596A40" w:rsidRPr="00203E93" w:rsidRDefault="00596A40" w:rsidP="00596A40">
            <w:pPr>
              <w:spacing w:line="240" w:lineRule="auto"/>
              <w:jc w:val="right"/>
              <w:rPr>
                <w:rFonts w:cs="Times New Roman"/>
                <w:color w:val="000000"/>
              </w:rPr>
            </w:pPr>
          </w:p>
        </w:tc>
        <w:tc>
          <w:tcPr>
            <w:tcW w:w="585" w:type="dxa"/>
            <w:tcBorders>
              <w:top w:val="nil"/>
              <w:left w:val="nil"/>
              <w:bottom w:val="nil"/>
              <w:right w:val="nil"/>
            </w:tcBorders>
            <w:shd w:val="clear" w:color="auto" w:fill="auto"/>
            <w:noWrap/>
            <w:vAlign w:val="bottom"/>
            <w:hideMark/>
          </w:tcPr>
          <w:p w14:paraId="20B28BAD" w14:textId="77777777" w:rsidR="00596A40" w:rsidRPr="00203E93" w:rsidRDefault="00596A40" w:rsidP="00596A40">
            <w:pPr>
              <w:spacing w:line="240" w:lineRule="auto"/>
              <w:rPr>
                <w:rFonts w:cs="Times New Roman"/>
                <w:color w:val="000000"/>
              </w:rPr>
            </w:pPr>
          </w:p>
        </w:tc>
        <w:tc>
          <w:tcPr>
            <w:tcW w:w="656" w:type="dxa"/>
            <w:tcBorders>
              <w:top w:val="nil"/>
              <w:left w:val="nil"/>
              <w:bottom w:val="nil"/>
              <w:right w:val="nil"/>
            </w:tcBorders>
            <w:shd w:val="clear" w:color="auto" w:fill="auto"/>
            <w:vAlign w:val="bottom"/>
            <w:hideMark/>
          </w:tcPr>
          <w:p w14:paraId="7CA54229" w14:textId="77777777" w:rsidR="00596A40" w:rsidRPr="00203E93" w:rsidRDefault="00596A40" w:rsidP="00596A40">
            <w:pPr>
              <w:spacing w:line="240" w:lineRule="auto"/>
              <w:jc w:val="center"/>
              <w:rPr>
                <w:rFonts w:cs="Times New Roman"/>
                <w:color w:val="000000"/>
              </w:rPr>
            </w:pPr>
          </w:p>
        </w:tc>
        <w:tc>
          <w:tcPr>
            <w:tcW w:w="675" w:type="dxa"/>
            <w:tcBorders>
              <w:top w:val="nil"/>
              <w:left w:val="nil"/>
              <w:bottom w:val="nil"/>
              <w:right w:val="nil"/>
            </w:tcBorders>
            <w:shd w:val="clear" w:color="auto" w:fill="auto"/>
            <w:noWrap/>
            <w:vAlign w:val="bottom"/>
            <w:hideMark/>
          </w:tcPr>
          <w:p w14:paraId="6AE828AF" w14:textId="77777777" w:rsidR="00596A40" w:rsidRPr="00203E93" w:rsidRDefault="00596A40" w:rsidP="00596A40">
            <w:pPr>
              <w:spacing w:line="240" w:lineRule="auto"/>
              <w:jc w:val="right"/>
              <w:rPr>
                <w:rFonts w:cs="Times New Roman"/>
                <w:color w:val="000000"/>
              </w:rPr>
            </w:pPr>
            <w:r w:rsidRPr="00203E93">
              <w:rPr>
                <w:rFonts w:cs="Times New Roman"/>
                <w:color w:val="000000"/>
              </w:rPr>
              <w:t>0.03</w:t>
            </w:r>
          </w:p>
        </w:tc>
        <w:tc>
          <w:tcPr>
            <w:tcW w:w="585" w:type="dxa"/>
            <w:tcBorders>
              <w:top w:val="nil"/>
              <w:left w:val="nil"/>
              <w:bottom w:val="nil"/>
              <w:right w:val="nil"/>
            </w:tcBorders>
            <w:shd w:val="clear" w:color="auto" w:fill="auto"/>
            <w:noWrap/>
            <w:vAlign w:val="bottom"/>
            <w:hideMark/>
          </w:tcPr>
          <w:p w14:paraId="676DC346"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78E93E73" w14:textId="77777777" w:rsidR="00596A40" w:rsidRPr="00203E93" w:rsidRDefault="00596A40" w:rsidP="00596A40">
            <w:pPr>
              <w:spacing w:line="240" w:lineRule="auto"/>
              <w:jc w:val="center"/>
              <w:rPr>
                <w:rFonts w:cs="Times New Roman"/>
                <w:color w:val="000000"/>
              </w:rPr>
            </w:pPr>
            <w:r w:rsidRPr="00203E93">
              <w:rPr>
                <w:rFonts w:cs="Times New Roman"/>
                <w:color w:val="000000"/>
              </w:rPr>
              <w:t>1%</w:t>
            </w:r>
          </w:p>
        </w:tc>
      </w:tr>
      <w:tr w:rsidR="00B813E6" w:rsidRPr="00203E93" w14:paraId="7C2FBE20" w14:textId="77777777" w:rsidTr="002B4489">
        <w:trPr>
          <w:trHeight w:val="315"/>
        </w:trPr>
        <w:tc>
          <w:tcPr>
            <w:tcW w:w="3016" w:type="dxa"/>
            <w:tcBorders>
              <w:top w:val="nil"/>
              <w:left w:val="nil"/>
              <w:bottom w:val="nil"/>
              <w:right w:val="nil"/>
            </w:tcBorders>
            <w:shd w:val="clear" w:color="auto" w:fill="auto"/>
            <w:noWrap/>
            <w:vAlign w:val="bottom"/>
            <w:hideMark/>
          </w:tcPr>
          <w:p w14:paraId="55F72A95" w14:textId="77777777" w:rsidR="00B813E6" w:rsidRPr="00203E93" w:rsidRDefault="00B813E6" w:rsidP="00596A40">
            <w:pPr>
              <w:spacing w:line="240" w:lineRule="auto"/>
              <w:rPr>
                <w:rFonts w:cs="Times New Roman"/>
                <w:color w:val="000000"/>
              </w:rPr>
            </w:pPr>
            <w:r w:rsidRPr="00203E93">
              <w:rPr>
                <w:rFonts w:cs="Times New Roman"/>
                <w:color w:val="000000"/>
              </w:rPr>
              <w:t>SCA*Block(Location)</w:t>
            </w:r>
          </w:p>
        </w:tc>
        <w:tc>
          <w:tcPr>
            <w:tcW w:w="1000" w:type="dxa"/>
            <w:tcBorders>
              <w:top w:val="nil"/>
              <w:left w:val="nil"/>
              <w:bottom w:val="nil"/>
              <w:right w:val="nil"/>
            </w:tcBorders>
            <w:shd w:val="clear" w:color="auto" w:fill="auto"/>
            <w:vAlign w:val="bottom"/>
            <w:hideMark/>
          </w:tcPr>
          <w:p w14:paraId="0629767E" w14:textId="77777777" w:rsidR="00B813E6" w:rsidRPr="00203E93" w:rsidRDefault="00B813E6" w:rsidP="00596A40">
            <w:pPr>
              <w:spacing w:line="240" w:lineRule="auto"/>
              <w:jc w:val="right"/>
              <w:rPr>
                <w:rFonts w:cs="Times New Roman"/>
                <w:color w:val="000000"/>
              </w:rPr>
            </w:pPr>
            <w:r w:rsidRPr="00203E93">
              <w:rPr>
                <w:rFonts w:cs="Times New Roman"/>
                <w:color w:val="000000"/>
              </w:rPr>
              <w:t>0.03</w:t>
            </w:r>
          </w:p>
        </w:tc>
        <w:tc>
          <w:tcPr>
            <w:tcW w:w="585" w:type="dxa"/>
            <w:tcBorders>
              <w:top w:val="nil"/>
              <w:left w:val="nil"/>
              <w:bottom w:val="nil"/>
              <w:right w:val="nil"/>
            </w:tcBorders>
            <w:shd w:val="clear" w:color="auto" w:fill="auto"/>
            <w:noWrap/>
            <w:vAlign w:val="bottom"/>
            <w:hideMark/>
          </w:tcPr>
          <w:p w14:paraId="7FB36383" w14:textId="77777777" w:rsidR="00B813E6" w:rsidRPr="00203E93" w:rsidRDefault="00B813E6"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1FFD8B15" w14:textId="77777777" w:rsidR="00B813E6" w:rsidRPr="00203E93" w:rsidRDefault="00B813E6" w:rsidP="00596A40">
            <w:pPr>
              <w:spacing w:line="240" w:lineRule="auto"/>
              <w:jc w:val="center"/>
              <w:rPr>
                <w:rFonts w:cs="Times New Roman"/>
                <w:color w:val="000000"/>
              </w:rPr>
            </w:pPr>
            <w:r w:rsidRPr="00203E93">
              <w:rPr>
                <w:rFonts w:cs="Times New Roman"/>
                <w:color w:val="000000"/>
              </w:rPr>
              <w:t>1%</w:t>
            </w:r>
          </w:p>
        </w:tc>
        <w:tc>
          <w:tcPr>
            <w:tcW w:w="952" w:type="dxa"/>
            <w:tcBorders>
              <w:top w:val="nil"/>
              <w:left w:val="nil"/>
              <w:bottom w:val="nil"/>
              <w:right w:val="nil"/>
            </w:tcBorders>
            <w:shd w:val="clear" w:color="auto" w:fill="auto"/>
            <w:vAlign w:val="bottom"/>
            <w:hideMark/>
          </w:tcPr>
          <w:p w14:paraId="5CCD6D15" w14:textId="77777777" w:rsidR="00B813E6" w:rsidRPr="00203E93" w:rsidRDefault="00B813E6" w:rsidP="00596A40">
            <w:pPr>
              <w:spacing w:line="240" w:lineRule="auto"/>
              <w:jc w:val="right"/>
              <w:rPr>
                <w:rFonts w:cs="Times New Roman"/>
                <w:color w:val="000000"/>
              </w:rPr>
            </w:pPr>
            <w:r w:rsidRPr="00203E93">
              <w:rPr>
                <w:rFonts w:cs="Times New Roman"/>
                <w:color w:val="000000"/>
              </w:rPr>
              <w:t>0.00</w:t>
            </w:r>
          </w:p>
        </w:tc>
        <w:tc>
          <w:tcPr>
            <w:tcW w:w="585" w:type="dxa"/>
            <w:tcBorders>
              <w:top w:val="nil"/>
              <w:left w:val="nil"/>
              <w:bottom w:val="nil"/>
              <w:right w:val="nil"/>
            </w:tcBorders>
            <w:shd w:val="clear" w:color="auto" w:fill="auto"/>
            <w:noWrap/>
            <w:vAlign w:val="bottom"/>
            <w:hideMark/>
          </w:tcPr>
          <w:p w14:paraId="4FDEB145" w14:textId="77777777" w:rsidR="00B813E6" w:rsidRPr="00203E93" w:rsidRDefault="00B813E6"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2D437A76" w14:textId="77777777" w:rsidR="00B813E6" w:rsidRPr="00203E93" w:rsidRDefault="00B813E6" w:rsidP="00596A40">
            <w:pPr>
              <w:spacing w:line="240" w:lineRule="auto"/>
              <w:jc w:val="center"/>
              <w:rPr>
                <w:rFonts w:cs="Times New Roman"/>
                <w:color w:val="000000"/>
              </w:rPr>
            </w:pPr>
            <w:r w:rsidRPr="00203E93">
              <w:rPr>
                <w:rFonts w:cs="Times New Roman"/>
                <w:color w:val="000000"/>
              </w:rPr>
              <w:t>0%</w:t>
            </w:r>
          </w:p>
        </w:tc>
        <w:tc>
          <w:tcPr>
            <w:tcW w:w="675" w:type="dxa"/>
            <w:tcBorders>
              <w:top w:val="nil"/>
              <w:left w:val="nil"/>
              <w:bottom w:val="nil"/>
              <w:right w:val="nil"/>
            </w:tcBorders>
            <w:shd w:val="clear" w:color="auto" w:fill="auto"/>
            <w:noWrap/>
            <w:vAlign w:val="bottom"/>
            <w:hideMark/>
          </w:tcPr>
          <w:p w14:paraId="10BDC4E8" w14:textId="77777777" w:rsidR="00B813E6" w:rsidRPr="00203E93" w:rsidRDefault="00B813E6" w:rsidP="00596A40">
            <w:pPr>
              <w:spacing w:line="240" w:lineRule="auto"/>
              <w:jc w:val="right"/>
              <w:rPr>
                <w:rFonts w:cs="Times New Roman"/>
                <w:color w:val="000000"/>
              </w:rPr>
            </w:pPr>
            <w:r w:rsidRPr="00203E93">
              <w:rPr>
                <w:rFonts w:cs="Times New Roman"/>
                <w:color w:val="000000"/>
              </w:rPr>
              <w:t>0.20</w:t>
            </w:r>
          </w:p>
        </w:tc>
        <w:tc>
          <w:tcPr>
            <w:tcW w:w="585" w:type="dxa"/>
            <w:tcBorders>
              <w:top w:val="nil"/>
              <w:left w:val="nil"/>
              <w:bottom w:val="nil"/>
              <w:right w:val="nil"/>
            </w:tcBorders>
            <w:shd w:val="clear" w:color="auto" w:fill="auto"/>
            <w:noWrap/>
            <w:vAlign w:val="bottom"/>
            <w:hideMark/>
          </w:tcPr>
          <w:p w14:paraId="5B37A90F" w14:textId="77777777" w:rsidR="00B813E6" w:rsidRPr="00203E93" w:rsidRDefault="00B813E6"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nil"/>
              <w:right w:val="nil"/>
            </w:tcBorders>
            <w:shd w:val="clear" w:color="auto" w:fill="auto"/>
            <w:vAlign w:val="bottom"/>
            <w:hideMark/>
          </w:tcPr>
          <w:p w14:paraId="015D87CF" w14:textId="77777777" w:rsidR="00B813E6" w:rsidRPr="00203E93" w:rsidRDefault="00B813E6" w:rsidP="00596A40">
            <w:pPr>
              <w:spacing w:line="240" w:lineRule="auto"/>
              <w:jc w:val="center"/>
              <w:rPr>
                <w:rFonts w:cs="Times New Roman"/>
                <w:color w:val="000000"/>
              </w:rPr>
            </w:pPr>
            <w:r w:rsidRPr="00203E93">
              <w:rPr>
                <w:rFonts w:cs="Times New Roman"/>
                <w:color w:val="000000"/>
              </w:rPr>
              <w:t>4%</w:t>
            </w:r>
          </w:p>
        </w:tc>
      </w:tr>
      <w:tr w:rsidR="00B813E6" w:rsidRPr="00203E93" w14:paraId="38242217" w14:textId="77777777" w:rsidTr="004F35FB">
        <w:trPr>
          <w:trHeight w:val="315"/>
        </w:trPr>
        <w:tc>
          <w:tcPr>
            <w:tcW w:w="3016" w:type="dxa"/>
            <w:tcBorders>
              <w:top w:val="nil"/>
              <w:left w:val="nil"/>
              <w:bottom w:val="single" w:sz="8" w:space="0" w:color="auto"/>
              <w:right w:val="nil"/>
            </w:tcBorders>
            <w:shd w:val="clear" w:color="auto" w:fill="auto"/>
            <w:noWrap/>
            <w:vAlign w:val="bottom"/>
            <w:hideMark/>
          </w:tcPr>
          <w:p w14:paraId="4E9DDF17" w14:textId="77777777" w:rsidR="00B813E6" w:rsidRPr="00203E93" w:rsidRDefault="00B813E6" w:rsidP="00596A40">
            <w:pPr>
              <w:spacing w:line="240" w:lineRule="auto"/>
              <w:rPr>
                <w:rFonts w:cs="Times New Roman"/>
                <w:color w:val="000000"/>
              </w:rPr>
            </w:pPr>
            <w:r w:rsidRPr="00203E93">
              <w:rPr>
                <w:rFonts w:cs="Times New Roman"/>
                <w:color w:val="000000"/>
              </w:rPr>
              <w:t>Residual</w:t>
            </w:r>
          </w:p>
        </w:tc>
        <w:tc>
          <w:tcPr>
            <w:tcW w:w="1000" w:type="dxa"/>
            <w:tcBorders>
              <w:top w:val="nil"/>
              <w:left w:val="nil"/>
              <w:bottom w:val="single" w:sz="8" w:space="0" w:color="auto"/>
              <w:right w:val="nil"/>
            </w:tcBorders>
            <w:shd w:val="clear" w:color="auto" w:fill="auto"/>
            <w:vAlign w:val="bottom"/>
            <w:hideMark/>
          </w:tcPr>
          <w:p w14:paraId="19845857" w14:textId="77777777" w:rsidR="00B813E6" w:rsidRPr="00203E93" w:rsidRDefault="00B813E6" w:rsidP="00596A40">
            <w:pPr>
              <w:spacing w:line="240" w:lineRule="auto"/>
              <w:jc w:val="right"/>
              <w:rPr>
                <w:rFonts w:cs="Times New Roman"/>
                <w:color w:val="000000"/>
              </w:rPr>
            </w:pPr>
            <w:r w:rsidRPr="00203E93">
              <w:rPr>
                <w:rFonts w:cs="Times New Roman"/>
                <w:color w:val="000000"/>
              </w:rPr>
              <w:t>4.62</w:t>
            </w:r>
          </w:p>
        </w:tc>
        <w:tc>
          <w:tcPr>
            <w:tcW w:w="585" w:type="dxa"/>
            <w:tcBorders>
              <w:top w:val="nil"/>
              <w:left w:val="nil"/>
              <w:bottom w:val="single" w:sz="8" w:space="0" w:color="auto"/>
              <w:right w:val="nil"/>
            </w:tcBorders>
            <w:shd w:val="clear" w:color="auto" w:fill="auto"/>
            <w:noWrap/>
            <w:vAlign w:val="bottom"/>
            <w:hideMark/>
          </w:tcPr>
          <w:p w14:paraId="053DB310" w14:textId="77777777" w:rsidR="00B813E6" w:rsidRPr="00203E93" w:rsidRDefault="00B813E6"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single" w:sz="8" w:space="0" w:color="auto"/>
              <w:right w:val="nil"/>
            </w:tcBorders>
            <w:shd w:val="clear" w:color="auto" w:fill="auto"/>
            <w:vAlign w:val="bottom"/>
            <w:hideMark/>
          </w:tcPr>
          <w:p w14:paraId="2B0B1BCB" w14:textId="77777777" w:rsidR="00B813E6" w:rsidRPr="00203E93" w:rsidRDefault="00B813E6" w:rsidP="00596A40">
            <w:pPr>
              <w:spacing w:line="240" w:lineRule="auto"/>
              <w:jc w:val="center"/>
              <w:rPr>
                <w:rFonts w:cs="Times New Roman"/>
                <w:color w:val="000000"/>
              </w:rPr>
            </w:pPr>
            <w:r w:rsidRPr="00203E93">
              <w:rPr>
                <w:rFonts w:cs="Times New Roman"/>
                <w:color w:val="000000"/>
              </w:rPr>
              <w:t>88%</w:t>
            </w:r>
          </w:p>
        </w:tc>
        <w:tc>
          <w:tcPr>
            <w:tcW w:w="952" w:type="dxa"/>
            <w:tcBorders>
              <w:top w:val="nil"/>
              <w:left w:val="nil"/>
              <w:bottom w:val="single" w:sz="8" w:space="0" w:color="auto"/>
              <w:right w:val="nil"/>
            </w:tcBorders>
            <w:shd w:val="clear" w:color="auto" w:fill="auto"/>
            <w:vAlign w:val="bottom"/>
            <w:hideMark/>
          </w:tcPr>
          <w:p w14:paraId="64361050" w14:textId="77777777" w:rsidR="00B813E6" w:rsidRPr="00203E93" w:rsidRDefault="00B813E6" w:rsidP="00596A40">
            <w:pPr>
              <w:spacing w:line="240" w:lineRule="auto"/>
              <w:jc w:val="right"/>
              <w:rPr>
                <w:rFonts w:cs="Times New Roman"/>
                <w:color w:val="000000"/>
              </w:rPr>
            </w:pPr>
            <w:r w:rsidRPr="00203E93">
              <w:rPr>
                <w:rFonts w:cs="Times New Roman"/>
                <w:color w:val="000000"/>
              </w:rPr>
              <w:t>4.54</w:t>
            </w:r>
          </w:p>
        </w:tc>
        <w:tc>
          <w:tcPr>
            <w:tcW w:w="585" w:type="dxa"/>
            <w:tcBorders>
              <w:top w:val="nil"/>
              <w:left w:val="nil"/>
              <w:bottom w:val="single" w:sz="8" w:space="0" w:color="auto"/>
              <w:right w:val="nil"/>
            </w:tcBorders>
            <w:shd w:val="clear" w:color="auto" w:fill="auto"/>
            <w:noWrap/>
            <w:vAlign w:val="bottom"/>
            <w:hideMark/>
          </w:tcPr>
          <w:p w14:paraId="091CB78A" w14:textId="77777777" w:rsidR="00B813E6" w:rsidRPr="00203E93" w:rsidRDefault="00B813E6"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single" w:sz="8" w:space="0" w:color="auto"/>
              <w:right w:val="nil"/>
            </w:tcBorders>
            <w:shd w:val="clear" w:color="auto" w:fill="auto"/>
            <w:vAlign w:val="bottom"/>
            <w:hideMark/>
          </w:tcPr>
          <w:p w14:paraId="2DB9E0E2" w14:textId="77777777" w:rsidR="00B813E6" w:rsidRPr="00203E93" w:rsidRDefault="00B813E6" w:rsidP="00596A40">
            <w:pPr>
              <w:spacing w:line="240" w:lineRule="auto"/>
              <w:jc w:val="center"/>
              <w:rPr>
                <w:rFonts w:cs="Times New Roman"/>
                <w:color w:val="000000"/>
              </w:rPr>
            </w:pPr>
            <w:r w:rsidRPr="00203E93">
              <w:rPr>
                <w:rFonts w:cs="Times New Roman"/>
                <w:color w:val="000000"/>
              </w:rPr>
              <w:t>84%</w:t>
            </w:r>
          </w:p>
        </w:tc>
        <w:tc>
          <w:tcPr>
            <w:tcW w:w="675" w:type="dxa"/>
            <w:tcBorders>
              <w:top w:val="nil"/>
              <w:left w:val="nil"/>
              <w:bottom w:val="single" w:sz="8" w:space="0" w:color="auto"/>
              <w:right w:val="nil"/>
            </w:tcBorders>
            <w:shd w:val="clear" w:color="auto" w:fill="auto"/>
            <w:noWrap/>
            <w:vAlign w:val="bottom"/>
            <w:hideMark/>
          </w:tcPr>
          <w:p w14:paraId="4EF4F6F9" w14:textId="77777777" w:rsidR="00B813E6" w:rsidRPr="00203E93" w:rsidRDefault="00B813E6" w:rsidP="00596A40">
            <w:pPr>
              <w:spacing w:line="240" w:lineRule="auto"/>
              <w:jc w:val="right"/>
              <w:rPr>
                <w:rFonts w:cs="Times New Roman"/>
                <w:color w:val="000000"/>
              </w:rPr>
            </w:pPr>
            <w:r w:rsidRPr="00203E93">
              <w:rPr>
                <w:rFonts w:cs="Times New Roman"/>
                <w:color w:val="000000"/>
              </w:rPr>
              <w:t>4.42</w:t>
            </w:r>
          </w:p>
        </w:tc>
        <w:tc>
          <w:tcPr>
            <w:tcW w:w="585" w:type="dxa"/>
            <w:tcBorders>
              <w:top w:val="nil"/>
              <w:left w:val="nil"/>
              <w:bottom w:val="single" w:sz="8" w:space="0" w:color="auto"/>
              <w:right w:val="nil"/>
            </w:tcBorders>
            <w:shd w:val="clear" w:color="auto" w:fill="auto"/>
            <w:noWrap/>
            <w:vAlign w:val="bottom"/>
            <w:hideMark/>
          </w:tcPr>
          <w:p w14:paraId="26B38321" w14:textId="77777777" w:rsidR="00B813E6" w:rsidRPr="00203E93" w:rsidRDefault="00B813E6"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single" w:sz="8" w:space="0" w:color="auto"/>
              <w:right w:val="nil"/>
            </w:tcBorders>
            <w:shd w:val="clear" w:color="auto" w:fill="auto"/>
            <w:vAlign w:val="bottom"/>
            <w:hideMark/>
          </w:tcPr>
          <w:p w14:paraId="4FBA4634" w14:textId="77777777" w:rsidR="00B813E6" w:rsidRPr="00203E93" w:rsidRDefault="00B813E6" w:rsidP="00596A40">
            <w:pPr>
              <w:spacing w:line="240" w:lineRule="auto"/>
              <w:jc w:val="center"/>
              <w:rPr>
                <w:rFonts w:cs="Times New Roman"/>
                <w:color w:val="000000"/>
              </w:rPr>
            </w:pPr>
            <w:r w:rsidRPr="00203E93">
              <w:rPr>
                <w:rFonts w:cs="Times New Roman"/>
                <w:color w:val="000000"/>
              </w:rPr>
              <w:t>83%</w:t>
            </w:r>
          </w:p>
        </w:tc>
      </w:tr>
      <w:tr w:rsidR="00596A40" w:rsidRPr="00203E93" w14:paraId="75C0EAD1" w14:textId="77777777" w:rsidTr="002B4489">
        <w:trPr>
          <w:trHeight w:val="315"/>
        </w:trPr>
        <w:tc>
          <w:tcPr>
            <w:tcW w:w="3016" w:type="dxa"/>
            <w:tcBorders>
              <w:top w:val="single" w:sz="8" w:space="0" w:color="auto"/>
              <w:left w:val="nil"/>
              <w:bottom w:val="nil"/>
              <w:right w:val="nil"/>
            </w:tcBorders>
            <w:shd w:val="clear" w:color="auto" w:fill="auto"/>
            <w:noWrap/>
            <w:vAlign w:val="bottom"/>
            <w:hideMark/>
          </w:tcPr>
          <w:p w14:paraId="5D3CA718" w14:textId="77777777" w:rsidR="00596A40" w:rsidRPr="00203E93" w:rsidRDefault="00596A40" w:rsidP="00596A40">
            <w:pPr>
              <w:spacing w:line="240" w:lineRule="auto"/>
              <w:rPr>
                <w:rFonts w:cs="Times New Roman"/>
                <w:color w:val="000000"/>
              </w:rPr>
            </w:pPr>
            <w:r w:rsidRPr="00203E93">
              <w:rPr>
                <w:rFonts w:cs="Times New Roman"/>
                <w:color w:val="000000"/>
              </w:rPr>
              <w:t> </w:t>
            </w:r>
          </w:p>
        </w:tc>
        <w:tc>
          <w:tcPr>
            <w:tcW w:w="6350" w:type="dxa"/>
            <w:gridSpan w:val="9"/>
            <w:tcBorders>
              <w:top w:val="single" w:sz="8" w:space="0" w:color="auto"/>
              <w:left w:val="nil"/>
              <w:bottom w:val="single" w:sz="4" w:space="0" w:color="auto"/>
              <w:right w:val="nil"/>
            </w:tcBorders>
            <w:shd w:val="clear" w:color="auto" w:fill="auto"/>
            <w:noWrap/>
            <w:vAlign w:val="bottom"/>
            <w:hideMark/>
          </w:tcPr>
          <w:p w14:paraId="7AE31C48" w14:textId="22EA0F23" w:rsidR="00596A40" w:rsidRPr="000F73C0" w:rsidRDefault="00DA675F" w:rsidP="00B8390A">
            <w:pPr>
              <w:spacing w:line="240" w:lineRule="auto"/>
              <w:jc w:val="center"/>
              <w:rPr>
                <w:rFonts w:cs="Times New Roman"/>
                <w:color w:val="000000"/>
                <w:vertAlign w:val="superscript"/>
              </w:rPr>
            </w:pPr>
            <w:r>
              <w:rPr>
                <w:rFonts w:cs="Times New Roman"/>
                <w:color w:val="000000"/>
              </w:rPr>
              <w:t xml:space="preserve">Canopy </w:t>
            </w:r>
            <w:r w:rsidR="00B8390A">
              <w:rPr>
                <w:rFonts w:cs="Times New Roman"/>
                <w:color w:val="000000"/>
              </w:rPr>
              <w:t>D</w:t>
            </w:r>
            <w:r>
              <w:rPr>
                <w:rFonts w:cs="Times New Roman"/>
                <w:color w:val="000000"/>
              </w:rPr>
              <w:t>ensity</w:t>
            </w:r>
          </w:p>
        </w:tc>
      </w:tr>
      <w:tr w:rsidR="00596A40" w:rsidRPr="00203E93" w14:paraId="60DC8028" w14:textId="77777777" w:rsidTr="002B4489">
        <w:trPr>
          <w:trHeight w:val="330"/>
        </w:trPr>
        <w:tc>
          <w:tcPr>
            <w:tcW w:w="3016" w:type="dxa"/>
            <w:tcBorders>
              <w:top w:val="nil"/>
              <w:left w:val="nil"/>
              <w:bottom w:val="single" w:sz="8" w:space="0" w:color="auto"/>
              <w:right w:val="nil"/>
            </w:tcBorders>
            <w:shd w:val="clear" w:color="auto" w:fill="auto"/>
            <w:vAlign w:val="bottom"/>
            <w:hideMark/>
          </w:tcPr>
          <w:p w14:paraId="04FD4D17" w14:textId="77777777" w:rsidR="00596A40" w:rsidRPr="00203E93" w:rsidRDefault="00596A40" w:rsidP="00596A40">
            <w:pPr>
              <w:spacing w:line="240" w:lineRule="auto"/>
              <w:rPr>
                <w:rFonts w:cs="Times New Roman"/>
                <w:color w:val="000000"/>
              </w:rPr>
            </w:pPr>
            <w:r w:rsidRPr="00203E93">
              <w:rPr>
                <w:rFonts w:cs="Times New Roman"/>
                <w:color w:val="000000"/>
              </w:rPr>
              <w:t>Source of Variation</w:t>
            </w:r>
          </w:p>
        </w:tc>
        <w:tc>
          <w:tcPr>
            <w:tcW w:w="2241" w:type="dxa"/>
            <w:gridSpan w:val="3"/>
            <w:tcBorders>
              <w:top w:val="nil"/>
              <w:left w:val="nil"/>
              <w:bottom w:val="single" w:sz="8" w:space="0" w:color="auto"/>
              <w:right w:val="nil"/>
            </w:tcBorders>
            <w:shd w:val="clear" w:color="auto" w:fill="auto"/>
            <w:vAlign w:val="bottom"/>
            <w:hideMark/>
          </w:tcPr>
          <w:p w14:paraId="048313E5" w14:textId="77777777" w:rsidR="00596A40" w:rsidRPr="00203E93" w:rsidRDefault="00596A40" w:rsidP="00596A40">
            <w:pPr>
              <w:spacing w:line="240" w:lineRule="auto"/>
              <w:jc w:val="center"/>
              <w:rPr>
                <w:rFonts w:cs="Times New Roman"/>
                <w:color w:val="000000"/>
              </w:rPr>
            </w:pPr>
            <w:r w:rsidRPr="00203E93">
              <w:rPr>
                <w:rFonts w:cs="Times New Roman"/>
                <w:color w:val="000000"/>
              </w:rPr>
              <w:t>2013</w:t>
            </w:r>
          </w:p>
        </w:tc>
        <w:tc>
          <w:tcPr>
            <w:tcW w:w="2193" w:type="dxa"/>
            <w:gridSpan w:val="3"/>
            <w:tcBorders>
              <w:top w:val="nil"/>
              <w:left w:val="nil"/>
              <w:bottom w:val="single" w:sz="8" w:space="0" w:color="auto"/>
              <w:right w:val="nil"/>
            </w:tcBorders>
            <w:shd w:val="clear" w:color="auto" w:fill="auto"/>
            <w:vAlign w:val="bottom"/>
            <w:hideMark/>
          </w:tcPr>
          <w:p w14:paraId="339EF5EF" w14:textId="77777777" w:rsidR="00596A40" w:rsidRPr="00203E93" w:rsidRDefault="00596A40" w:rsidP="00596A40">
            <w:pPr>
              <w:spacing w:line="240" w:lineRule="auto"/>
              <w:jc w:val="center"/>
              <w:rPr>
                <w:rFonts w:cs="Times New Roman"/>
                <w:color w:val="000000"/>
              </w:rPr>
            </w:pPr>
            <w:r w:rsidRPr="00203E93">
              <w:rPr>
                <w:rFonts w:cs="Times New Roman"/>
                <w:color w:val="000000"/>
              </w:rPr>
              <w:t>2014</w:t>
            </w:r>
          </w:p>
        </w:tc>
        <w:tc>
          <w:tcPr>
            <w:tcW w:w="1916" w:type="dxa"/>
            <w:gridSpan w:val="3"/>
            <w:tcBorders>
              <w:top w:val="nil"/>
              <w:left w:val="nil"/>
              <w:bottom w:val="single" w:sz="8" w:space="0" w:color="auto"/>
              <w:right w:val="nil"/>
            </w:tcBorders>
            <w:shd w:val="clear" w:color="auto" w:fill="auto"/>
            <w:vAlign w:val="bottom"/>
            <w:hideMark/>
          </w:tcPr>
          <w:p w14:paraId="744D9F13" w14:textId="77777777" w:rsidR="00596A40" w:rsidRPr="00203E93" w:rsidRDefault="00596A40" w:rsidP="00596A40">
            <w:pPr>
              <w:spacing w:line="240" w:lineRule="auto"/>
              <w:jc w:val="center"/>
              <w:rPr>
                <w:rFonts w:cs="Times New Roman"/>
                <w:color w:val="000000"/>
              </w:rPr>
            </w:pPr>
            <w:r w:rsidRPr="00203E93">
              <w:rPr>
                <w:rFonts w:cs="Times New Roman"/>
                <w:color w:val="000000"/>
              </w:rPr>
              <w:t>Combined</w:t>
            </w:r>
          </w:p>
        </w:tc>
      </w:tr>
      <w:tr w:rsidR="00596A40" w:rsidRPr="00203E93" w14:paraId="29EFEDD5" w14:textId="77777777" w:rsidTr="002B4489">
        <w:trPr>
          <w:trHeight w:val="405"/>
        </w:trPr>
        <w:tc>
          <w:tcPr>
            <w:tcW w:w="3016" w:type="dxa"/>
            <w:tcBorders>
              <w:top w:val="nil"/>
              <w:left w:val="nil"/>
              <w:bottom w:val="nil"/>
              <w:right w:val="nil"/>
            </w:tcBorders>
            <w:shd w:val="clear" w:color="auto" w:fill="auto"/>
            <w:noWrap/>
            <w:vAlign w:val="bottom"/>
            <w:hideMark/>
          </w:tcPr>
          <w:p w14:paraId="062D59DF" w14:textId="77777777" w:rsidR="00596A40" w:rsidRPr="00203E93" w:rsidRDefault="00596A40" w:rsidP="00596A40">
            <w:pPr>
              <w:spacing w:line="240" w:lineRule="auto"/>
              <w:rPr>
                <w:rFonts w:cs="Times New Roman"/>
                <w:color w:val="000000"/>
              </w:rPr>
            </w:pPr>
            <w:r w:rsidRPr="00203E93">
              <w:rPr>
                <w:rFonts w:cs="Times New Roman"/>
                <w:color w:val="000000"/>
              </w:rPr>
              <w:t>GCA</w:t>
            </w:r>
          </w:p>
        </w:tc>
        <w:tc>
          <w:tcPr>
            <w:tcW w:w="1000" w:type="dxa"/>
            <w:tcBorders>
              <w:top w:val="nil"/>
              <w:left w:val="nil"/>
              <w:bottom w:val="nil"/>
              <w:right w:val="nil"/>
            </w:tcBorders>
            <w:shd w:val="clear" w:color="auto" w:fill="auto"/>
            <w:vAlign w:val="bottom"/>
            <w:hideMark/>
          </w:tcPr>
          <w:p w14:paraId="14DD839A" w14:textId="77777777" w:rsidR="00596A40" w:rsidRPr="00203E93" w:rsidRDefault="00596A40" w:rsidP="00596A40">
            <w:pPr>
              <w:spacing w:line="240" w:lineRule="auto"/>
              <w:jc w:val="right"/>
              <w:rPr>
                <w:rFonts w:cs="Times New Roman"/>
                <w:color w:val="000000"/>
              </w:rPr>
            </w:pPr>
            <w:r w:rsidRPr="00203E93">
              <w:rPr>
                <w:rFonts w:cs="Times New Roman"/>
                <w:color w:val="000000"/>
              </w:rPr>
              <w:t>0.03</w:t>
            </w:r>
          </w:p>
        </w:tc>
        <w:tc>
          <w:tcPr>
            <w:tcW w:w="585" w:type="dxa"/>
            <w:tcBorders>
              <w:top w:val="nil"/>
              <w:left w:val="nil"/>
              <w:bottom w:val="nil"/>
              <w:right w:val="nil"/>
            </w:tcBorders>
            <w:shd w:val="clear" w:color="auto" w:fill="auto"/>
            <w:noWrap/>
            <w:vAlign w:val="bottom"/>
            <w:hideMark/>
          </w:tcPr>
          <w:p w14:paraId="110E5848"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6E5D7182" w14:textId="77777777" w:rsidR="00596A40" w:rsidRPr="00203E93" w:rsidRDefault="00596A40" w:rsidP="00596A40">
            <w:pPr>
              <w:spacing w:line="240" w:lineRule="auto"/>
              <w:jc w:val="center"/>
              <w:rPr>
                <w:rFonts w:cs="Times New Roman"/>
                <w:color w:val="000000"/>
              </w:rPr>
            </w:pPr>
            <w:r w:rsidRPr="00203E93">
              <w:rPr>
                <w:rFonts w:cs="Times New Roman"/>
                <w:color w:val="000000"/>
              </w:rPr>
              <w:t>3%</w:t>
            </w:r>
          </w:p>
        </w:tc>
        <w:tc>
          <w:tcPr>
            <w:tcW w:w="952" w:type="dxa"/>
            <w:tcBorders>
              <w:top w:val="nil"/>
              <w:left w:val="nil"/>
              <w:bottom w:val="nil"/>
              <w:right w:val="nil"/>
            </w:tcBorders>
            <w:shd w:val="clear" w:color="auto" w:fill="auto"/>
            <w:vAlign w:val="bottom"/>
            <w:hideMark/>
          </w:tcPr>
          <w:p w14:paraId="11D880A4" w14:textId="77777777" w:rsidR="00596A40" w:rsidRPr="00203E93" w:rsidRDefault="00596A40" w:rsidP="00596A40">
            <w:pPr>
              <w:spacing w:line="240" w:lineRule="auto"/>
              <w:jc w:val="right"/>
              <w:rPr>
                <w:rFonts w:cs="Times New Roman"/>
                <w:color w:val="000000"/>
              </w:rPr>
            </w:pPr>
            <w:r w:rsidRPr="00203E93">
              <w:rPr>
                <w:rFonts w:cs="Times New Roman"/>
                <w:color w:val="000000"/>
              </w:rPr>
              <w:t>0.04</w:t>
            </w:r>
          </w:p>
        </w:tc>
        <w:tc>
          <w:tcPr>
            <w:tcW w:w="585" w:type="dxa"/>
            <w:tcBorders>
              <w:top w:val="nil"/>
              <w:left w:val="nil"/>
              <w:bottom w:val="nil"/>
              <w:right w:val="nil"/>
            </w:tcBorders>
            <w:shd w:val="clear" w:color="auto" w:fill="auto"/>
            <w:noWrap/>
            <w:vAlign w:val="bottom"/>
            <w:hideMark/>
          </w:tcPr>
          <w:p w14:paraId="39CBC329"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590ABC7B" w14:textId="77777777" w:rsidR="00596A40" w:rsidRPr="00203E93" w:rsidRDefault="00596A40" w:rsidP="00596A40">
            <w:pPr>
              <w:spacing w:line="240" w:lineRule="auto"/>
              <w:jc w:val="center"/>
              <w:rPr>
                <w:rFonts w:cs="Times New Roman"/>
                <w:color w:val="000000"/>
              </w:rPr>
            </w:pPr>
            <w:r w:rsidRPr="00203E93">
              <w:rPr>
                <w:rFonts w:cs="Times New Roman"/>
                <w:color w:val="000000"/>
              </w:rPr>
              <w:t>5%</w:t>
            </w:r>
          </w:p>
        </w:tc>
        <w:tc>
          <w:tcPr>
            <w:tcW w:w="675" w:type="dxa"/>
            <w:tcBorders>
              <w:top w:val="nil"/>
              <w:left w:val="nil"/>
              <w:bottom w:val="nil"/>
              <w:right w:val="nil"/>
            </w:tcBorders>
            <w:shd w:val="clear" w:color="auto" w:fill="auto"/>
            <w:noWrap/>
            <w:vAlign w:val="bottom"/>
            <w:hideMark/>
          </w:tcPr>
          <w:p w14:paraId="0BEDAA8E" w14:textId="77777777" w:rsidR="00596A40" w:rsidRPr="00203E93" w:rsidRDefault="00596A40" w:rsidP="00596A40">
            <w:pPr>
              <w:spacing w:line="240" w:lineRule="auto"/>
              <w:jc w:val="right"/>
              <w:rPr>
                <w:rFonts w:cs="Times New Roman"/>
                <w:color w:val="000000"/>
              </w:rPr>
            </w:pPr>
            <w:r w:rsidRPr="00203E93">
              <w:rPr>
                <w:rFonts w:cs="Times New Roman"/>
                <w:color w:val="000000"/>
              </w:rPr>
              <w:t>0.03</w:t>
            </w:r>
          </w:p>
        </w:tc>
        <w:tc>
          <w:tcPr>
            <w:tcW w:w="585" w:type="dxa"/>
            <w:tcBorders>
              <w:top w:val="nil"/>
              <w:left w:val="nil"/>
              <w:bottom w:val="nil"/>
              <w:right w:val="nil"/>
            </w:tcBorders>
            <w:shd w:val="clear" w:color="auto" w:fill="auto"/>
            <w:noWrap/>
            <w:vAlign w:val="bottom"/>
            <w:hideMark/>
          </w:tcPr>
          <w:p w14:paraId="37B4C455"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2CDCB3F1" w14:textId="77777777" w:rsidR="00596A40" w:rsidRPr="00203E93" w:rsidRDefault="00596A40" w:rsidP="00596A40">
            <w:pPr>
              <w:spacing w:line="240" w:lineRule="auto"/>
              <w:jc w:val="center"/>
              <w:rPr>
                <w:rFonts w:cs="Times New Roman"/>
                <w:color w:val="000000"/>
              </w:rPr>
            </w:pPr>
            <w:r w:rsidRPr="00203E93">
              <w:rPr>
                <w:rFonts w:cs="Times New Roman"/>
                <w:color w:val="000000"/>
              </w:rPr>
              <w:t>3%</w:t>
            </w:r>
          </w:p>
        </w:tc>
      </w:tr>
      <w:tr w:rsidR="00596A40" w:rsidRPr="00203E93" w14:paraId="3876FDB0" w14:textId="77777777" w:rsidTr="002B4489">
        <w:trPr>
          <w:trHeight w:val="405"/>
        </w:trPr>
        <w:tc>
          <w:tcPr>
            <w:tcW w:w="3016" w:type="dxa"/>
            <w:tcBorders>
              <w:top w:val="nil"/>
              <w:left w:val="nil"/>
              <w:bottom w:val="nil"/>
              <w:right w:val="nil"/>
            </w:tcBorders>
            <w:shd w:val="clear" w:color="auto" w:fill="auto"/>
            <w:noWrap/>
            <w:vAlign w:val="bottom"/>
            <w:hideMark/>
          </w:tcPr>
          <w:p w14:paraId="7483D094" w14:textId="77777777" w:rsidR="00596A40" w:rsidRPr="00203E93" w:rsidRDefault="00596A40" w:rsidP="00596A40">
            <w:pPr>
              <w:spacing w:line="240" w:lineRule="auto"/>
              <w:rPr>
                <w:rFonts w:cs="Times New Roman"/>
                <w:color w:val="000000"/>
              </w:rPr>
            </w:pPr>
            <w:r w:rsidRPr="00203E93">
              <w:rPr>
                <w:rFonts w:cs="Times New Roman"/>
                <w:color w:val="000000"/>
              </w:rPr>
              <w:t>SCA</w:t>
            </w:r>
          </w:p>
        </w:tc>
        <w:tc>
          <w:tcPr>
            <w:tcW w:w="1000" w:type="dxa"/>
            <w:tcBorders>
              <w:top w:val="nil"/>
              <w:left w:val="nil"/>
              <w:bottom w:val="nil"/>
              <w:right w:val="nil"/>
            </w:tcBorders>
            <w:shd w:val="clear" w:color="auto" w:fill="auto"/>
            <w:vAlign w:val="bottom"/>
            <w:hideMark/>
          </w:tcPr>
          <w:p w14:paraId="7FE5B38D" w14:textId="77777777" w:rsidR="00596A40" w:rsidRPr="00203E93" w:rsidRDefault="00596A40" w:rsidP="00596A40">
            <w:pPr>
              <w:spacing w:line="240" w:lineRule="auto"/>
              <w:jc w:val="right"/>
              <w:rPr>
                <w:rFonts w:cs="Times New Roman"/>
                <w:color w:val="000000"/>
              </w:rPr>
            </w:pPr>
            <w:r w:rsidRPr="00203E93">
              <w:rPr>
                <w:rFonts w:cs="Times New Roman"/>
                <w:color w:val="000000"/>
              </w:rPr>
              <w:t>0.03</w:t>
            </w:r>
          </w:p>
        </w:tc>
        <w:tc>
          <w:tcPr>
            <w:tcW w:w="585" w:type="dxa"/>
            <w:tcBorders>
              <w:top w:val="nil"/>
              <w:left w:val="nil"/>
              <w:bottom w:val="nil"/>
              <w:right w:val="nil"/>
            </w:tcBorders>
            <w:shd w:val="clear" w:color="auto" w:fill="auto"/>
            <w:noWrap/>
            <w:vAlign w:val="bottom"/>
            <w:hideMark/>
          </w:tcPr>
          <w:p w14:paraId="2A2616BE"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nil"/>
              <w:right w:val="nil"/>
            </w:tcBorders>
            <w:shd w:val="clear" w:color="auto" w:fill="auto"/>
            <w:vAlign w:val="bottom"/>
            <w:hideMark/>
          </w:tcPr>
          <w:p w14:paraId="12434DDE" w14:textId="77777777" w:rsidR="00596A40" w:rsidRPr="00203E93" w:rsidRDefault="00596A40" w:rsidP="00596A40">
            <w:pPr>
              <w:spacing w:line="240" w:lineRule="auto"/>
              <w:jc w:val="center"/>
              <w:rPr>
                <w:rFonts w:cs="Times New Roman"/>
                <w:color w:val="000000"/>
              </w:rPr>
            </w:pPr>
            <w:r w:rsidRPr="00203E93">
              <w:rPr>
                <w:rFonts w:cs="Times New Roman"/>
                <w:color w:val="000000"/>
              </w:rPr>
              <w:t>3%</w:t>
            </w:r>
          </w:p>
        </w:tc>
        <w:tc>
          <w:tcPr>
            <w:tcW w:w="952" w:type="dxa"/>
            <w:tcBorders>
              <w:top w:val="nil"/>
              <w:left w:val="nil"/>
              <w:bottom w:val="nil"/>
              <w:right w:val="nil"/>
            </w:tcBorders>
            <w:shd w:val="clear" w:color="auto" w:fill="auto"/>
            <w:vAlign w:val="bottom"/>
            <w:hideMark/>
          </w:tcPr>
          <w:p w14:paraId="3B0F0521" w14:textId="77777777" w:rsidR="00596A40" w:rsidRPr="00203E93" w:rsidRDefault="00596A40" w:rsidP="00596A40">
            <w:pPr>
              <w:spacing w:line="240" w:lineRule="auto"/>
              <w:jc w:val="right"/>
              <w:rPr>
                <w:rFonts w:cs="Times New Roman"/>
                <w:color w:val="000000"/>
              </w:rPr>
            </w:pPr>
            <w:r w:rsidRPr="00203E93">
              <w:rPr>
                <w:rFonts w:cs="Times New Roman"/>
                <w:color w:val="000000"/>
              </w:rPr>
              <w:t>0.05</w:t>
            </w:r>
          </w:p>
        </w:tc>
        <w:tc>
          <w:tcPr>
            <w:tcW w:w="585" w:type="dxa"/>
            <w:tcBorders>
              <w:top w:val="nil"/>
              <w:left w:val="nil"/>
              <w:bottom w:val="nil"/>
              <w:right w:val="nil"/>
            </w:tcBorders>
            <w:shd w:val="clear" w:color="auto" w:fill="auto"/>
            <w:noWrap/>
            <w:vAlign w:val="bottom"/>
            <w:hideMark/>
          </w:tcPr>
          <w:p w14:paraId="4A44A7C4"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nil"/>
              <w:right w:val="nil"/>
            </w:tcBorders>
            <w:shd w:val="clear" w:color="auto" w:fill="auto"/>
            <w:vAlign w:val="bottom"/>
            <w:hideMark/>
          </w:tcPr>
          <w:p w14:paraId="46E4EFCE" w14:textId="77777777" w:rsidR="00596A40" w:rsidRPr="00203E93" w:rsidRDefault="00596A40" w:rsidP="00596A40">
            <w:pPr>
              <w:spacing w:line="240" w:lineRule="auto"/>
              <w:jc w:val="center"/>
              <w:rPr>
                <w:rFonts w:cs="Times New Roman"/>
                <w:color w:val="000000"/>
              </w:rPr>
            </w:pPr>
            <w:r w:rsidRPr="00203E93">
              <w:rPr>
                <w:rFonts w:cs="Times New Roman"/>
                <w:color w:val="000000"/>
              </w:rPr>
              <w:t>6%</w:t>
            </w:r>
          </w:p>
        </w:tc>
        <w:tc>
          <w:tcPr>
            <w:tcW w:w="675" w:type="dxa"/>
            <w:tcBorders>
              <w:top w:val="nil"/>
              <w:left w:val="nil"/>
              <w:bottom w:val="nil"/>
              <w:right w:val="nil"/>
            </w:tcBorders>
            <w:shd w:val="clear" w:color="auto" w:fill="auto"/>
            <w:noWrap/>
            <w:vAlign w:val="bottom"/>
            <w:hideMark/>
          </w:tcPr>
          <w:p w14:paraId="57D0975D" w14:textId="77777777" w:rsidR="00596A40" w:rsidRPr="00203E93" w:rsidRDefault="00596A40" w:rsidP="00596A40">
            <w:pPr>
              <w:spacing w:line="240" w:lineRule="auto"/>
              <w:jc w:val="right"/>
              <w:rPr>
                <w:rFonts w:cs="Times New Roman"/>
                <w:color w:val="000000"/>
              </w:rPr>
            </w:pPr>
            <w:r w:rsidRPr="00203E93">
              <w:rPr>
                <w:rFonts w:cs="Times New Roman"/>
                <w:color w:val="000000"/>
              </w:rPr>
              <w:t>0.04</w:t>
            </w:r>
          </w:p>
        </w:tc>
        <w:tc>
          <w:tcPr>
            <w:tcW w:w="585" w:type="dxa"/>
            <w:tcBorders>
              <w:top w:val="nil"/>
              <w:left w:val="nil"/>
              <w:bottom w:val="nil"/>
              <w:right w:val="nil"/>
            </w:tcBorders>
            <w:shd w:val="clear" w:color="auto" w:fill="auto"/>
            <w:noWrap/>
            <w:vAlign w:val="bottom"/>
            <w:hideMark/>
          </w:tcPr>
          <w:p w14:paraId="784BA957" w14:textId="77777777" w:rsidR="00596A40" w:rsidRPr="00203E93" w:rsidRDefault="00596A40"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nil"/>
              <w:right w:val="nil"/>
            </w:tcBorders>
            <w:shd w:val="clear" w:color="auto" w:fill="auto"/>
            <w:vAlign w:val="bottom"/>
            <w:hideMark/>
          </w:tcPr>
          <w:p w14:paraId="09AC77A7" w14:textId="77777777" w:rsidR="00596A40" w:rsidRPr="00203E93" w:rsidRDefault="00596A40" w:rsidP="00596A40">
            <w:pPr>
              <w:spacing w:line="240" w:lineRule="auto"/>
              <w:jc w:val="center"/>
              <w:rPr>
                <w:rFonts w:cs="Times New Roman"/>
                <w:color w:val="000000"/>
              </w:rPr>
            </w:pPr>
            <w:r w:rsidRPr="00203E93">
              <w:rPr>
                <w:rFonts w:cs="Times New Roman"/>
                <w:color w:val="000000"/>
              </w:rPr>
              <w:t>5%</w:t>
            </w:r>
          </w:p>
        </w:tc>
      </w:tr>
      <w:tr w:rsidR="00596A40" w:rsidRPr="00203E93" w14:paraId="2089075A" w14:textId="77777777" w:rsidTr="002B4489">
        <w:trPr>
          <w:trHeight w:val="420"/>
        </w:trPr>
        <w:tc>
          <w:tcPr>
            <w:tcW w:w="3016" w:type="dxa"/>
            <w:tcBorders>
              <w:top w:val="nil"/>
              <w:left w:val="nil"/>
              <w:bottom w:val="nil"/>
              <w:right w:val="nil"/>
            </w:tcBorders>
            <w:shd w:val="clear" w:color="auto" w:fill="auto"/>
            <w:noWrap/>
            <w:vAlign w:val="bottom"/>
            <w:hideMark/>
          </w:tcPr>
          <w:p w14:paraId="47EF0F5F" w14:textId="77777777" w:rsidR="00596A40" w:rsidRPr="00203E93" w:rsidRDefault="00596A40" w:rsidP="00596A40">
            <w:pPr>
              <w:spacing w:line="240" w:lineRule="auto"/>
              <w:rPr>
                <w:rFonts w:cs="Times New Roman"/>
                <w:color w:val="000000"/>
              </w:rPr>
            </w:pPr>
            <w:r w:rsidRPr="00203E93">
              <w:rPr>
                <w:rFonts w:cs="Times New Roman"/>
                <w:color w:val="000000"/>
              </w:rPr>
              <w:t>GCA*Year</w:t>
            </w:r>
          </w:p>
        </w:tc>
        <w:tc>
          <w:tcPr>
            <w:tcW w:w="1000" w:type="dxa"/>
            <w:tcBorders>
              <w:top w:val="nil"/>
              <w:left w:val="nil"/>
              <w:bottom w:val="nil"/>
              <w:right w:val="nil"/>
            </w:tcBorders>
            <w:shd w:val="clear" w:color="auto" w:fill="auto"/>
            <w:vAlign w:val="bottom"/>
            <w:hideMark/>
          </w:tcPr>
          <w:p w14:paraId="392D7F76" w14:textId="77777777" w:rsidR="00596A40" w:rsidRPr="00203E93" w:rsidRDefault="00596A40" w:rsidP="00596A40">
            <w:pPr>
              <w:spacing w:line="240" w:lineRule="auto"/>
              <w:jc w:val="right"/>
              <w:rPr>
                <w:rFonts w:cs="Times New Roman"/>
                <w:color w:val="000000"/>
              </w:rPr>
            </w:pPr>
          </w:p>
        </w:tc>
        <w:tc>
          <w:tcPr>
            <w:tcW w:w="585" w:type="dxa"/>
            <w:tcBorders>
              <w:top w:val="nil"/>
              <w:left w:val="nil"/>
              <w:bottom w:val="nil"/>
              <w:right w:val="nil"/>
            </w:tcBorders>
            <w:shd w:val="clear" w:color="auto" w:fill="auto"/>
            <w:noWrap/>
            <w:vAlign w:val="bottom"/>
            <w:hideMark/>
          </w:tcPr>
          <w:p w14:paraId="217FA471" w14:textId="77777777" w:rsidR="00596A40" w:rsidRPr="00203E93" w:rsidRDefault="00596A40" w:rsidP="00596A40">
            <w:pPr>
              <w:spacing w:line="240" w:lineRule="auto"/>
              <w:rPr>
                <w:rFonts w:cs="Times New Roman"/>
                <w:color w:val="000000"/>
              </w:rPr>
            </w:pPr>
          </w:p>
        </w:tc>
        <w:tc>
          <w:tcPr>
            <w:tcW w:w="656" w:type="dxa"/>
            <w:tcBorders>
              <w:top w:val="nil"/>
              <w:left w:val="nil"/>
              <w:bottom w:val="nil"/>
              <w:right w:val="nil"/>
            </w:tcBorders>
            <w:shd w:val="clear" w:color="auto" w:fill="auto"/>
            <w:vAlign w:val="bottom"/>
            <w:hideMark/>
          </w:tcPr>
          <w:p w14:paraId="38D43CF9" w14:textId="77777777" w:rsidR="00596A40" w:rsidRPr="00203E93" w:rsidRDefault="00596A40" w:rsidP="00596A40">
            <w:pPr>
              <w:spacing w:line="240" w:lineRule="auto"/>
              <w:jc w:val="center"/>
              <w:rPr>
                <w:rFonts w:cs="Times New Roman"/>
                <w:color w:val="000000"/>
              </w:rPr>
            </w:pPr>
          </w:p>
        </w:tc>
        <w:tc>
          <w:tcPr>
            <w:tcW w:w="952" w:type="dxa"/>
            <w:tcBorders>
              <w:top w:val="nil"/>
              <w:left w:val="nil"/>
              <w:bottom w:val="nil"/>
              <w:right w:val="nil"/>
            </w:tcBorders>
            <w:shd w:val="clear" w:color="auto" w:fill="auto"/>
            <w:vAlign w:val="bottom"/>
            <w:hideMark/>
          </w:tcPr>
          <w:p w14:paraId="4133DF98" w14:textId="77777777" w:rsidR="00596A40" w:rsidRPr="00203E93" w:rsidRDefault="00596A40" w:rsidP="00596A40">
            <w:pPr>
              <w:spacing w:line="240" w:lineRule="auto"/>
              <w:jc w:val="right"/>
              <w:rPr>
                <w:rFonts w:cs="Times New Roman"/>
                <w:color w:val="000000"/>
              </w:rPr>
            </w:pPr>
          </w:p>
        </w:tc>
        <w:tc>
          <w:tcPr>
            <w:tcW w:w="585" w:type="dxa"/>
            <w:tcBorders>
              <w:top w:val="nil"/>
              <w:left w:val="nil"/>
              <w:bottom w:val="nil"/>
              <w:right w:val="nil"/>
            </w:tcBorders>
            <w:shd w:val="clear" w:color="auto" w:fill="auto"/>
            <w:noWrap/>
            <w:vAlign w:val="bottom"/>
            <w:hideMark/>
          </w:tcPr>
          <w:p w14:paraId="7E159A77" w14:textId="77777777" w:rsidR="00596A40" w:rsidRPr="00203E93" w:rsidRDefault="00596A40" w:rsidP="00596A40">
            <w:pPr>
              <w:spacing w:line="240" w:lineRule="auto"/>
              <w:rPr>
                <w:rFonts w:cs="Times New Roman"/>
                <w:color w:val="000000"/>
              </w:rPr>
            </w:pPr>
          </w:p>
        </w:tc>
        <w:tc>
          <w:tcPr>
            <w:tcW w:w="656" w:type="dxa"/>
            <w:tcBorders>
              <w:top w:val="nil"/>
              <w:left w:val="nil"/>
              <w:bottom w:val="nil"/>
              <w:right w:val="nil"/>
            </w:tcBorders>
            <w:shd w:val="clear" w:color="auto" w:fill="auto"/>
            <w:vAlign w:val="bottom"/>
            <w:hideMark/>
          </w:tcPr>
          <w:p w14:paraId="1DD3B5AD" w14:textId="77777777" w:rsidR="00596A40" w:rsidRPr="00203E93" w:rsidRDefault="00596A40" w:rsidP="00596A40">
            <w:pPr>
              <w:spacing w:line="240" w:lineRule="auto"/>
              <w:jc w:val="center"/>
              <w:rPr>
                <w:rFonts w:cs="Times New Roman"/>
                <w:color w:val="000000"/>
              </w:rPr>
            </w:pPr>
          </w:p>
        </w:tc>
        <w:tc>
          <w:tcPr>
            <w:tcW w:w="675" w:type="dxa"/>
            <w:tcBorders>
              <w:top w:val="nil"/>
              <w:left w:val="nil"/>
              <w:bottom w:val="nil"/>
              <w:right w:val="nil"/>
            </w:tcBorders>
            <w:shd w:val="clear" w:color="auto" w:fill="auto"/>
            <w:noWrap/>
            <w:vAlign w:val="bottom"/>
            <w:hideMark/>
          </w:tcPr>
          <w:p w14:paraId="5DED7DCB" w14:textId="77777777" w:rsidR="00596A40" w:rsidRPr="00203E93" w:rsidRDefault="00596A40" w:rsidP="00596A40">
            <w:pPr>
              <w:spacing w:line="240" w:lineRule="auto"/>
              <w:jc w:val="right"/>
              <w:rPr>
                <w:rFonts w:cs="Times New Roman"/>
                <w:color w:val="000000"/>
              </w:rPr>
            </w:pPr>
            <w:r w:rsidRPr="00203E93">
              <w:rPr>
                <w:rFonts w:cs="Times New Roman"/>
                <w:color w:val="000000"/>
              </w:rPr>
              <w:t>0.01</w:t>
            </w:r>
          </w:p>
        </w:tc>
        <w:tc>
          <w:tcPr>
            <w:tcW w:w="585" w:type="dxa"/>
            <w:tcBorders>
              <w:top w:val="nil"/>
              <w:left w:val="nil"/>
              <w:bottom w:val="nil"/>
              <w:right w:val="nil"/>
            </w:tcBorders>
            <w:shd w:val="clear" w:color="auto" w:fill="auto"/>
            <w:noWrap/>
            <w:vAlign w:val="bottom"/>
            <w:hideMark/>
          </w:tcPr>
          <w:p w14:paraId="7AFFCDAD"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42826C7E" w14:textId="77777777" w:rsidR="00596A40" w:rsidRPr="00203E93" w:rsidRDefault="00596A40" w:rsidP="00596A40">
            <w:pPr>
              <w:spacing w:line="240" w:lineRule="auto"/>
              <w:jc w:val="center"/>
              <w:rPr>
                <w:rFonts w:cs="Times New Roman"/>
                <w:color w:val="000000"/>
              </w:rPr>
            </w:pPr>
            <w:r w:rsidRPr="00203E93">
              <w:rPr>
                <w:rFonts w:cs="Times New Roman"/>
                <w:color w:val="000000"/>
              </w:rPr>
              <w:t>1%</w:t>
            </w:r>
          </w:p>
        </w:tc>
      </w:tr>
      <w:tr w:rsidR="00596A40" w:rsidRPr="00203E93" w14:paraId="3518A8AB" w14:textId="77777777" w:rsidTr="002B4489">
        <w:trPr>
          <w:trHeight w:val="405"/>
        </w:trPr>
        <w:tc>
          <w:tcPr>
            <w:tcW w:w="3016" w:type="dxa"/>
            <w:tcBorders>
              <w:top w:val="nil"/>
              <w:left w:val="nil"/>
              <w:bottom w:val="nil"/>
              <w:right w:val="nil"/>
            </w:tcBorders>
            <w:shd w:val="clear" w:color="auto" w:fill="auto"/>
            <w:noWrap/>
            <w:vAlign w:val="bottom"/>
            <w:hideMark/>
          </w:tcPr>
          <w:p w14:paraId="43EBB88C" w14:textId="77777777" w:rsidR="00596A40" w:rsidRPr="00203E93" w:rsidRDefault="00596A40" w:rsidP="00596A40">
            <w:pPr>
              <w:spacing w:line="240" w:lineRule="auto"/>
              <w:rPr>
                <w:rFonts w:cs="Times New Roman"/>
                <w:color w:val="000000"/>
              </w:rPr>
            </w:pPr>
            <w:r w:rsidRPr="00203E93">
              <w:rPr>
                <w:rFonts w:cs="Times New Roman"/>
                <w:color w:val="000000"/>
              </w:rPr>
              <w:t>GCA*Location</w:t>
            </w:r>
          </w:p>
        </w:tc>
        <w:tc>
          <w:tcPr>
            <w:tcW w:w="1000" w:type="dxa"/>
            <w:tcBorders>
              <w:top w:val="nil"/>
              <w:left w:val="nil"/>
              <w:bottom w:val="nil"/>
              <w:right w:val="nil"/>
            </w:tcBorders>
            <w:shd w:val="clear" w:color="auto" w:fill="auto"/>
            <w:vAlign w:val="bottom"/>
            <w:hideMark/>
          </w:tcPr>
          <w:p w14:paraId="4513BD2F" w14:textId="77777777" w:rsidR="00596A40" w:rsidRPr="00203E93" w:rsidRDefault="00596A40" w:rsidP="00596A40">
            <w:pPr>
              <w:spacing w:line="240" w:lineRule="auto"/>
              <w:jc w:val="right"/>
              <w:rPr>
                <w:rFonts w:cs="Times New Roman"/>
                <w:color w:val="000000"/>
              </w:rPr>
            </w:pPr>
            <w:r w:rsidRPr="00203E93">
              <w:rPr>
                <w:rFonts w:cs="Times New Roman"/>
                <w:color w:val="000000"/>
              </w:rPr>
              <w:t>0.01</w:t>
            </w:r>
          </w:p>
        </w:tc>
        <w:tc>
          <w:tcPr>
            <w:tcW w:w="585" w:type="dxa"/>
            <w:tcBorders>
              <w:top w:val="nil"/>
              <w:left w:val="nil"/>
              <w:bottom w:val="nil"/>
              <w:right w:val="nil"/>
            </w:tcBorders>
            <w:shd w:val="clear" w:color="auto" w:fill="auto"/>
            <w:noWrap/>
            <w:vAlign w:val="bottom"/>
            <w:hideMark/>
          </w:tcPr>
          <w:p w14:paraId="214D8440"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35D74C5D" w14:textId="77777777" w:rsidR="00596A40" w:rsidRPr="00203E93" w:rsidRDefault="00596A40" w:rsidP="00596A40">
            <w:pPr>
              <w:spacing w:line="240" w:lineRule="auto"/>
              <w:jc w:val="center"/>
              <w:rPr>
                <w:rFonts w:cs="Times New Roman"/>
                <w:color w:val="000000"/>
              </w:rPr>
            </w:pPr>
            <w:r w:rsidRPr="00203E93">
              <w:rPr>
                <w:rFonts w:cs="Times New Roman"/>
                <w:color w:val="000000"/>
              </w:rPr>
              <w:t>1%</w:t>
            </w:r>
          </w:p>
        </w:tc>
        <w:tc>
          <w:tcPr>
            <w:tcW w:w="952" w:type="dxa"/>
            <w:tcBorders>
              <w:top w:val="nil"/>
              <w:left w:val="nil"/>
              <w:bottom w:val="nil"/>
              <w:right w:val="nil"/>
            </w:tcBorders>
            <w:shd w:val="clear" w:color="auto" w:fill="auto"/>
            <w:vAlign w:val="bottom"/>
            <w:hideMark/>
          </w:tcPr>
          <w:p w14:paraId="1F995FB5" w14:textId="77777777" w:rsidR="00596A40" w:rsidRPr="00203E93" w:rsidRDefault="00596A40" w:rsidP="00596A40">
            <w:pPr>
              <w:spacing w:line="240" w:lineRule="auto"/>
              <w:jc w:val="right"/>
              <w:rPr>
                <w:rFonts w:cs="Times New Roman"/>
                <w:color w:val="000000"/>
              </w:rPr>
            </w:pPr>
            <w:r w:rsidRPr="00203E93">
              <w:rPr>
                <w:rFonts w:cs="Times New Roman"/>
                <w:color w:val="000000"/>
              </w:rPr>
              <w:t>0.01</w:t>
            </w:r>
          </w:p>
        </w:tc>
        <w:tc>
          <w:tcPr>
            <w:tcW w:w="585" w:type="dxa"/>
            <w:tcBorders>
              <w:top w:val="nil"/>
              <w:left w:val="nil"/>
              <w:bottom w:val="nil"/>
              <w:right w:val="nil"/>
            </w:tcBorders>
            <w:shd w:val="clear" w:color="auto" w:fill="auto"/>
            <w:noWrap/>
            <w:vAlign w:val="bottom"/>
            <w:hideMark/>
          </w:tcPr>
          <w:p w14:paraId="59F96703"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4FF1CA23" w14:textId="77777777" w:rsidR="00596A40" w:rsidRPr="00203E93" w:rsidRDefault="00596A40" w:rsidP="00596A40">
            <w:pPr>
              <w:spacing w:line="240" w:lineRule="auto"/>
              <w:jc w:val="center"/>
              <w:rPr>
                <w:rFonts w:cs="Times New Roman"/>
                <w:color w:val="000000"/>
              </w:rPr>
            </w:pPr>
            <w:r w:rsidRPr="00203E93">
              <w:rPr>
                <w:rFonts w:cs="Times New Roman"/>
                <w:color w:val="000000"/>
              </w:rPr>
              <w:t>1%</w:t>
            </w:r>
          </w:p>
        </w:tc>
        <w:tc>
          <w:tcPr>
            <w:tcW w:w="675" w:type="dxa"/>
            <w:tcBorders>
              <w:top w:val="nil"/>
              <w:left w:val="nil"/>
              <w:bottom w:val="nil"/>
              <w:right w:val="nil"/>
            </w:tcBorders>
            <w:shd w:val="clear" w:color="auto" w:fill="auto"/>
            <w:noWrap/>
            <w:vAlign w:val="bottom"/>
            <w:hideMark/>
          </w:tcPr>
          <w:p w14:paraId="09E477B6" w14:textId="77777777" w:rsidR="00596A40" w:rsidRPr="00203E93" w:rsidRDefault="00596A40" w:rsidP="00596A40">
            <w:pPr>
              <w:spacing w:line="240" w:lineRule="auto"/>
              <w:jc w:val="right"/>
              <w:rPr>
                <w:rFonts w:cs="Times New Roman"/>
                <w:color w:val="000000"/>
              </w:rPr>
            </w:pPr>
            <w:r w:rsidRPr="00203E93">
              <w:rPr>
                <w:rFonts w:cs="Times New Roman"/>
                <w:color w:val="000000"/>
              </w:rPr>
              <w:t>0.00</w:t>
            </w:r>
          </w:p>
        </w:tc>
        <w:tc>
          <w:tcPr>
            <w:tcW w:w="585" w:type="dxa"/>
            <w:tcBorders>
              <w:top w:val="nil"/>
              <w:left w:val="nil"/>
              <w:bottom w:val="nil"/>
              <w:right w:val="nil"/>
            </w:tcBorders>
            <w:shd w:val="clear" w:color="auto" w:fill="auto"/>
            <w:noWrap/>
            <w:vAlign w:val="bottom"/>
            <w:hideMark/>
          </w:tcPr>
          <w:p w14:paraId="1CD1302D"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2031E486" w14:textId="77777777" w:rsidR="00596A40" w:rsidRPr="00203E93" w:rsidRDefault="00596A40" w:rsidP="00596A40">
            <w:pPr>
              <w:spacing w:line="240" w:lineRule="auto"/>
              <w:jc w:val="center"/>
              <w:rPr>
                <w:rFonts w:cs="Times New Roman"/>
                <w:color w:val="000000"/>
              </w:rPr>
            </w:pPr>
            <w:r w:rsidRPr="00203E93">
              <w:rPr>
                <w:rFonts w:cs="Times New Roman"/>
                <w:color w:val="000000"/>
              </w:rPr>
              <w:t>1%</w:t>
            </w:r>
          </w:p>
        </w:tc>
      </w:tr>
      <w:tr w:rsidR="00596A40" w:rsidRPr="00203E93" w14:paraId="5947560A" w14:textId="77777777" w:rsidTr="002B4489">
        <w:trPr>
          <w:trHeight w:val="420"/>
        </w:trPr>
        <w:tc>
          <w:tcPr>
            <w:tcW w:w="3016" w:type="dxa"/>
            <w:tcBorders>
              <w:top w:val="nil"/>
              <w:left w:val="nil"/>
              <w:bottom w:val="nil"/>
              <w:right w:val="nil"/>
            </w:tcBorders>
            <w:shd w:val="clear" w:color="auto" w:fill="auto"/>
            <w:noWrap/>
            <w:vAlign w:val="bottom"/>
            <w:hideMark/>
          </w:tcPr>
          <w:p w14:paraId="0E0B869C" w14:textId="77777777" w:rsidR="00596A40" w:rsidRPr="00203E93" w:rsidRDefault="00596A40" w:rsidP="00596A40">
            <w:pPr>
              <w:spacing w:line="240" w:lineRule="auto"/>
              <w:rPr>
                <w:rFonts w:cs="Times New Roman"/>
                <w:color w:val="000000"/>
              </w:rPr>
            </w:pPr>
            <w:r w:rsidRPr="00203E93">
              <w:rPr>
                <w:rFonts w:cs="Times New Roman"/>
                <w:color w:val="000000"/>
              </w:rPr>
              <w:t>GCA*Block(Location)</w:t>
            </w:r>
          </w:p>
        </w:tc>
        <w:tc>
          <w:tcPr>
            <w:tcW w:w="1000" w:type="dxa"/>
            <w:tcBorders>
              <w:top w:val="nil"/>
              <w:left w:val="nil"/>
              <w:bottom w:val="nil"/>
              <w:right w:val="nil"/>
            </w:tcBorders>
            <w:shd w:val="clear" w:color="auto" w:fill="auto"/>
            <w:vAlign w:val="bottom"/>
            <w:hideMark/>
          </w:tcPr>
          <w:p w14:paraId="6B37C405" w14:textId="77777777" w:rsidR="00596A40" w:rsidRPr="00203E93" w:rsidRDefault="00596A40" w:rsidP="00596A40">
            <w:pPr>
              <w:spacing w:line="240" w:lineRule="auto"/>
              <w:jc w:val="right"/>
              <w:rPr>
                <w:rFonts w:cs="Times New Roman"/>
                <w:color w:val="000000"/>
              </w:rPr>
            </w:pPr>
            <w:r w:rsidRPr="00203E93">
              <w:rPr>
                <w:rFonts w:cs="Times New Roman"/>
                <w:color w:val="000000"/>
              </w:rPr>
              <w:t>0.00</w:t>
            </w:r>
          </w:p>
        </w:tc>
        <w:tc>
          <w:tcPr>
            <w:tcW w:w="585" w:type="dxa"/>
            <w:tcBorders>
              <w:top w:val="nil"/>
              <w:left w:val="nil"/>
              <w:bottom w:val="nil"/>
              <w:right w:val="nil"/>
            </w:tcBorders>
            <w:shd w:val="clear" w:color="auto" w:fill="auto"/>
            <w:noWrap/>
            <w:vAlign w:val="bottom"/>
            <w:hideMark/>
          </w:tcPr>
          <w:p w14:paraId="5567DA3E"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0C2C620E" w14:textId="77777777" w:rsidR="00596A40" w:rsidRPr="00203E93" w:rsidRDefault="00596A40" w:rsidP="00596A40">
            <w:pPr>
              <w:spacing w:line="240" w:lineRule="auto"/>
              <w:jc w:val="center"/>
              <w:rPr>
                <w:rFonts w:cs="Times New Roman"/>
                <w:color w:val="000000"/>
              </w:rPr>
            </w:pPr>
            <w:r w:rsidRPr="00203E93">
              <w:rPr>
                <w:rFonts w:cs="Times New Roman"/>
                <w:color w:val="000000"/>
              </w:rPr>
              <w:t>0%</w:t>
            </w:r>
          </w:p>
        </w:tc>
        <w:tc>
          <w:tcPr>
            <w:tcW w:w="952" w:type="dxa"/>
            <w:tcBorders>
              <w:top w:val="nil"/>
              <w:left w:val="nil"/>
              <w:bottom w:val="nil"/>
              <w:right w:val="nil"/>
            </w:tcBorders>
            <w:shd w:val="clear" w:color="auto" w:fill="auto"/>
            <w:vAlign w:val="bottom"/>
            <w:hideMark/>
          </w:tcPr>
          <w:p w14:paraId="1DBA6B49" w14:textId="77777777" w:rsidR="00596A40" w:rsidRPr="00203E93" w:rsidRDefault="00596A40" w:rsidP="00596A40">
            <w:pPr>
              <w:spacing w:line="240" w:lineRule="auto"/>
              <w:jc w:val="right"/>
              <w:rPr>
                <w:rFonts w:cs="Times New Roman"/>
                <w:color w:val="000000"/>
              </w:rPr>
            </w:pPr>
            <w:r w:rsidRPr="00203E93">
              <w:rPr>
                <w:rFonts w:cs="Times New Roman"/>
                <w:color w:val="000000"/>
              </w:rPr>
              <w:t>0.01</w:t>
            </w:r>
          </w:p>
        </w:tc>
        <w:tc>
          <w:tcPr>
            <w:tcW w:w="585" w:type="dxa"/>
            <w:tcBorders>
              <w:top w:val="nil"/>
              <w:left w:val="nil"/>
              <w:bottom w:val="nil"/>
              <w:right w:val="nil"/>
            </w:tcBorders>
            <w:shd w:val="clear" w:color="auto" w:fill="auto"/>
            <w:noWrap/>
            <w:vAlign w:val="bottom"/>
            <w:hideMark/>
          </w:tcPr>
          <w:p w14:paraId="13B28BD7"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43AB730C" w14:textId="77777777" w:rsidR="00596A40" w:rsidRPr="00203E93" w:rsidRDefault="00596A40" w:rsidP="00596A40">
            <w:pPr>
              <w:spacing w:line="240" w:lineRule="auto"/>
              <w:jc w:val="center"/>
              <w:rPr>
                <w:rFonts w:cs="Times New Roman"/>
                <w:color w:val="000000"/>
              </w:rPr>
            </w:pPr>
            <w:r w:rsidRPr="00203E93">
              <w:rPr>
                <w:rFonts w:cs="Times New Roman"/>
                <w:color w:val="000000"/>
              </w:rPr>
              <w:t>1%</w:t>
            </w:r>
          </w:p>
        </w:tc>
        <w:tc>
          <w:tcPr>
            <w:tcW w:w="675" w:type="dxa"/>
            <w:tcBorders>
              <w:top w:val="nil"/>
              <w:left w:val="nil"/>
              <w:bottom w:val="nil"/>
              <w:right w:val="nil"/>
            </w:tcBorders>
            <w:shd w:val="clear" w:color="auto" w:fill="auto"/>
            <w:noWrap/>
            <w:vAlign w:val="bottom"/>
            <w:hideMark/>
          </w:tcPr>
          <w:p w14:paraId="23697930" w14:textId="77777777" w:rsidR="00596A40" w:rsidRPr="00203E93" w:rsidRDefault="00596A40" w:rsidP="00596A40">
            <w:pPr>
              <w:spacing w:line="240" w:lineRule="auto"/>
              <w:jc w:val="right"/>
              <w:rPr>
                <w:rFonts w:cs="Times New Roman"/>
                <w:color w:val="000000"/>
              </w:rPr>
            </w:pPr>
            <w:r w:rsidRPr="00203E93">
              <w:rPr>
                <w:rFonts w:cs="Times New Roman"/>
                <w:color w:val="000000"/>
              </w:rPr>
              <w:t>0.00</w:t>
            </w:r>
          </w:p>
        </w:tc>
        <w:tc>
          <w:tcPr>
            <w:tcW w:w="585" w:type="dxa"/>
            <w:tcBorders>
              <w:top w:val="nil"/>
              <w:left w:val="nil"/>
              <w:bottom w:val="nil"/>
              <w:right w:val="nil"/>
            </w:tcBorders>
            <w:shd w:val="clear" w:color="auto" w:fill="auto"/>
            <w:noWrap/>
            <w:vAlign w:val="bottom"/>
            <w:hideMark/>
          </w:tcPr>
          <w:p w14:paraId="205AFA82" w14:textId="77777777" w:rsidR="00596A40" w:rsidRPr="00203E93" w:rsidRDefault="00596A40"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5D491F6C" w14:textId="77777777" w:rsidR="00596A40" w:rsidRPr="00203E93" w:rsidRDefault="00596A40" w:rsidP="00596A40">
            <w:pPr>
              <w:spacing w:line="240" w:lineRule="auto"/>
              <w:jc w:val="center"/>
              <w:rPr>
                <w:rFonts w:cs="Times New Roman"/>
                <w:color w:val="000000"/>
              </w:rPr>
            </w:pPr>
            <w:r w:rsidRPr="00203E93">
              <w:rPr>
                <w:rFonts w:cs="Times New Roman"/>
                <w:color w:val="000000"/>
              </w:rPr>
              <w:t>0%</w:t>
            </w:r>
          </w:p>
        </w:tc>
      </w:tr>
      <w:tr w:rsidR="00B813E6" w:rsidRPr="00203E93" w14:paraId="3E0F3738" w14:textId="77777777" w:rsidTr="002B4489">
        <w:trPr>
          <w:trHeight w:val="315"/>
        </w:trPr>
        <w:tc>
          <w:tcPr>
            <w:tcW w:w="3016" w:type="dxa"/>
            <w:tcBorders>
              <w:top w:val="nil"/>
              <w:left w:val="nil"/>
              <w:bottom w:val="nil"/>
              <w:right w:val="nil"/>
            </w:tcBorders>
            <w:shd w:val="clear" w:color="auto" w:fill="auto"/>
            <w:noWrap/>
            <w:vAlign w:val="bottom"/>
            <w:hideMark/>
          </w:tcPr>
          <w:p w14:paraId="20BC9560" w14:textId="77777777" w:rsidR="00B813E6" w:rsidRPr="00203E93" w:rsidRDefault="00B813E6" w:rsidP="00596A40">
            <w:pPr>
              <w:spacing w:line="240" w:lineRule="auto"/>
              <w:rPr>
                <w:rFonts w:cs="Times New Roman"/>
                <w:color w:val="000000"/>
              </w:rPr>
            </w:pPr>
            <w:r w:rsidRPr="00203E93">
              <w:rPr>
                <w:rFonts w:cs="Times New Roman"/>
                <w:color w:val="000000"/>
              </w:rPr>
              <w:t>SCA*Block(Location)</w:t>
            </w:r>
          </w:p>
        </w:tc>
        <w:tc>
          <w:tcPr>
            <w:tcW w:w="1000" w:type="dxa"/>
            <w:tcBorders>
              <w:top w:val="nil"/>
              <w:left w:val="nil"/>
              <w:bottom w:val="nil"/>
              <w:right w:val="nil"/>
            </w:tcBorders>
            <w:shd w:val="clear" w:color="auto" w:fill="auto"/>
            <w:vAlign w:val="bottom"/>
            <w:hideMark/>
          </w:tcPr>
          <w:p w14:paraId="7DBB523F" w14:textId="77777777" w:rsidR="00B813E6" w:rsidRPr="00203E93" w:rsidRDefault="00B813E6" w:rsidP="00596A40">
            <w:pPr>
              <w:spacing w:line="240" w:lineRule="auto"/>
              <w:jc w:val="right"/>
              <w:rPr>
                <w:rFonts w:cs="Times New Roman"/>
                <w:color w:val="000000"/>
              </w:rPr>
            </w:pPr>
            <w:r w:rsidRPr="00203E93">
              <w:rPr>
                <w:rFonts w:cs="Times New Roman"/>
                <w:color w:val="000000"/>
              </w:rPr>
              <w:t>0.00</w:t>
            </w:r>
          </w:p>
        </w:tc>
        <w:tc>
          <w:tcPr>
            <w:tcW w:w="585" w:type="dxa"/>
            <w:tcBorders>
              <w:top w:val="nil"/>
              <w:left w:val="nil"/>
              <w:bottom w:val="nil"/>
              <w:right w:val="nil"/>
            </w:tcBorders>
            <w:shd w:val="clear" w:color="auto" w:fill="auto"/>
            <w:noWrap/>
            <w:vAlign w:val="bottom"/>
            <w:hideMark/>
          </w:tcPr>
          <w:p w14:paraId="164F3AF1" w14:textId="77777777" w:rsidR="00B813E6" w:rsidRPr="00203E93" w:rsidRDefault="00B813E6"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7894F35C" w14:textId="77777777" w:rsidR="00B813E6" w:rsidRPr="00203E93" w:rsidRDefault="00B813E6" w:rsidP="00596A40">
            <w:pPr>
              <w:spacing w:line="240" w:lineRule="auto"/>
              <w:jc w:val="center"/>
              <w:rPr>
                <w:rFonts w:cs="Times New Roman"/>
                <w:color w:val="000000"/>
              </w:rPr>
            </w:pPr>
            <w:r w:rsidRPr="00203E93">
              <w:rPr>
                <w:rFonts w:cs="Times New Roman"/>
                <w:color w:val="000000"/>
              </w:rPr>
              <w:t>0%</w:t>
            </w:r>
          </w:p>
        </w:tc>
        <w:tc>
          <w:tcPr>
            <w:tcW w:w="952" w:type="dxa"/>
            <w:tcBorders>
              <w:top w:val="nil"/>
              <w:left w:val="nil"/>
              <w:bottom w:val="nil"/>
              <w:right w:val="nil"/>
            </w:tcBorders>
            <w:shd w:val="clear" w:color="auto" w:fill="auto"/>
            <w:vAlign w:val="bottom"/>
            <w:hideMark/>
          </w:tcPr>
          <w:p w14:paraId="0548F907" w14:textId="77777777" w:rsidR="00B813E6" w:rsidRPr="00203E93" w:rsidRDefault="00B813E6" w:rsidP="00596A40">
            <w:pPr>
              <w:spacing w:line="240" w:lineRule="auto"/>
              <w:jc w:val="right"/>
              <w:rPr>
                <w:rFonts w:cs="Times New Roman"/>
                <w:color w:val="000000"/>
              </w:rPr>
            </w:pPr>
            <w:r w:rsidRPr="00203E93">
              <w:rPr>
                <w:rFonts w:cs="Times New Roman"/>
                <w:color w:val="000000"/>
              </w:rPr>
              <w:t>0.02</w:t>
            </w:r>
          </w:p>
        </w:tc>
        <w:tc>
          <w:tcPr>
            <w:tcW w:w="585" w:type="dxa"/>
            <w:tcBorders>
              <w:top w:val="nil"/>
              <w:left w:val="nil"/>
              <w:bottom w:val="nil"/>
              <w:right w:val="nil"/>
            </w:tcBorders>
            <w:shd w:val="clear" w:color="auto" w:fill="auto"/>
            <w:noWrap/>
            <w:vAlign w:val="bottom"/>
            <w:hideMark/>
          </w:tcPr>
          <w:p w14:paraId="5B862488" w14:textId="77777777" w:rsidR="00B813E6" w:rsidRPr="00203E93" w:rsidRDefault="00B813E6" w:rsidP="00596A40">
            <w:pPr>
              <w:spacing w:line="240" w:lineRule="auto"/>
              <w:rPr>
                <w:rFonts w:cs="Times New Roman"/>
                <w:color w:val="000000"/>
              </w:rPr>
            </w:pPr>
            <w:r w:rsidRPr="00203E93">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44346EF1" w14:textId="77777777" w:rsidR="00B813E6" w:rsidRPr="00203E93" w:rsidRDefault="00B813E6" w:rsidP="00596A40">
            <w:pPr>
              <w:spacing w:line="240" w:lineRule="auto"/>
              <w:jc w:val="center"/>
              <w:rPr>
                <w:rFonts w:cs="Times New Roman"/>
                <w:color w:val="000000"/>
              </w:rPr>
            </w:pPr>
            <w:r w:rsidRPr="00203E93">
              <w:rPr>
                <w:rFonts w:cs="Times New Roman"/>
                <w:color w:val="000000"/>
              </w:rPr>
              <w:t>3%</w:t>
            </w:r>
          </w:p>
        </w:tc>
        <w:tc>
          <w:tcPr>
            <w:tcW w:w="675" w:type="dxa"/>
            <w:tcBorders>
              <w:top w:val="nil"/>
              <w:left w:val="nil"/>
              <w:bottom w:val="nil"/>
              <w:right w:val="nil"/>
            </w:tcBorders>
            <w:shd w:val="clear" w:color="auto" w:fill="auto"/>
            <w:noWrap/>
            <w:vAlign w:val="bottom"/>
            <w:hideMark/>
          </w:tcPr>
          <w:p w14:paraId="2A90DEDB" w14:textId="77777777" w:rsidR="00B813E6" w:rsidRPr="00203E93" w:rsidRDefault="00B813E6" w:rsidP="00596A40">
            <w:pPr>
              <w:spacing w:line="240" w:lineRule="auto"/>
              <w:jc w:val="right"/>
              <w:rPr>
                <w:rFonts w:cs="Times New Roman"/>
                <w:color w:val="000000"/>
              </w:rPr>
            </w:pPr>
            <w:r w:rsidRPr="00203E93">
              <w:rPr>
                <w:rFonts w:cs="Times New Roman"/>
                <w:color w:val="000000"/>
              </w:rPr>
              <w:t>0.06</w:t>
            </w:r>
          </w:p>
        </w:tc>
        <w:tc>
          <w:tcPr>
            <w:tcW w:w="585" w:type="dxa"/>
            <w:tcBorders>
              <w:top w:val="nil"/>
              <w:left w:val="nil"/>
              <w:bottom w:val="nil"/>
              <w:right w:val="nil"/>
            </w:tcBorders>
            <w:shd w:val="clear" w:color="auto" w:fill="auto"/>
            <w:noWrap/>
            <w:vAlign w:val="bottom"/>
            <w:hideMark/>
          </w:tcPr>
          <w:p w14:paraId="12C24018" w14:textId="77777777" w:rsidR="00B813E6" w:rsidRPr="00203E93" w:rsidRDefault="00B813E6"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nil"/>
              <w:right w:val="nil"/>
            </w:tcBorders>
            <w:shd w:val="clear" w:color="auto" w:fill="auto"/>
            <w:vAlign w:val="bottom"/>
            <w:hideMark/>
          </w:tcPr>
          <w:p w14:paraId="4121859A" w14:textId="77777777" w:rsidR="00B813E6" w:rsidRPr="00203E93" w:rsidRDefault="00B813E6" w:rsidP="00596A40">
            <w:pPr>
              <w:spacing w:line="240" w:lineRule="auto"/>
              <w:jc w:val="center"/>
              <w:rPr>
                <w:rFonts w:cs="Times New Roman"/>
                <w:color w:val="000000"/>
              </w:rPr>
            </w:pPr>
            <w:r w:rsidRPr="00203E93">
              <w:rPr>
                <w:rFonts w:cs="Times New Roman"/>
                <w:color w:val="000000"/>
              </w:rPr>
              <w:t>6%</w:t>
            </w:r>
          </w:p>
        </w:tc>
      </w:tr>
      <w:tr w:rsidR="00B813E6" w:rsidRPr="00203E93" w14:paraId="3FC2EC5C" w14:textId="77777777" w:rsidTr="004F35FB">
        <w:trPr>
          <w:trHeight w:val="315"/>
        </w:trPr>
        <w:tc>
          <w:tcPr>
            <w:tcW w:w="3016" w:type="dxa"/>
            <w:tcBorders>
              <w:top w:val="nil"/>
              <w:left w:val="nil"/>
              <w:bottom w:val="single" w:sz="8" w:space="0" w:color="auto"/>
              <w:right w:val="nil"/>
            </w:tcBorders>
            <w:shd w:val="clear" w:color="auto" w:fill="auto"/>
            <w:noWrap/>
            <w:vAlign w:val="bottom"/>
            <w:hideMark/>
          </w:tcPr>
          <w:p w14:paraId="68C623C0" w14:textId="77777777" w:rsidR="00B813E6" w:rsidRPr="00203E93" w:rsidRDefault="00B813E6" w:rsidP="00596A40">
            <w:pPr>
              <w:spacing w:line="240" w:lineRule="auto"/>
              <w:rPr>
                <w:rFonts w:cs="Times New Roman"/>
                <w:color w:val="000000"/>
              </w:rPr>
            </w:pPr>
            <w:r w:rsidRPr="00203E93">
              <w:rPr>
                <w:rFonts w:cs="Times New Roman"/>
                <w:color w:val="000000"/>
              </w:rPr>
              <w:t>Residual</w:t>
            </w:r>
          </w:p>
        </w:tc>
        <w:tc>
          <w:tcPr>
            <w:tcW w:w="1000" w:type="dxa"/>
            <w:tcBorders>
              <w:top w:val="nil"/>
              <w:left w:val="nil"/>
              <w:bottom w:val="single" w:sz="8" w:space="0" w:color="auto"/>
              <w:right w:val="nil"/>
            </w:tcBorders>
            <w:shd w:val="clear" w:color="auto" w:fill="auto"/>
            <w:vAlign w:val="bottom"/>
            <w:hideMark/>
          </w:tcPr>
          <w:p w14:paraId="145676BC" w14:textId="77777777" w:rsidR="00B813E6" w:rsidRPr="00203E93" w:rsidRDefault="00B813E6" w:rsidP="00596A40">
            <w:pPr>
              <w:spacing w:line="240" w:lineRule="auto"/>
              <w:jc w:val="right"/>
              <w:rPr>
                <w:rFonts w:cs="Times New Roman"/>
                <w:color w:val="000000"/>
              </w:rPr>
            </w:pPr>
            <w:r w:rsidRPr="00203E93">
              <w:rPr>
                <w:rFonts w:cs="Times New Roman"/>
                <w:color w:val="000000"/>
              </w:rPr>
              <w:t>0.84</w:t>
            </w:r>
          </w:p>
        </w:tc>
        <w:tc>
          <w:tcPr>
            <w:tcW w:w="585" w:type="dxa"/>
            <w:tcBorders>
              <w:top w:val="nil"/>
              <w:left w:val="nil"/>
              <w:bottom w:val="single" w:sz="8" w:space="0" w:color="auto"/>
              <w:right w:val="nil"/>
            </w:tcBorders>
            <w:shd w:val="clear" w:color="auto" w:fill="auto"/>
            <w:noWrap/>
            <w:vAlign w:val="bottom"/>
            <w:hideMark/>
          </w:tcPr>
          <w:p w14:paraId="5415D90C" w14:textId="77777777" w:rsidR="00B813E6" w:rsidRPr="00203E93" w:rsidRDefault="00B813E6"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single" w:sz="8" w:space="0" w:color="auto"/>
              <w:right w:val="nil"/>
            </w:tcBorders>
            <w:shd w:val="clear" w:color="auto" w:fill="auto"/>
            <w:vAlign w:val="bottom"/>
            <w:hideMark/>
          </w:tcPr>
          <w:p w14:paraId="65347786" w14:textId="77777777" w:rsidR="00B813E6" w:rsidRPr="00203E93" w:rsidRDefault="00B813E6" w:rsidP="00596A40">
            <w:pPr>
              <w:spacing w:line="240" w:lineRule="auto"/>
              <w:jc w:val="center"/>
              <w:rPr>
                <w:rFonts w:cs="Times New Roman"/>
                <w:color w:val="000000"/>
              </w:rPr>
            </w:pPr>
            <w:r w:rsidRPr="00203E93">
              <w:rPr>
                <w:rFonts w:cs="Times New Roman"/>
                <w:color w:val="000000"/>
              </w:rPr>
              <w:t>93%</w:t>
            </w:r>
          </w:p>
        </w:tc>
        <w:tc>
          <w:tcPr>
            <w:tcW w:w="952" w:type="dxa"/>
            <w:tcBorders>
              <w:top w:val="nil"/>
              <w:left w:val="nil"/>
              <w:bottom w:val="single" w:sz="8" w:space="0" w:color="auto"/>
              <w:right w:val="nil"/>
            </w:tcBorders>
            <w:shd w:val="clear" w:color="auto" w:fill="auto"/>
            <w:vAlign w:val="bottom"/>
            <w:hideMark/>
          </w:tcPr>
          <w:p w14:paraId="28DA4B8A" w14:textId="77777777" w:rsidR="00B813E6" w:rsidRPr="00203E93" w:rsidRDefault="00B813E6" w:rsidP="00596A40">
            <w:pPr>
              <w:spacing w:line="240" w:lineRule="auto"/>
              <w:jc w:val="right"/>
              <w:rPr>
                <w:rFonts w:cs="Times New Roman"/>
                <w:color w:val="000000"/>
              </w:rPr>
            </w:pPr>
            <w:r w:rsidRPr="00203E93">
              <w:rPr>
                <w:rFonts w:cs="Times New Roman"/>
                <w:color w:val="000000"/>
              </w:rPr>
              <w:t>0.80</w:t>
            </w:r>
          </w:p>
        </w:tc>
        <w:tc>
          <w:tcPr>
            <w:tcW w:w="585" w:type="dxa"/>
            <w:tcBorders>
              <w:top w:val="nil"/>
              <w:left w:val="nil"/>
              <w:bottom w:val="single" w:sz="8" w:space="0" w:color="auto"/>
              <w:right w:val="nil"/>
            </w:tcBorders>
            <w:shd w:val="clear" w:color="auto" w:fill="auto"/>
            <w:noWrap/>
            <w:vAlign w:val="bottom"/>
            <w:hideMark/>
          </w:tcPr>
          <w:p w14:paraId="5990AA46" w14:textId="77777777" w:rsidR="00B813E6" w:rsidRPr="00203E93" w:rsidRDefault="00B813E6"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single" w:sz="8" w:space="0" w:color="auto"/>
              <w:right w:val="nil"/>
            </w:tcBorders>
            <w:shd w:val="clear" w:color="auto" w:fill="auto"/>
            <w:vAlign w:val="bottom"/>
            <w:hideMark/>
          </w:tcPr>
          <w:p w14:paraId="1DE121AA" w14:textId="77777777" w:rsidR="00B813E6" w:rsidRPr="00203E93" w:rsidRDefault="00B813E6" w:rsidP="00596A40">
            <w:pPr>
              <w:spacing w:line="240" w:lineRule="auto"/>
              <w:jc w:val="center"/>
              <w:rPr>
                <w:rFonts w:cs="Times New Roman"/>
                <w:color w:val="000000"/>
              </w:rPr>
            </w:pPr>
            <w:r w:rsidRPr="00203E93">
              <w:rPr>
                <w:rFonts w:cs="Times New Roman"/>
                <w:color w:val="000000"/>
              </w:rPr>
              <w:t>85%</w:t>
            </w:r>
          </w:p>
        </w:tc>
        <w:tc>
          <w:tcPr>
            <w:tcW w:w="675" w:type="dxa"/>
            <w:tcBorders>
              <w:top w:val="nil"/>
              <w:left w:val="nil"/>
              <w:bottom w:val="single" w:sz="8" w:space="0" w:color="auto"/>
              <w:right w:val="nil"/>
            </w:tcBorders>
            <w:shd w:val="clear" w:color="auto" w:fill="auto"/>
            <w:noWrap/>
            <w:vAlign w:val="bottom"/>
            <w:hideMark/>
          </w:tcPr>
          <w:p w14:paraId="60D52F41" w14:textId="77777777" w:rsidR="00B813E6" w:rsidRPr="00203E93" w:rsidRDefault="00B813E6" w:rsidP="00596A40">
            <w:pPr>
              <w:spacing w:line="240" w:lineRule="auto"/>
              <w:jc w:val="right"/>
              <w:rPr>
                <w:rFonts w:cs="Times New Roman"/>
                <w:color w:val="000000"/>
              </w:rPr>
            </w:pPr>
            <w:r w:rsidRPr="00203E93">
              <w:rPr>
                <w:rFonts w:cs="Times New Roman"/>
                <w:color w:val="000000"/>
              </w:rPr>
              <w:t>0.78</w:t>
            </w:r>
          </w:p>
        </w:tc>
        <w:tc>
          <w:tcPr>
            <w:tcW w:w="585" w:type="dxa"/>
            <w:tcBorders>
              <w:top w:val="nil"/>
              <w:left w:val="nil"/>
              <w:bottom w:val="single" w:sz="8" w:space="0" w:color="auto"/>
              <w:right w:val="nil"/>
            </w:tcBorders>
            <w:shd w:val="clear" w:color="auto" w:fill="auto"/>
            <w:noWrap/>
            <w:vAlign w:val="bottom"/>
            <w:hideMark/>
          </w:tcPr>
          <w:p w14:paraId="6D82A8CD" w14:textId="77777777" w:rsidR="00B813E6" w:rsidRPr="00203E93" w:rsidRDefault="00B813E6" w:rsidP="00596A40">
            <w:pPr>
              <w:spacing w:line="240" w:lineRule="auto"/>
              <w:rPr>
                <w:rFonts w:cs="Times New Roman"/>
                <w:color w:val="000000"/>
              </w:rPr>
            </w:pPr>
            <w:r w:rsidRPr="00203E93">
              <w:rPr>
                <w:rFonts w:cs="Times New Roman"/>
                <w:color w:val="000000"/>
              </w:rPr>
              <w:t>***</w:t>
            </w:r>
          </w:p>
        </w:tc>
        <w:tc>
          <w:tcPr>
            <w:tcW w:w="656" w:type="dxa"/>
            <w:tcBorders>
              <w:top w:val="nil"/>
              <w:left w:val="nil"/>
              <w:bottom w:val="single" w:sz="8" w:space="0" w:color="auto"/>
              <w:right w:val="nil"/>
            </w:tcBorders>
            <w:shd w:val="clear" w:color="auto" w:fill="auto"/>
            <w:vAlign w:val="bottom"/>
            <w:hideMark/>
          </w:tcPr>
          <w:p w14:paraId="4892B8A8" w14:textId="77777777" w:rsidR="00B813E6" w:rsidRPr="00203E93" w:rsidRDefault="00B813E6" w:rsidP="00596A40">
            <w:pPr>
              <w:spacing w:line="240" w:lineRule="auto"/>
              <w:jc w:val="center"/>
              <w:rPr>
                <w:rFonts w:cs="Times New Roman"/>
                <w:color w:val="000000"/>
              </w:rPr>
            </w:pPr>
            <w:r w:rsidRPr="00203E93">
              <w:rPr>
                <w:rFonts w:cs="Times New Roman"/>
                <w:color w:val="000000"/>
              </w:rPr>
              <w:t>84%</w:t>
            </w:r>
          </w:p>
        </w:tc>
      </w:tr>
      <w:tr w:rsidR="00B813E6" w:rsidRPr="00203E93" w14:paraId="7143A148" w14:textId="77777777" w:rsidTr="004F35FB">
        <w:trPr>
          <w:trHeight w:val="330"/>
        </w:trPr>
        <w:tc>
          <w:tcPr>
            <w:tcW w:w="9366" w:type="dxa"/>
            <w:gridSpan w:val="10"/>
            <w:tcBorders>
              <w:top w:val="single" w:sz="8" w:space="0" w:color="auto"/>
              <w:left w:val="nil"/>
              <w:right w:val="nil"/>
            </w:tcBorders>
            <w:shd w:val="clear" w:color="auto" w:fill="auto"/>
            <w:noWrap/>
            <w:vAlign w:val="bottom"/>
            <w:hideMark/>
          </w:tcPr>
          <w:p w14:paraId="33F24B68" w14:textId="7A8BA0A2" w:rsidR="00B813E6" w:rsidRPr="00203E93" w:rsidRDefault="00B813E6" w:rsidP="00B813E6">
            <w:pPr>
              <w:spacing w:line="240" w:lineRule="auto"/>
              <w:rPr>
                <w:rFonts w:cs="Times New Roman"/>
                <w:color w:val="000000"/>
              </w:rPr>
            </w:pPr>
            <w:r w:rsidRPr="000F73C0">
              <w:rPr>
                <w:rFonts w:cs="Times New Roman"/>
                <w:color w:val="000000"/>
                <w:vertAlign w:val="subscript"/>
              </w:rPr>
              <w:t xml:space="preserve">* </w:t>
            </w:r>
            <w:r w:rsidR="00B7572A">
              <w:rPr>
                <w:rFonts w:cs="Times New Roman"/>
                <w:color w:val="000000"/>
                <w:vertAlign w:val="subscript"/>
              </w:rPr>
              <w:t xml:space="preserve">P </w:t>
            </w:r>
            <w:r w:rsidR="009021A8">
              <w:rPr>
                <w:rFonts w:cs="Times New Roman"/>
                <w:color w:val="000000"/>
                <w:vertAlign w:val="subscript"/>
              </w:rPr>
              <w:t xml:space="preserve">&lt; </w:t>
            </w:r>
            <w:r w:rsidRPr="000F73C0">
              <w:rPr>
                <w:rFonts w:cs="Times New Roman"/>
                <w:color w:val="000000"/>
                <w:vertAlign w:val="subscript"/>
              </w:rPr>
              <w:t>0.05, **</w:t>
            </w:r>
            <w:r w:rsidR="00B7572A">
              <w:rPr>
                <w:rFonts w:cs="Times New Roman"/>
                <w:color w:val="000000"/>
                <w:vertAlign w:val="subscript"/>
              </w:rPr>
              <w:t xml:space="preserve">P </w:t>
            </w:r>
            <w:r w:rsidR="009021A8">
              <w:rPr>
                <w:rFonts w:cs="Times New Roman"/>
                <w:color w:val="000000"/>
                <w:vertAlign w:val="subscript"/>
              </w:rPr>
              <w:t xml:space="preserve">&lt; </w:t>
            </w:r>
            <w:r w:rsidRPr="000F73C0">
              <w:rPr>
                <w:rFonts w:cs="Times New Roman"/>
                <w:color w:val="000000"/>
                <w:vertAlign w:val="subscript"/>
              </w:rPr>
              <w:t>0.01, ***</w:t>
            </w:r>
            <w:r w:rsidR="00B7572A">
              <w:rPr>
                <w:rFonts w:cs="Times New Roman"/>
                <w:color w:val="000000"/>
                <w:vertAlign w:val="subscript"/>
              </w:rPr>
              <w:t xml:space="preserve">P </w:t>
            </w:r>
            <w:r w:rsidR="009021A8">
              <w:rPr>
                <w:rFonts w:cs="Times New Roman"/>
                <w:color w:val="000000"/>
                <w:vertAlign w:val="subscript"/>
              </w:rPr>
              <w:t xml:space="preserve">&lt; </w:t>
            </w:r>
            <w:r w:rsidRPr="000F73C0">
              <w:rPr>
                <w:rFonts w:cs="Times New Roman"/>
                <w:color w:val="000000"/>
                <w:vertAlign w:val="subscript"/>
              </w:rPr>
              <w:t>0.001 respectively</w:t>
            </w:r>
          </w:p>
        </w:tc>
      </w:tr>
    </w:tbl>
    <w:p w14:paraId="253E9C9A" w14:textId="77777777" w:rsidR="00596A40" w:rsidRDefault="00596A40" w:rsidP="00596A40">
      <w:r>
        <w:t xml:space="preserve"> </w:t>
      </w:r>
    </w:p>
    <w:p w14:paraId="6E0A9510" w14:textId="77777777" w:rsidR="000F73C0" w:rsidRDefault="000F73C0">
      <w:pPr>
        <w:spacing w:line="240" w:lineRule="auto"/>
        <w:rPr>
          <w:b/>
          <w:bCs/>
        </w:rPr>
      </w:pPr>
      <w:r>
        <w:br w:type="page"/>
      </w:r>
    </w:p>
    <w:p w14:paraId="738F0F76" w14:textId="525104EC" w:rsidR="00E7669F" w:rsidRPr="00E7669F" w:rsidRDefault="00E7669F" w:rsidP="00AB1E56">
      <w:pPr>
        <w:rPr>
          <w:b/>
        </w:rPr>
      </w:pPr>
      <w:r w:rsidRPr="00E7669F">
        <w:rPr>
          <w:b/>
        </w:rPr>
        <w:lastRenderedPageBreak/>
        <w:t>Table 2-3, continued</w:t>
      </w:r>
    </w:p>
    <w:p w14:paraId="27056DD7" w14:textId="77777777" w:rsidR="002B4489" w:rsidRPr="00E7669F" w:rsidRDefault="00AB1E56" w:rsidP="00E7669F">
      <w:pPr>
        <w:spacing w:line="240" w:lineRule="auto"/>
        <w:rPr>
          <w:rFonts w:eastAsiaTheme="minorHAnsi"/>
          <w:b/>
        </w:rPr>
      </w:pPr>
      <w:r w:rsidRPr="00E7669F">
        <w:rPr>
          <w:b/>
        </w:rPr>
        <w:t>Table 2-3 E.</w:t>
      </w:r>
    </w:p>
    <w:tbl>
      <w:tblPr>
        <w:tblW w:w="7266" w:type="dxa"/>
        <w:tblInd w:w="93" w:type="dxa"/>
        <w:tblLook w:val="04A0" w:firstRow="1" w:lastRow="0" w:firstColumn="1" w:lastColumn="0" w:noHBand="0" w:noVBand="1"/>
      </w:tblPr>
      <w:tblGrid>
        <w:gridCol w:w="3016"/>
        <w:gridCol w:w="893"/>
        <w:gridCol w:w="576"/>
        <w:gridCol w:w="656"/>
        <w:gridCol w:w="893"/>
        <w:gridCol w:w="576"/>
        <w:gridCol w:w="656"/>
      </w:tblGrid>
      <w:tr w:rsidR="00794998" w:rsidRPr="009B288B" w14:paraId="7D2D2470" w14:textId="77777777" w:rsidTr="00331751">
        <w:trPr>
          <w:trHeight w:val="315"/>
        </w:trPr>
        <w:tc>
          <w:tcPr>
            <w:tcW w:w="3016" w:type="dxa"/>
            <w:tcBorders>
              <w:top w:val="single" w:sz="8" w:space="0" w:color="auto"/>
              <w:left w:val="nil"/>
              <w:bottom w:val="nil"/>
              <w:right w:val="nil"/>
            </w:tcBorders>
            <w:shd w:val="clear" w:color="auto" w:fill="auto"/>
            <w:noWrap/>
            <w:vAlign w:val="bottom"/>
            <w:hideMark/>
          </w:tcPr>
          <w:p w14:paraId="1653A1A8" w14:textId="77777777" w:rsidR="00794998" w:rsidRPr="009B288B" w:rsidRDefault="00794998" w:rsidP="00596A40">
            <w:pPr>
              <w:spacing w:line="240" w:lineRule="auto"/>
              <w:rPr>
                <w:rFonts w:cs="Times New Roman"/>
                <w:color w:val="000000"/>
              </w:rPr>
            </w:pPr>
            <w:r w:rsidRPr="009B288B">
              <w:rPr>
                <w:rFonts w:cs="Times New Roman"/>
                <w:color w:val="000000"/>
              </w:rPr>
              <w:t> </w:t>
            </w:r>
          </w:p>
        </w:tc>
        <w:tc>
          <w:tcPr>
            <w:tcW w:w="4250" w:type="dxa"/>
            <w:gridSpan w:val="6"/>
            <w:tcBorders>
              <w:top w:val="single" w:sz="8" w:space="0" w:color="auto"/>
              <w:left w:val="nil"/>
              <w:bottom w:val="single" w:sz="4" w:space="0" w:color="auto"/>
              <w:right w:val="nil"/>
            </w:tcBorders>
            <w:shd w:val="clear" w:color="auto" w:fill="auto"/>
            <w:noWrap/>
            <w:vAlign w:val="bottom"/>
            <w:hideMark/>
          </w:tcPr>
          <w:p w14:paraId="216D67A0" w14:textId="06548CD3" w:rsidR="00794998" w:rsidRPr="009B288B" w:rsidRDefault="009C1A48" w:rsidP="00B8390A">
            <w:pPr>
              <w:spacing w:line="240" w:lineRule="auto"/>
              <w:jc w:val="center"/>
              <w:rPr>
                <w:rFonts w:cs="Times New Roman"/>
                <w:color w:val="000000"/>
              </w:rPr>
            </w:pPr>
            <w:r>
              <w:rPr>
                <w:rFonts w:cs="Times New Roman"/>
                <w:color w:val="000000"/>
              </w:rPr>
              <w:t xml:space="preserve">Rust </w:t>
            </w:r>
            <w:r w:rsidR="00B8390A">
              <w:rPr>
                <w:rFonts w:cs="Times New Roman"/>
                <w:color w:val="000000"/>
              </w:rPr>
              <w:t>S</w:t>
            </w:r>
            <w:r>
              <w:rPr>
                <w:rFonts w:cs="Times New Roman"/>
                <w:color w:val="000000"/>
              </w:rPr>
              <w:t>everity</w:t>
            </w:r>
            <w:r w:rsidR="00794998" w:rsidRPr="00905713">
              <w:rPr>
                <w:rFonts w:cs="Times New Roman"/>
                <w:color w:val="000000"/>
                <w:vertAlign w:val="subscript"/>
              </w:rPr>
              <w:t xml:space="preserve"> </w:t>
            </w:r>
          </w:p>
        </w:tc>
      </w:tr>
      <w:tr w:rsidR="00596A40" w:rsidRPr="009B288B" w14:paraId="5E9046B9" w14:textId="77777777" w:rsidTr="002B4489">
        <w:trPr>
          <w:trHeight w:val="330"/>
        </w:trPr>
        <w:tc>
          <w:tcPr>
            <w:tcW w:w="3016" w:type="dxa"/>
            <w:tcBorders>
              <w:top w:val="nil"/>
              <w:left w:val="nil"/>
              <w:bottom w:val="single" w:sz="8" w:space="0" w:color="auto"/>
              <w:right w:val="nil"/>
            </w:tcBorders>
            <w:shd w:val="clear" w:color="auto" w:fill="auto"/>
            <w:vAlign w:val="bottom"/>
            <w:hideMark/>
          </w:tcPr>
          <w:p w14:paraId="47DBC92F" w14:textId="77777777" w:rsidR="00596A40" w:rsidRPr="009B288B" w:rsidRDefault="00596A40" w:rsidP="00596A40">
            <w:pPr>
              <w:spacing w:line="240" w:lineRule="auto"/>
              <w:rPr>
                <w:rFonts w:cs="Times New Roman"/>
                <w:color w:val="000000"/>
              </w:rPr>
            </w:pPr>
            <w:r w:rsidRPr="009B288B">
              <w:rPr>
                <w:rFonts w:cs="Times New Roman"/>
                <w:color w:val="000000"/>
              </w:rPr>
              <w:t>Source of Variation</w:t>
            </w:r>
          </w:p>
        </w:tc>
        <w:tc>
          <w:tcPr>
            <w:tcW w:w="2125" w:type="dxa"/>
            <w:gridSpan w:val="3"/>
            <w:tcBorders>
              <w:top w:val="nil"/>
              <w:left w:val="nil"/>
              <w:bottom w:val="single" w:sz="8" w:space="0" w:color="auto"/>
              <w:right w:val="nil"/>
            </w:tcBorders>
            <w:shd w:val="clear" w:color="auto" w:fill="auto"/>
            <w:vAlign w:val="bottom"/>
            <w:hideMark/>
          </w:tcPr>
          <w:p w14:paraId="55C1EA83" w14:textId="4E01C581" w:rsidR="00596A40" w:rsidRPr="009B288B" w:rsidRDefault="00794998" w:rsidP="00596A40">
            <w:pPr>
              <w:spacing w:line="240" w:lineRule="auto"/>
              <w:jc w:val="center"/>
              <w:rPr>
                <w:rFonts w:cs="Times New Roman"/>
                <w:color w:val="000000"/>
              </w:rPr>
            </w:pPr>
            <w:r>
              <w:rPr>
                <w:rFonts w:cs="Times New Roman"/>
                <w:color w:val="000000"/>
              </w:rPr>
              <w:t xml:space="preserve">Oct. </w:t>
            </w:r>
            <w:r w:rsidR="00596A40" w:rsidRPr="009B288B">
              <w:rPr>
                <w:rFonts w:cs="Times New Roman"/>
                <w:color w:val="000000"/>
              </w:rPr>
              <w:t>2012</w:t>
            </w:r>
            <w:r w:rsidR="009D15AB" w:rsidRPr="009D15AB">
              <w:rPr>
                <w:rFonts w:cs="Times New Roman"/>
                <w:color w:val="000000"/>
                <w:vertAlign w:val="superscript"/>
              </w:rPr>
              <w:t>†</w:t>
            </w:r>
          </w:p>
        </w:tc>
        <w:tc>
          <w:tcPr>
            <w:tcW w:w="2125" w:type="dxa"/>
            <w:gridSpan w:val="3"/>
            <w:tcBorders>
              <w:top w:val="nil"/>
              <w:left w:val="nil"/>
              <w:bottom w:val="single" w:sz="8" w:space="0" w:color="auto"/>
              <w:right w:val="nil"/>
            </w:tcBorders>
            <w:shd w:val="clear" w:color="auto" w:fill="auto"/>
            <w:vAlign w:val="bottom"/>
            <w:hideMark/>
          </w:tcPr>
          <w:p w14:paraId="0B4E86A6" w14:textId="46CE9F10" w:rsidR="00596A40" w:rsidRPr="009B288B" w:rsidRDefault="00794998" w:rsidP="00596A40">
            <w:pPr>
              <w:spacing w:line="240" w:lineRule="auto"/>
              <w:jc w:val="center"/>
              <w:rPr>
                <w:rFonts w:cs="Times New Roman"/>
                <w:color w:val="000000"/>
              </w:rPr>
            </w:pPr>
            <w:r>
              <w:rPr>
                <w:rFonts w:cs="Times New Roman"/>
                <w:color w:val="000000"/>
              </w:rPr>
              <w:t xml:space="preserve">Aug. </w:t>
            </w:r>
            <w:r w:rsidR="00596A40" w:rsidRPr="009B288B">
              <w:rPr>
                <w:rFonts w:cs="Times New Roman"/>
                <w:color w:val="000000"/>
              </w:rPr>
              <w:t>2013</w:t>
            </w:r>
            <w:r w:rsidR="009D15AB" w:rsidRPr="009D15AB">
              <w:rPr>
                <w:rFonts w:cs="Times New Roman"/>
                <w:color w:val="000000"/>
                <w:vertAlign w:val="superscript"/>
              </w:rPr>
              <w:t>†</w:t>
            </w:r>
          </w:p>
        </w:tc>
      </w:tr>
      <w:tr w:rsidR="00596A40" w:rsidRPr="009B288B" w14:paraId="318E0603" w14:textId="77777777" w:rsidTr="002B4489">
        <w:trPr>
          <w:trHeight w:val="405"/>
        </w:trPr>
        <w:tc>
          <w:tcPr>
            <w:tcW w:w="3016" w:type="dxa"/>
            <w:tcBorders>
              <w:top w:val="nil"/>
              <w:left w:val="nil"/>
              <w:bottom w:val="nil"/>
              <w:right w:val="nil"/>
            </w:tcBorders>
            <w:shd w:val="clear" w:color="auto" w:fill="auto"/>
            <w:noWrap/>
            <w:vAlign w:val="bottom"/>
            <w:hideMark/>
          </w:tcPr>
          <w:p w14:paraId="5FF61ECA" w14:textId="77777777" w:rsidR="00596A40" w:rsidRPr="009B288B" w:rsidRDefault="00596A40" w:rsidP="00596A40">
            <w:pPr>
              <w:spacing w:line="240" w:lineRule="auto"/>
              <w:rPr>
                <w:rFonts w:cs="Times New Roman"/>
                <w:color w:val="000000"/>
              </w:rPr>
            </w:pPr>
            <w:r w:rsidRPr="009B288B">
              <w:rPr>
                <w:rFonts w:cs="Times New Roman"/>
                <w:color w:val="000000"/>
              </w:rPr>
              <w:t>GCA</w:t>
            </w:r>
          </w:p>
        </w:tc>
        <w:tc>
          <w:tcPr>
            <w:tcW w:w="893" w:type="dxa"/>
            <w:tcBorders>
              <w:top w:val="nil"/>
              <w:left w:val="nil"/>
              <w:bottom w:val="nil"/>
              <w:right w:val="nil"/>
            </w:tcBorders>
            <w:shd w:val="clear" w:color="auto" w:fill="auto"/>
            <w:vAlign w:val="bottom"/>
            <w:hideMark/>
          </w:tcPr>
          <w:p w14:paraId="000827B1" w14:textId="77777777" w:rsidR="00596A40" w:rsidRPr="009B288B" w:rsidRDefault="00596A40" w:rsidP="00596A40">
            <w:pPr>
              <w:spacing w:line="240" w:lineRule="auto"/>
              <w:jc w:val="right"/>
              <w:rPr>
                <w:rFonts w:cs="Times New Roman"/>
                <w:color w:val="000000"/>
              </w:rPr>
            </w:pPr>
            <w:r w:rsidRPr="009B288B">
              <w:rPr>
                <w:rFonts w:cs="Times New Roman"/>
                <w:color w:val="000000"/>
              </w:rPr>
              <w:t>1.37</w:t>
            </w:r>
          </w:p>
        </w:tc>
        <w:tc>
          <w:tcPr>
            <w:tcW w:w="576" w:type="dxa"/>
            <w:tcBorders>
              <w:top w:val="nil"/>
              <w:left w:val="nil"/>
              <w:bottom w:val="nil"/>
              <w:right w:val="nil"/>
            </w:tcBorders>
            <w:shd w:val="clear" w:color="auto" w:fill="auto"/>
            <w:noWrap/>
            <w:vAlign w:val="bottom"/>
            <w:hideMark/>
          </w:tcPr>
          <w:p w14:paraId="53E771E3" w14:textId="77777777" w:rsidR="00596A40" w:rsidRPr="009B288B" w:rsidRDefault="00596A40" w:rsidP="00596A40">
            <w:pPr>
              <w:spacing w:line="240" w:lineRule="auto"/>
              <w:rPr>
                <w:rFonts w:cs="Times New Roman"/>
                <w:color w:val="000000"/>
              </w:rPr>
            </w:pPr>
            <w:r w:rsidRPr="009B288B">
              <w:rPr>
                <w:rFonts w:cs="Times New Roman"/>
                <w:color w:val="000000"/>
              </w:rPr>
              <w:t>*</w:t>
            </w:r>
          </w:p>
        </w:tc>
        <w:tc>
          <w:tcPr>
            <w:tcW w:w="656" w:type="dxa"/>
            <w:tcBorders>
              <w:top w:val="nil"/>
              <w:left w:val="nil"/>
              <w:bottom w:val="nil"/>
              <w:right w:val="nil"/>
            </w:tcBorders>
            <w:shd w:val="clear" w:color="auto" w:fill="auto"/>
            <w:vAlign w:val="bottom"/>
            <w:hideMark/>
          </w:tcPr>
          <w:p w14:paraId="71090155" w14:textId="77777777" w:rsidR="00596A40" w:rsidRPr="009B288B" w:rsidRDefault="00596A40" w:rsidP="00596A40">
            <w:pPr>
              <w:spacing w:line="240" w:lineRule="auto"/>
              <w:jc w:val="center"/>
              <w:rPr>
                <w:rFonts w:cs="Times New Roman"/>
                <w:color w:val="000000"/>
              </w:rPr>
            </w:pPr>
            <w:r w:rsidRPr="009B288B">
              <w:rPr>
                <w:rFonts w:cs="Times New Roman"/>
                <w:color w:val="000000"/>
              </w:rPr>
              <w:t>26%</w:t>
            </w:r>
          </w:p>
        </w:tc>
        <w:tc>
          <w:tcPr>
            <w:tcW w:w="893" w:type="dxa"/>
            <w:tcBorders>
              <w:top w:val="nil"/>
              <w:left w:val="nil"/>
              <w:bottom w:val="nil"/>
              <w:right w:val="nil"/>
            </w:tcBorders>
            <w:shd w:val="clear" w:color="auto" w:fill="auto"/>
            <w:vAlign w:val="bottom"/>
            <w:hideMark/>
          </w:tcPr>
          <w:p w14:paraId="018508A1" w14:textId="77777777" w:rsidR="00596A40" w:rsidRPr="009B288B" w:rsidRDefault="00596A40" w:rsidP="00596A40">
            <w:pPr>
              <w:spacing w:line="240" w:lineRule="auto"/>
              <w:jc w:val="right"/>
              <w:rPr>
                <w:rFonts w:cs="Times New Roman"/>
                <w:color w:val="000000"/>
              </w:rPr>
            </w:pPr>
            <w:r w:rsidRPr="009B288B">
              <w:rPr>
                <w:rFonts w:cs="Times New Roman"/>
                <w:color w:val="000000"/>
              </w:rPr>
              <w:t>0.43</w:t>
            </w:r>
          </w:p>
        </w:tc>
        <w:tc>
          <w:tcPr>
            <w:tcW w:w="576" w:type="dxa"/>
            <w:tcBorders>
              <w:top w:val="nil"/>
              <w:left w:val="nil"/>
              <w:bottom w:val="nil"/>
              <w:right w:val="nil"/>
            </w:tcBorders>
            <w:shd w:val="clear" w:color="auto" w:fill="auto"/>
            <w:noWrap/>
            <w:vAlign w:val="bottom"/>
            <w:hideMark/>
          </w:tcPr>
          <w:p w14:paraId="67A8A795" w14:textId="77777777" w:rsidR="00596A40" w:rsidRPr="009B288B" w:rsidRDefault="00596A40" w:rsidP="00596A40">
            <w:pPr>
              <w:spacing w:line="240" w:lineRule="auto"/>
              <w:rPr>
                <w:rFonts w:cs="Times New Roman"/>
                <w:color w:val="000000"/>
              </w:rPr>
            </w:pPr>
            <w:r w:rsidRPr="009B288B">
              <w:rPr>
                <w:rFonts w:cs="Times New Roman"/>
                <w:color w:val="000000"/>
              </w:rPr>
              <w:t>*</w:t>
            </w:r>
          </w:p>
        </w:tc>
        <w:tc>
          <w:tcPr>
            <w:tcW w:w="656" w:type="dxa"/>
            <w:tcBorders>
              <w:top w:val="nil"/>
              <w:left w:val="nil"/>
              <w:bottom w:val="nil"/>
              <w:right w:val="nil"/>
            </w:tcBorders>
            <w:shd w:val="clear" w:color="auto" w:fill="auto"/>
            <w:vAlign w:val="bottom"/>
            <w:hideMark/>
          </w:tcPr>
          <w:p w14:paraId="4C31E794" w14:textId="77777777" w:rsidR="00596A40" w:rsidRPr="009B288B" w:rsidRDefault="00596A40" w:rsidP="00596A40">
            <w:pPr>
              <w:spacing w:line="240" w:lineRule="auto"/>
              <w:jc w:val="center"/>
              <w:rPr>
                <w:rFonts w:cs="Times New Roman"/>
                <w:color w:val="000000"/>
              </w:rPr>
            </w:pPr>
            <w:r w:rsidRPr="009B288B">
              <w:rPr>
                <w:rFonts w:cs="Times New Roman"/>
                <w:color w:val="000000"/>
              </w:rPr>
              <w:t>13%</w:t>
            </w:r>
          </w:p>
        </w:tc>
      </w:tr>
      <w:tr w:rsidR="00596A40" w:rsidRPr="009B288B" w14:paraId="1FE29D9F" w14:textId="77777777" w:rsidTr="002B4489">
        <w:trPr>
          <w:trHeight w:val="405"/>
        </w:trPr>
        <w:tc>
          <w:tcPr>
            <w:tcW w:w="3016" w:type="dxa"/>
            <w:tcBorders>
              <w:top w:val="nil"/>
              <w:left w:val="nil"/>
              <w:bottom w:val="nil"/>
              <w:right w:val="nil"/>
            </w:tcBorders>
            <w:shd w:val="clear" w:color="auto" w:fill="auto"/>
            <w:noWrap/>
            <w:vAlign w:val="bottom"/>
            <w:hideMark/>
          </w:tcPr>
          <w:p w14:paraId="3089747C" w14:textId="77777777" w:rsidR="00596A40" w:rsidRPr="009B288B" w:rsidRDefault="00596A40" w:rsidP="00596A40">
            <w:pPr>
              <w:spacing w:line="240" w:lineRule="auto"/>
              <w:rPr>
                <w:rFonts w:cs="Times New Roman"/>
                <w:color w:val="000000"/>
              </w:rPr>
            </w:pPr>
            <w:r w:rsidRPr="009B288B">
              <w:rPr>
                <w:rFonts w:cs="Times New Roman"/>
                <w:color w:val="000000"/>
              </w:rPr>
              <w:t>SCA</w:t>
            </w:r>
          </w:p>
        </w:tc>
        <w:tc>
          <w:tcPr>
            <w:tcW w:w="893" w:type="dxa"/>
            <w:tcBorders>
              <w:top w:val="nil"/>
              <w:left w:val="nil"/>
              <w:bottom w:val="nil"/>
              <w:right w:val="nil"/>
            </w:tcBorders>
            <w:shd w:val="clear" w:color="auto" w:fill="auto"/>
            <w:vAlign w:val="bottom"/>
            <w:hideMark/>
          </w:tcPr>
          <w:p w14:paraId="24469942" w14:textId="77777777" w:rsidR="00596A40" w:rsidRPr="009B288B" w:rsidRDefault="00596A40" w:rsidP="00596A40">
            <w:pPr>
              <w:spacing w:line="240" w:lineRule="auto"/>
              <w:jc w:val="right"/>
              <w:rPr>
                <w:rFonts w:cs="Times New Roman"/>
                <w:color w:val="000000"/>
              </w:rPr>
            </w:pPr>
            <w:r w:rsidRPr="009B288B">
              <w:rPr>
                <w:rFonts w:cs="Times New Roman"/>
                <w:color w:val="000000"/>
              </w:rPr>
              <w:t>0.37</w:t>
            </w:r>
          </w:p>
        </w:tc>
        <w:tc>
          <w:tcPr>
            <w:tcW w:w="576" w:type="dxa"/>
            <w:tcBorders>
              <w:top w:val="nil"/>
              <w:left w:val="nil"/>
              <w:bottom w:val="nil"/>
              <w:right w:val="nil"/>
            </w:tcBorders>
            <w:shd w:val="clear" w:color="auto" w:fill="auto"/>
            <w:noWrap/>
            <w:vAlign w:val="bottom"/>
            <w:hideMark/>
          </w:tcPr>
          <w:p w14:paraId="43723525" w14:textId="77777777" w:rsidR="00596A40" w:rsidRPr="009B288B" w:rsidRDefault="00596A40" w:rsidP="00596A40">
            <w:pPr>
              <w:spacing w:line="240" w:lineRule="auto"/>
              <w:rPr>
                <w:rFonts w:cs="Times New Roman"/>
                <w:color w:val="000000"/>
              </w:rPr>
            </w:pPr>
            <w:r w:rsidRPr="009B288B">
              <w:rPr>
                <w:rFonts w:cs="Times New Roman"/>
                <w:color w:val="000000"/>
              </w:rPr>
              <w:t>***</w:t>
            </w:r>
          </w:p>
        </w:tc>
        <w:tc>
          <w:tcPr>
            <w:tcW w:w="656" w:type="dxa"/>
            <w:tcBorders>
              <w:top w:val="nil"/>
              <w:left w:val="nil"/>
              <w:bottom w:val="nil"/>
              <w:right w:val="nil"/>
            </w:tcBorders>
            <w:shd w:val="clear" w:color="auto" w:fill="auto"/>
            <w:vAlign w:val="bottom"/>
            <w:hideMark/>
          </w:tcPr>
          <w:p w14:paraId="0F6DA0D0" w14:textId="77777777" w:rsidR="00596A40" w:rsidRPr="009B288B" w:rsidRDefault="00596A40" w:rsidP="00596A40">
            <w:pPr>
              <w:spacing w:line="240" w:lineRule="auto"/>
              <w:jc w:val="center"/>
              <w:rPr>
                <w:rFonts w:cs="Times New Roman"/>
                <w:color w:val="000000"/>
              </w:rPr>
            </w:pPr>
            <w:r w:rsidRPr="009B288B">
              <w:rPr>
                <w:rFonts w:cs="Times New Roman"/>
                <w:color w:val="000000"/>
              </w:rPr>
              <w:t>7%</w:t>
            </w:r>
          </w:p>
        </w:tc>
        <w:tc>
          <w:tcPr>
            <w:tcW w:w="893" w:type="dxa"/>
            <w:tcBorders>
              <w:top w:val="nil"/>
              <w:left w:val="nil"/>
              <w:bottom w:val="nil"/>
              <w:right w:val="nil"/>
            </w:tcBorders>
            <w:shd w:val="clear" w:color="auto" w:fill="auto"/>
            <w:vAlign w:val="bottom"/>
            <w:hideMark/>
          </w:tcPr>
          <w:p w14:paraId="7BBF1344" w14:textId="77777777" w:rsidR="00596A40" w:rsidRPr="009B288B" w:rsidRDefault="00596A40" w:rsidP="00596A40">
            <w:pPr>
              <w:spacing w:line="240" w:lineRule="auto"/>
              <w:jc w:val="right"/>
              <w:rPr>
                <w:rFonts w:cs="Times New Roman"/>
                <w:color w:val="000000"/>
              </w:rPr>
            </w:pPr>
            <w:r w:rsidRPr="009B288B">
              <w:rPr>
                <w:rFonts w:cs="Times New Roman"/>
                <w:color w:val="000000"/>
              </w:rPr>
              <w:t>0.20</w:t>
            </w:r>
          </w:p>
        </w:tc>
        <w:tc>
          <w:tcPr>
            <w:tcW w:w="576" w:type="dxa"/>
            <w:tcBorders>
              <w:top w:val="nil"/>
              <w:left w:val="nil"/>
              <w:bottom w:val="nil"/>
              <w:right w:val="nil"/>
            </w:tcBorders>
            <w:shd w:val="clear" w:color="auto" w:fill="auto"/>
            <w:noWrap/>
            <w:vAlign w:val="bottom"/>
            <w:hideMark/>
          </w:tcPr>
          <w:p w14:paraId="6C531162" w14:textId="77777777" w:rsidR="00596A40" w:rsidRPr="009B288B" w:rsidRDefault="00596A40" w:rsidP="00596A40">
            <w:pPr>
              <w:spacing w:line="240" w:lineRule="auto"/>
              <w:rPr>
                <w:rFonts w:cs="Times New Roman"/>
                <w:color w:val="000000"/>
              </w:rPr>
            </w:pPr>
            <w:r w:rsidRPr="009B288B">
              <w:rPr>
                <w:rFonts w:cs="Times New Roman"/>
                <w:color w:val="000000"/>
              </w:rPr>
              <w:t>***</w:t>
            </w:r>
          </w:p>
        </w:tc>
        <w:tc>
          <w:tcPr>
            <w:tcW w:w="656" w:type="dxa"/>
            <w:tcBorders>
              <w:top w:val="nil"/>
              <w:left w:val="nil"/>
              <w:bottom w:val="nil"/>
              <w:right w:val="nil"/>
            </w:tcBorders>
            <w:shd w:val="clear" w:color="auto" w:fill="auto"/>
            <w:vAlign w:val="bottom"/>
            <w:hideMark/>
          </w:tcPr>
          <w:p w14:paraId="49CEDC34" w14:textId="77777777" w:rsidR="00596A40" w:rsidRPr="009B288B" w:rsidRDefault="00596A40" w:rsidP="00596A40">
            <w:pPr>
              <w:spacing w:line="240" w:lineRule="auto"/>
              <w:jc w:val="center"/>
              <w:rPr>
                <w:rFonts w:cs="Times New Roman"/>
                <w:color w:val="000000"/>
              </w:rPr>
            </w:pPr>
            <w:r w:rsidRPr="009B288B">
              <w:rPr>
                <w:rFonts w:cs="Times New Roman"/>
                <w:color w:val="000000"/>
              </w:rPr>
              <w:t>6%</w:t>
            </w:r>
          </w:p>
        </w:tc>
      </w:tr>
      <w:tr w:rsidR="00596A40" w:rsidRPr="009B288B" w14:paraId="7A12F741" w14:textId="77777777" w:rsidTr="002B4489">
        <w:trPr>
          <w:trHeight w:val="405"/>
        </w:trPr>
        <w:tc>
          <w:tcPr>
            <w:tcW w:w="3016" w:type="dxa"/>
            <w:tcBorders>
              <w:top w:val="nil"/>
              <w:left w:val="nil"/>
              <w:bottom w:val="nil"/>
              <w:right w:val="nil"/>
            </w:tcBorders>
            <w:shd w:val="clear" w:color="auto" w:fill="auto"/>
            <w:noWrap/>
            <w:vAlign w:val="bottom"/>
            <w:hideMark/>
          </w:tcPr>
          <w:p w14:paraId="53C5915C" w14:textId="77777777" w:rsidR="00596A40" w:rsidRPr="009B288B" w:rsidRDefault="00596A40" w:rsidP="00596A40">
            <w:pPr>
              <w:spacing w:line="240" w:lineRule="auto"/>
              <w:rPr>
                <w:rFonts w:cs="Times New Roman"/>
                <w:color w:val="000000"/>
              </w:rPr>
            </w:pPr>
            <w:r w:rsidRPr="009B288B">
              <w:rPr>
                <w:rFonts w:cs="Times New Roman"/>
                <w:color w:val="000000"/>
              </w:rPr>
              <w:t>GCA*Location</w:t>
            </w:r>
          </w:p>
        </w:tc>
        <w:tc>
          <w:tcPr>
            <w:tcW w:w="893" w:type="dxa"/>
            <w:tcBorders>
              <w:top w:val="nil"/>
              <w:left w:val="nil"/>
              <w:bottom w:val="nil"/>
              <w:right w:val="nil"/>
            </w:tcBorders>
            <w:shd w:val="clear" w:color="auto" w:fill="auto"/>
            <w:vAlign w:val="bottom"/>
            <w:hideMark/>
          </w:tcPr>
          <w:p w14:paraId="5D6663E4" w14:textId="77777777" w:rsidR="00596A40" w:rsidRPr="009B288B" w:rsidRDefault="00596A40" w:rsidP="00596A40">
            <w:pPr>
              <w:spacing w:line="240" w:lineRule="auto"/>
              <w:jc w:val="right"/>
              <w:rPr>
                <w:rFonts w:cs="Times New Roman"/>
                <w:color w:val="000000"/>
              </w:rPr>
            </w:pPr>
            <w:r w:rsidRPr="009B288B">
              <w:rPr>
                <w:rFonts w:cs="Times New Roman"/>
                <w:color w:val="000000"/>
              </w:rPr>
              <w:t>0.01</w:t>
            </w:r>
          </w:p>
        </w:tc>
        <w:tc>
          <w:tcPr>
            <w:tcW w:w="576" w:type="dxa"/>
            <w:tcBorders>
              <w:top w:val="nil"/>
              <w:left w:val="nil"/>
              <w:bottom w:val="nil"/>
              <w:right w:val="nil"/>
            </w:tcBorders>
            <w:shd w:val="clear" w:color="auto" w:fill="auto"/>
            <w:noWrap/>
            <w:vAlign w:val="bottom"/>
            <w:hideMark/>
          </w:tcPr>
          <w:p w14:paraId="3C130A21" w14:textId="77777777" w:rsidR="00596A40" w:rsidRPr="009B288B" w:rsidRDefault="00596A40" w:rsidP="00596A40">
            <w:pPr>
              <w:spacing w:line="240" w:lineRule="auto"/>
              <w:rPr>
                <w:rFonts w:cs="Times New Roman"/>
                <w:color w:val="000000"/>
              </w:rPr>
            </w:pPr>
            <w:r w:rsidRPr="009B288B">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417867D5" w14:textId="77777777" w:rsidR="00596A40" w:rsidRPr="009B288B" w:rsidRDefault="00596A40" w:rsidP="00596A40">
            <w:pPr>
              <w:spacing w:line="240" w:lineRule="auto"/>
              <w:jc w:val="center"/>
              <w:rPr>
                <w:rFonts w:cs="Times New Roman"/>
                <w:color w:val="000000"/>
              </w:rPr>
            </w:pPr>
            <w:r w:rsidRPr="009B288B">
              <w:rPr>
                <w:rFonts w:cs="Times New Roman"/>
                <w:color w:val="000000"/>
              </w:rPr>
              <w:t>0%</w:t>
            </w:r>
          </w:p>
        </w:tc>
        <w:tc>
          <w:tcPr>
            <w:tcW w:w="893" w:type="dxa"/>
            <w:tcBorders>
              <w:top w:val="nil"/>
              <w:left w:val="nil"/>
              <w:bottom w:val="nil"/>
              <w:right w:val="nil"/>
            </w:tcBorders>
            <w:shd w:val="clear" w:color="auto" w:fill="auto"/>
            <w:vAlign w:val="bottom"/>
            <w:hideMark/>
          </w:tcPr>
          <w:p w14:paraId="43343A09" w14:textId="77777777" w:rsidR="00596A40" w:rsidRPr="009B288B" w:rsidRDefault="00596A40" w:rsidP="00596A40">
            <w:pPr>
              <w:spacing w:line="240" w:lineRule="auto"/>
              <w:jc w:val="right"/>
              <w:rPr>
                <w:rFonts w:cs="Times New Roman"/>
                <w:color w:val="000000"/>
              </w:rPr>
            </w:pPr>
            <w:r w:rsidRPr="009B288B">
              <w:rPr>
                <w:rFonts w:cs="Times New Roman"/>
                <w:color w:val="000000"/>
              </w:rPr>
              <w:t>0.02</w:t>
            </w:r>
          </w:p>
        </w:tc>
        <w:tc>
          <w:tcPr>
            <w:tcW w:w="576" w:type="dxa"/>
            <w:tcBorders>
              <w:top w:val="nil"/>
              <w:left w:val="nil"/>
              <w:bottom w:val="nil"/>
              <w:right w:val="nil"/>
            </w:tcBorders>
            <w:shd w:val="clear" w:color="auto" w:fill="auto"/>
            <w:noWrap/>
            <w:vAlign w:val="bottom"/>
            <w:hideMark/>
          </w:tcPr>
          <w:p w14:paraId="45A33513" w14:textId="77777777" w:rsidR="00596A40" w:rsidRPr="009B288B" w:rsidRDefault="00596A40" w:rsidP="00596A40">
            <w:pPr>
              <w:spacing w:line="240" w:lineRule="auto"/>
              <w:rPr>
                <w:rFonts w:cs="Times New Roman"/>
                <w:color w:val="000000"/>
              </w:rPr>
            </w:pPr>
            <w:r w:rsidRPr="009B288B">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2137F086" w14:textId="77777777" w:rsidR="00596A40" w:rsidRPr="009B288B" w:rsidRDefault="00596A40" w:rsidP="00596A40">
            <w:pPr>
              <w:spacing w:line="240" w:lineRule="auto"/>
              <w:jc w:val="center"/>
              <w:rPr>
                <w:rFonts w:cs="Times New Roman"/>
                <w:color w:val="000000"/>
              </w:rPr>
            </w:pPr>
            <w:r w:rsidRPr="009B288B">
              <w:rPr>
                <w:rFonts w:cs="Times New Roman"/>
                <w:color w:val="000000"/>
              </w:rPr>
              <w:t>1%</w:t>
            </w:r>
          </w:p>
        </w:tc>
      </w:tr>
      <w:tr w:rsidR="00596A40" w:rsidRPr="009B288B" w14:paraId="3252FF0E" w14:textId="77777777" w:rsidTr="002B4489">
        <w:trPr>
          <w:trHeight w:val="315"/>
        </w:trPr>
        <w:tc>
          <w:tcPr>
            <w:tcW w:w="3016" w:type="dxa"/>
            <w:tcBorders>
              <w:top w:val="nil"/>
              <w:left w:val="nil"/>
              <w:bottom w:val="nil"/>
              <w:right w:val="nil"/>
            </w:tcBorders>
            <w:shd w:val="clear" w:color="auto" w:fill="auto"/>
            <w:noWrap/>
            <w:vAlign w:val="bottom"/>
            <w:hideMark/>
          </w:tcPr>
          <w:p w14:paraId="44A469C1" w14:textId="77777777" w:rsidR="00596A40" w:rsidRPr="009B288B" w:rsidRDefault="00596A40" w:rsidP="00596A40">
            <w:pPr>
              <w:spacing w:line="240" w:lineRule="auto"/>
              <w:rPr>
                <w:rFonts w:cs="Times New Roman"/>
                <w:color w:val="000000"/>
              </w:rPr>
            </w:pPr>
            <w:r w:rsidRPr="009B288B">
              <w:rPr>
                <w:rFonts w:cs="Times New Roman"/>
                <w:color w:val="000000"/>
              </w:rPr>
              <w:t>SCA*Block(Location)</w:t>
            </w:r>
          </w:p>
        </w:tc>
        <w:tc>
          <w:tcPr>
            <w:tcW w:w="893" w:type="dxa"/>
            <w:tcBorders>
              <w:top w:val="nil"/>
              <w:left w:val="nil"/>
              <w:bottom w:val="nil"/>
              <w:right w:val="nil"/>
            </w:tcBorders>
            <w:shd w:val="clear" w:color="auto" w:fill="auto"/>
            <w:vAlign w:val="bottom"/>
            <w:hideMark/>
          </w:tcPr>
          <w:p w14:paraId="7279F5BD" w14:textId="77777777" w:rsidR="00596A40" w:rsidRPr="009B288B" w:rsidRDefault="00596A40" w:rsidP="00596A40">
            <w:pPr>
              <w:spacing w:line="240" w:lineRule="auto"/>
              <w:jc w:val="right"/>
              <w:rPr>
                <w:rFonts w:cs="Times New Roman"/>
                <w:color w:val="000000"/>
              </w:rPr>
            </w:pPr>
            <w:r w:rsidRPr="009B288B">
              <w:rPr>
                <w:rFonts w:cs="Times New Roman"/>
                <w:color w:val="000000"/>
              </w:rPr>
              <w:t>0.05</w:t>
            </w:r>
          </w:p>
        </w:tc>
        <w:tc>
          <w:tcPr>
            <w:tcW w:w="576" w:type="dxa"/>
            <w:tcBorders>
              <w:top w:val="nil"/>
              <w:left w:val="nil"/>
              <w:bottom w:val="nil"/>
              <w:right w:val="nil"/>
            </w:tcBorders>
            <w:shd w:val="clear" w:color="auto" w:fill="auto"/>
            <w:noWrap/>
            <w:vAlign w:val="bottom"/>
            <w:hideMark/>
          </w:tcPr>
          <w:p w14:paraId="4BD551B0" w14:textId="77777777" w:rsidR="00596A40" w:rsidRPr="009B288B" w:rsidRDefault="00596A40" w:rsidP="00596A40">
            <w:pPr>
              <w:spacing w:line="240" w:lineRule="auto"/>
              <w:rPr>
                <w:rFonts w:cs="Times New Roman"/>
                <w:color w:val="000000"/>
              </w:rPr>
            </w:pPr>
            <w:r w:rsidRPr="009B288B">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51ABBADB" w14:textId="77777777" w:rsidR="00596A40" w:rsidRPr="009B288B" w:rsidRDefault="00596A40" w:rsidP="00596A40">
            <w:pPr>
              <w:spacing w:line="240" w:lineRule="auto"/>
              <w:jc w:val="center"/>
              <w:rPr>
                <w:rFonts w:cs="Times New Roman"/>
                <w:color w:val="000000"/>
              </w:rPr>
            </w:pPr>
            <w:r w:rsidRPr="009B288B">
              <w:rPr>
                <w:rFonts w:cs="Times New Roman"/>
                <w:color w:val="000000"/>
              </w:rPr>
              <w:t>1%</w:t>
            </w:r>
          </w:p>
        </w:tc>
        <w:tc>
          <w:tcPr>
            <w:tcW w:w="893" w:type="dxa"/>
            <w:tcBorders>
              <w:top w:val="nil"/>
              <w:left w:val="nil"/>
              <w:bottom w:val="nil"/>
              <w:right w:val="nil"/>
            </w:tcBorders>
            <w:shd w:val="clear" w:color="auto" w:fill="auto"/>
            <w:vAlign w:val="bottom"/>
            <w:hideMark/>
          </w:tcPr>
          <w:p w14:paraId="442C4F4E" w14:textId="77777777" w:rsidR="00596A40" w:rsidRPr="009B288B" w:rsidRDefault="00596A40" w:rsidP="00596A40">
            <w:pPr>
              <w:spacing w:line="240" w:lineRule="auto"/>
              <w:jc w:val="right"/>
              <w:rPr>
                <w:rFonts w:cs="Times New Roman"/>
                <w:color w:val="000000"/>
              </w:rPr>
            </w:pPr>
            <w:r w:rsidRPr="009B288B">
              <w:rPr>
                <w:rFonts w:cs="Times New Roman"/>
                <w:color w:val="000000"/>
              </w:rPr>
              <w:t>0.00</w:t>
            </w:r>
          </w:p>
        </w:tc>
        <w:tc>
          <w:tcPr>
            <w:tcW w:w="576" w:type="dxa"/>
            <w:tcBorders>
              <w:top w:val="nil"/>
              <w:left w:val="nil"/>
              <w:bottom w:val="nil"/>
              <w:right w:val="nil"/>
            </w:tcBorders>
            <w:shd w:val="clear" w:color="auto" w:fill="auto"/>
            <w:noWrap/>
            <w:vAlign w:val="bottom"/>
            <w:hideMark/>
          </w:tcPr>
          <w:p w14:paraId="72EB44D1" w14:textId="77777777" w:rsidR="00596A40" w:rsidRPr="009B288B" w:rsidRDefault="00596A40" w:rsidP="00596A40">
            <w:pPr>
              <w:spacing w:line="240" w:lineRule="auto"/>
              <w:rPr>
                <w:rFonts w:cs="Times New Roman"/>
                <w:color w:val="000000"/>
              </w:rPr>
            </w:pPr>
            <w:r w:rsidRPr="009B288B">
              <w:rPr>
                <w:rFonts w:cs="Times New Roman"/>
                <w:color w:val="000000"/>
              </w:rPr>
              <w:t xml:space="preserve"> </w:t>
            </w:r>
          </w:p>
        </w:tc>
        <w:tc>
          <w:tcPr>
            <w:tcW w:w="656" w:type="dxa"/>
            <w:tcBorders>
              <w:top w:val="nil"/>
              <w:left w:val="nil"/>
              <w:bottom w:val="nil"/>
              <w:right w:val="nil"/>
            </w:tcBorders>
            <w:shd w:val="clear" w:color="auto" w:fill="auto"/>
            <w:vAlign w:val="bottom"/>
            <w:hideMark/>
          </w:tcPr>
          <w:p w14:paraId="46BBEBD4" w14:textId="77777777" w:rsidR="00596A40" w:rsidRPr="009B288B" w:rsidRDefault="00596A40" w:rsidP="00596A40">
            <w:pPr>
              <w:spacing w:line="240" w:lineRule="auto"/>
              <w:jc w:val="center"/>
              <w:rPr>
                <w:rFonts w:cs="Times New Roman"/>
                <w:color w:val="000000"/>
              </w:rPr>
            </w:pPr>
            <w:r w:rsidRPr="009B288B">
              <w:rPr>
                <w:rFonts w:cs="Times New Roman"/>
                <w:color w:val="000000"/>
              </w:rPr>
              <w:t>0%</w:t>
            </w:r>
          </w:p>
        </w:tc>
      </w:tr>
      <w:tr w:rsidR="00596A40" w:rsidRPr="009B288B" w14:paraId="665E8FEB" w14:textId="77777777" w:rsidTr="000F73C0">
        <w:trPr>
          <w:trHeight w:val="330"/>
        </w:trPr>
        <w:tc>
          <w:tcPr>
            <w:tcW w:w="3016" w:type="dxa"/>
            <w:tcBorders>
              <w:top w:val="nil"/>
              <w:left w:val="nil"/>
              <w:bottom w:val="single" w:sz="8" w:space="0" w:color="auto"/>
              <w:right w:val="nil"/>
            </w:tcBorders>
            <w:shd w:val="clear" w:color="auto" w:fill="auto"/>
            <w:noWrap/>
            <w:vAlign w:val="bottom"/>
            <w:hideMark/>
          </w:tcPr>
          <w:p w14:paraId="350F8A2A" w14:textId="77777777" w:rsidR="00596A40" w:rsidRPr="009B288B" w:rsidRDefault="00596A40" w:rsidP="00596A40">
            <w:pPr>
              <w:spacing w:line="240" w:lineRule="auto"/>
              <w:rPr>
                <w:rFonts w:cs="Times New Roman"/>
                <w:color w:val="000000"/>
              </w:rPr>
            </w:pPr>
            <w:r w:rsidRPr="009B288B">
              <w:rPr>
                <w:rFonts w:cs="Times New Roman"/>
                <w:color w:val="000000"/>
              </w:rPr>
              <w:t>Residual</w:t>
            </w:r>
          </w:p>
        </w:tc>
        <w:tc>
          <w:tcPr>
            <w:tcW w:w="893" w:type="dxa"/>
            <w:tcBorders>
              <w:top w:val="nil"/>
              <w:left w:val="nil"/>
              <w:bottom w:val="single" w:sz="8" w:space="0" w:color="auto"/>
              <w:right w:val="nil"/>
            </w:tcBorders>
            <w:shd w:val="clear" w:color="auto" w:fill="auto"/>
            <w:vAlign w:val="bottom"/>
            <w:hideMark/>
          </w:tcPr>
          <w:p w14:paraId="30342B13" w14:textId="77777777" w:rsidR="00596A40" w:rsidRPr="009B288B" w:rsidRDefault="00596A40" w:rsidP="00596A40">
            <w:pPr>
              <w:spacing w:line="240" w:lineRule="auto"/>
              <w:jc w:val="right"/>
              <w:rPr>
                <w:rFonts w:cs="Times New Roman"/>
                <w:color w:val="000000"/>
              </w:rPr>
            </w:pPr>
            <w:r w:rsidRPr="009B288B">
              <w:rPr>
                <w:rFonts w:cs="Times New Roman"/>
                <w:color w:val="000000"/>
              </w:rPr>
              <w:t>3.46</w:t>
            </w:r>
          </w:p>
        </w:tc>
        <w:tc>
          <w:tcPr>
            <w:tcW w:w="576" w:type="dxa"/>
            <w:tcBorders>
              <w:top w:val="nil"/>
              <w:left w:val="nil"/>
              <w:bottom w:val="single" w:sz="8" w:space="0" w:color="auto"/>
              <w:right w:val="nil"/>
            </w:tcBorders>
            <w:shd w:val="clear" w:color="auto" w:fill="auto"/>
            <w:noWrap/>
            <w:vAlign w:val="bottom"/>
            <w:hideMark/>
          </w:tcPr>
          <w:p w14:paraId="5C654C1F" w14:textId="77777777" w:rsidR="00596A40" w:rsidRPr="009B288B" w:rsidRDefault="00596A40" w:rsidP="00596A40">
            <w:pPr>
              <w:spacing w:line="240" w:lineRule="auto"/>
              <w:rPr>
                <w:rFonts w:cs="Times New Roman"/>
                <w:color w:val="000000"/>
              </w:rPr>
            </w:pPr>
            <w:r w:rsidRPr="009B288B">
              <w:rPr>
                <w:rFonts w:cs="Times New Roman"/>
                <w:color w:val="000000"/>
              </w:rPr>
              <w:t>***</w:t>
            </w:r>
          </w:p>
        </w:tc>
        <w:tc>
          <w:tcPr>
            <w:tcW w:w="656" w:type="dxa"/>
            <w:tcBorders>
              <w:top w:val="nil"/>
              <w:left w:val="nil"/>
              <w:bottom w:val="single" w:sz="8" w:space="0" w:color="auto"/>
              <w:right w:val="nil"/>
            </w:tcBorders>
            <w:shd w:val="clear" w:color="auto" w:fill="auto"/>
            <w:vAlign w:val="bottom"/>
            <w:hideMark/>
          </w:tcPr>
          <w:p w14:paraId="35262165" w14:textId="77777777" w:rsidR="00596A40" w:rsidRPr="009B288B" w:rsidRDefault="00596A40" w:rsidP="00596A40">
            <w:pPr>
              <w:spacing w:line="240" w:lineRule="auto"/>
              <w:jc w:val="center"/>
              <w:rPr>
                <w:rFonts w:cs="Times New Roman"/>
                <w:color w:val="000000"/>
              </w:rPr>
            </w:pPr>
            <w:r w:rsidRPr="009B288B">
              <w:rPr>
                <w:rFonts w:cs="Times New Roman"/>
                <w:color w:val="000000"/>
              </w:rPr>
              <w:t>66%</w:t>
            </w:r>
          </w:p>
        </w:tc>
        <w:tc>
          <w:tcPr>
            <w:tcW w:w="893" w:type="dxa"/>
            <w:tcBorders>
              <w:top w:val="nil"/>
              <w:left w:val="nil"/>
              <w:bottom w:val="single" w:sz="8" w:space="0" w:color="auto"/>
              <w:right w:val="nil"/>
            </w:tcBorders>
            <w:shd w:val="clear" w:color="auto" w:fill="auto"/>
            <w:vAlign w:val="bottom"/>
            <w:hideMark/>
          </w:tcPr>
          <w:p w14:paraId="12DBFB42" w14:textId="77777777" w:rsidR="00596A40" w:rsidRPr="009B288B" w:rsidRDefault="00596A40" w:rsidP="00596A40">
            <w:pPr>
              <w:spacing w:line="240" w:lineRule="auto"/>
              <w:jc w:val="right"/>
              <w:rPr>
                <w:rFonts w:cs="Times New Roman"/>
                <w:color w:val="000000"/>
              </w:rPr>
            </w:pPr>
            <w:r w:rsidRPr="009B288B">
              <w:rPr>
                <w:rFonts w:cs="Times New Roman"/>
                <w:color w:val="000000"/>
              </w:rPr>
              <w:t>2.56</w:t>
            </w:r>
          </w:p>
        </w:tc>
        <w:tc>
          <w:tcPr>
            <w:tcW w:w="576" w:type="dxa"/>
            <w:tcBorders>
              <w:top w:val="nil"/>
              <w:left w:val="nil"/>
              <w:bottom w:val="single" w:sz="8" w:space="0" w:color="auto"/>
              <w:right w:val="nil"/>
            </w:tcBorders>
            <w:shd w:val="clear" w:color="auto" w:fill="auto"/>
            <w:noWrap/>
            <w:vAlign w:val="bottom"/>
            <w:hideMark/>
          </w:tcPr>
          <w:p w14:paraId="1C42C51B" w14:textId="77777777" w:rsidR="00596A40" w:rsidRPr="009B288B" w:rsidRDefault="00596A40" w:rsidP="00596A40">
            <w:pPr>
              <w:spacing w:line="240" w:lineRule="auto"/>
              <w:rPr>
                <w:rFonts w:cs="Times New Roman"/>
                <w:color w:val="000000"/>
              </w:rPr>
            </w:pPr>
            <w:r w:rsidRPr="009B288B">
              <w:rPr>
                <w:rFonts w:cs="Times New Roman"/>
                <w:color w:val="000000"/>
              </w:rPr>
              <w:t>***</w:t>
            </w:r>
          </w:p>
        </w:tc>
        <w:tc>
          <w:tcPr>
            <w:tcW w:w="656" w:type="dxa"/>
            <w:tcBorders>
              <w:top w:val="nil"/>
              <w:left w:val="nil"/>
              <w:bottom w:val="single" w:sz="8" w:space="0" w:color="auto"/>
              <w:right w:val="nil"/>
            </w:tcBorders>
            <w:shd w:val="clear" w:color="auto" w:fill="auto"/>
            <w:vAlign w:val="bottom"/>
            <w:hideMark/>
          </w:tcPr>
          <w:p w14:paraId="48906424" w14:textId="77777777" w:rsidR="00596A40" w:rsidRPr="009B288B" w:rsidRDefault="00596A40" w:rsidP="00596A40">
            <w:pPr>
              <w:spacing w:line="240" w:lineRule="auto"/>
              <w:jc w:val="center"/>
              <w:rPr>
                <w:rFonts w:cs="Times New Roman"/>
                <w:color w:val="000000"/>
              </w:rPr>
            </w:pPr>
            <w:r w:rsidRPr="009B288B">
              <w:rPr>
                <w:rFonts w:cs="Times New Roman"/>
                <w:color w:val="000000"/>
              </w:rPr>
              <w:t>79%</w:t>
            </w:r>
          </w:p>
        </w:tc>
      </w:tr>
      <w:tr w:rsidR="00596A40" w:rsidRPr="009B288B" w14:paraId="01E1DAC3" w14:textId="77777777" w:rsidTr="000F73C0">
        <w:trPr>
          <w:trHeight w:val="315"/>
        </w:trPr>
        <w:tc>
          <w:tcPr>
            <w:tcW w:w="7266" w:type="dxa"/>
            <w:gridSpan w:val="7"/>
            <w:tcBorders>
              <w:top w:val="single" w:sz="8" w:space="0" w:color="auto"/>
              <w:left w:val="nil"/>
              <w:right w:val="nil"/>
            </w:tcBorders>
            <w:shd w:val="clear" w:color="auto" w:fill="auto"/>
            <w:noWrap/>
            <w:vAlign w:val="bottom"/>
            <w:hideMark/>
          </w:tcPr>
          <w:p w14:paraId="54C41837" w14:textId="069F333D" w:rsidR="00596A40" w:rsidRPr="000F73C0" w:rsidRDefault="00993E93" w:rsidP="00596A40">
            <w:pPr>
              <w:spacing w:line="240" w:lineRule="auto"/>
              <w:rPr>
                <w:rFonts w:cs="Times New Roman"/>
                <w:color w:val="000000"/>
                <w:vertAlign w:val="subscript"/>
              </w:rPr>
            </w:pPr>
            <w:r w:rsidRPr="00905713">
              <w:rPr>
                <w:rFonts w:cs="Times New Roman"/>
                <w:color w:val="000000"/>
                <w:vertAlign w:val="subscript"/>
              </w:rPr>
              <w:t>†</w:t>
            </w:r>
            <w:r>
              <w:rPr>
                <w:rFonts w:cs="Times New Roman"/>
                <w:color w:val="000000"/>
                <w:vertAlign w:val="subscript"/>
              </w:rPr>
              <w:t xml:space="preserve"> </w:t>
            </w:r>
            <w:r w:rsidRPr="00905713">
              <w:rPr>
                <w:rFonts w:cs="Times New Roman"/>
                <w:color w:val="000000"/>
                <w:vertAlign w:val="subscript"/>
              </w:rPr>
              <w:t xml:space="preserve">= </w:t>
            </w:r>
            <w:r w:rsidRPr="00AB1E56">
              <w:rPr>
                <w:rFonts w:cs="Times New Roman"/>
                <w:color w:val="000000"/>
                <w:vertAlign w:val="subscript"/>
              </w:rPr>
              <w:t>Due to seasonal variation in rating dates, analyses were not combined across years</w:t>
            </w:r>
          </w:p>
        </w:tc>
      </w:tr>
      <w:tr w:rsidR="000F73C0" w:rsidRPr="009B288B" w14:paraId="126526CD" w14:textId="77777777" w:rsidTr="00AB1E56">
        <w:trPr>
          <w:trHeight w:val="315"/>
        </w:trPr>
        <w:tc>
          <w:tcPr>
            <w:tcW w:w="7266" w:type="dxa"/>
            <w:gridSpan w:val="7"/>
            <w:tcBorders>
              <w:left w:val="nil"/>
              <w:right w:val="nil"/>
            </w:tcBorders>
            <w:shd w:val="clear" w:color="auto" w:fill="auto"/>
            <w:noWrap/>
            <w:vAlign w:val="bottom"/>
          </w:tcPr>
          <w:p w14:paraId="50922A14" w14:textId="247D6A1A" w:rsidR="000F73C0" w:rsidRPr="009B288B" w:rsidRDefault="00993E93" w:rsidP="00596A40">
            <w:pPr>
              <w:spacing w:line="240" w:lineRule="auto"/>
              <w:rPr>
                <w:rFonts w:cs="Times New Roman"/>
                <w:color w:val="000000"/>
              </w:rPr>
            </w:pPr>
            <w:r w:rsidRPr="000F73C0">
              <w:rPr>
                <w:rFonts w:cs="Times New Roman"/>
                <w:color w:val="000000"/>
                <w:vertAlign w:val="subscript"/>
              </w:rPr>
              <w:t xml:space="preserve">* </w:t>
            </w:r>
            <w:r>
              <w:rPr>
                <w:rFonts w:cs="Times New Roman"/>
                <w:color w:val="000000"/>
                <w:vertAlign w:val="subscript"/>
              </w:rPr>
              <w:t xml:space="preserve">P &lt; </w:t>
            </w:r>
            <w:r w:rsidRPr="000F73C0">
              <w:rPr>
                <w:rFonts w:cs="Times New Roman"/>
                <w:color w:val="000000"/>
                <w:vertAlign w:val="subscript"/>
              </w:rPr>
              <w:t>0.05, **</w:t>
            </w:r>
            <w:r>
              <w:rPr>
                <w:rFonts w:cs="Times New Roman"/>
                <w:color w:val="000000"/>
                <w:vertAlign w:val="subscript"/>
              </w:rPr>
              <w:t xml:space="preserve">P &lt; </w:t>
            </w:r>
            <w:r w:rsidRPr="000F73C0">
              <w:rPr>
                <w:rFonts w:cs="Times New Roman"/>
                <w:color w:val="000000"/>
                <w:vertAlign w:val="subscript"/>
              </w:rPr>
              <w:t>0.01, ***</w:t>
            </w:r>
            <w:r>
              <w:rPr>
                <w:rFonts w:cs="Times New Roman"/>
                <w:color w:val="000000"/>
                <w:vertAlign w:val="subscript"/>
              </w:rPr>
              <w:t xml:space="preserve">P &lt; </w:t>
            </w:r>
            <w:r w:rsidRPr="000F73C0">
              <w:rPr>
                <w:rFonts w:cs="Times New Roman"/>
                <w:color w:val="000000"/>
                <w:vertAlign w:val="subscript"/>
              </w:rPr>
              <w:t>0.001 respectively</w:t>
            </w:r>
          </w:p>
        </w:tc>
      </w:tr>
    </w:tbl>
    <w:p w14:paraId="0B86B732" w14:textId="77777777" w:rsidR="00596A40" w:rsidRDefault="00596A40" w:rsidP="00596A40">
      <w:pPr>
        <w:pStyle w:val="Caption"/>
        <w:sectPr w:rsidR="00596A40" w:rsidSect="00794998">
          <w:pgSz w:w="12240" w:h="15840"/>
          <w:pgMar w:top="1440" w:right="1440" w:bottom="1440" w:left="1440" w:header="720" w:footer="720" w:gutter="0"/>
          <w:cols w:space="720"/>
          <w:docGrid w:linePitch="360"/>
        </w:sectPr>
      </w:pPr>
    </w:p>
    <w:p w14:paraId="4A2EB88E" w14:textId="67AEFC1A" w:rsidR="00596A40" w:rsidRDefault="00596A40" w:rsidP="00596A40">
      <w:pPr>
        <w:pStyle w:val="Caption"/>
        <w:rPr>
          <w:rFonts w:eastAsiaTheme="minorHAnsi"/>
        </w:rPr>
      </w:pPr>
      <w:bookmarkStart w:id="81" w:name="_Toc404070377"/>
      <w:r>
        <w:lastRenderedPageBreak/>
        <w:t>Table 2-</w:t>
      </w:r>
      <w:r w:rsidR="00AB1E56">
        <w:t>4</w:t>
      </w:r>
      <w:r>
        <w:t>: Estimated additive, dominance, and phenotypic variance components and calculated narrow sense heritability (</w:t>
      </w:r>
      <w:r w:rsidRPr="00BE4047">
        <w:rPr>
          <w:rFonts w:cs="Times New Roman"/>
          <w:color w:val="000000"/>
        </w:rPr>
        <w:t>h</w:t>
      </w:r>
      <w:r w:rsidRPr="00BE4047">
        <w:rPr>
          <w:rFonts w:cs="Times New Roman"/>
          <w:color w:val="000000"/>
          <w:vertAlign w:val="superscript"/>
        </w:rPr>
        <w:t>2</w:t>
      </w:r>
      <w:r w:rsidRPr="00BE4047">
        <w:rPr>
          <w:rFonts w:cs="Times New Roman"/>
          <w:color w:val="000000"/>
          <w:vertAlign w:val="subscript"/>
        </w:rPr>
        <w:t>i</w:t>
      </w:r>
      <w:r>
        <w:t>) and broad sense heritability (</w:t>
      </w:r>
      <w:r w:rsidRPr="00BE4047">
        <w:rPr>
          <w:rFonts w:cs="Times New Roman"/>
          <w:color w:val="000000"/>
        </w:rPr>
        <w:t>H</w:t>
      </w:r>
      <w:r w:rsidRPr="00BE4047">
        <w:rPr>
          <w:rFonts w:cs="Times New Roman"/>
          <w:color w:val="000000"/>
          <w:vertAlign w:val="superscript"/>
        </w:rPr>
        <w:t>2</w:t>
      </w:r>
      <w:r w:rsidRPr="00BE4047">
        <w:rPr>
          <w:rFonts w:cs="Times New Roman"/>
          <w:color w:val="000000"/>
          <w:vertAlign w:val="subscript"/>
        </w:rPr>
        <w:t>i</w:t>
      </w:r>
      <w:r>
        <w:t xml:space="preserve">) estimates </w:t>
      </w:r>
      <w:r w:rsidR="00CB63DC">
        <w:t xml:space="preserve">of the F1 population derived from the diallel cross of eight parents were calculated using ANOVA estimates of GCA and SCA </w:t>
      </w:r>
      <w:r>
        <w:t xml:space="preserve">for the traits </w:t>
      </w:r>
      <w:r>
        <w:rPr>
          <w:rFonts w:eastAsiaTheme="minorHAnsi"/>
        </w:rPr>
        <w:t>biomass yield, predicted ethanol yield</w:t>
      </w:r>
      <w:r w:rsidR="00CB63DC">
        <w:rPr>
          <w:rFonts w:eastAsiaTheme="minorHAnsi"/>
        </w:rPr>
        <w:t xml:space="preserve">, and fall height in 2012, 2013, </w:t>
      </w:r>
      <w:r>
        <w:rPr>
          <w:rFonts w:eastAsiaTheme="minorHAnsi"/>
        </w:rPr>
        <w:t xml:space="preserve">and combined over both years and for the traits spring height, tiller number, and tiller diameter </w:t>
      </w:r>
      <w:r w:rsidR="00CB63DC">
        <w:rPr>
          <w:rFonts w:eastAsiaTheme="minorHAnsi"/>
        </w:rPr>
        <w:t>(A.)</w:t>
      </w:r>
      <w:r>
        <w:rPr>
          <w:rFonts w:eastAsiaTheme="minorHAnsi"/>
        </w:rPr>
        <w:t xml:space="preserve"> and </w:t>
      </w:r>
      <w:r w:rsidR="00B8390A">
        <w:rPr>
          <w:rFonts w:eastAsiaTheme="minorHAnsi"/>
        </w:rPr>
        <w:t>leaf width</w:t>
      </w:r>
      <w:r>
        <w:rPr>
          <w:rFonts w:eastAsiaTheme="minorHAnsi"/>
        </w:rPr>
        <w:t xml:space="preserve">, </w:t>
      </w:r>
      <w:r w:rsidR="00DA675F">
        <w:rPr>
          <w:rFonts w:eastAsiaTheme="minorHAnsi"/>
        </w:rPr>
        <w:t>canopy density</w:t>
      </w:r>
      <w:r>
        <w:rPr>
          <w:rFonts w:eastAsiaTheme="minorHAnsi"/>
        </w:rPr>
        <w:t xml:space="preserve">, and </w:t>
      </w:r>
      <w:r w:rsidR="009C1A48">
        <w:rPr>
          <w:rFonts w:eastAsiaTheme="minorHAnsi"/>
        </w:rPr>
        <w:t>rust severity</w:t>
      </w:r>
      <w:r w:rsidR="00CB63DC">
        <w:rPr>
          <w:rFonts w:eastAsiaTheme="minorHAnsi"/>
        </w:rPr>
        <w:t xml:space="preserve"> (B.)</w:t>
      </w:r>
      <w:r>
        <w:rPr>
          <w:rFonts w:eastAsiaTheme="minorHAnsi"/>
        </w:rPr>
        <w:t xml:space="preserve"> in 2013, 2014, and combined over both years</w:t>
      </w:r>
      <w:r w:rsidR="00CB63DC">
        <w:rPr>
          <w:rFonts w:eastAsiaTheme="minorHAnsi"/>
        </w:rPr>
        <w:t>.</w:t>
      </w:r>
      <w:bookmarkEnd w:id="81"/>
      <w:r w:rsidR="00CB63DC">
        <w:rPr>
          <w:rFonts w:eastAsiaTheme="minorHAnsi"/>
        </w:rPr>
        <w:t xml:space="preserve"> </w:t>
      </w:r>
    </w:p>
    <w:p w14:paraId="7D6AECAF" w14:textId="77777777" w:rsidR="00596A40" w:rsidRPr="00CB63DC" w:rsidRDefault="00235C84" w:rsidP="00596A40">
      <w:pPr>
        <w:spacing w:line="240" w:lineRule="auto"/>
        <w:rPr>
          <w:rFonts w:eastAsiaTheme="minorHAnsi"/>
          <w:b/>
        </w:rPr>
      </w:pPr>
      <w:r w:rsidRPr="00CB63DC">
        <w:rPr>
          <w:b/>
        </w:rPr>
        <w:t>Table 2-</w:t>
      </w:r>
      <w:r w:rsidR="00AB1E56">
        <w:rPr>
          <w:b/>
        </w:rPr>
        <w:t>4</w:t>
      </w:r>
      <w:r w:rsidRPr="00CB63DC">
        <w:rPr>
          <w:b/>
        </w:rPr>
        <w:t xml:space="preserve"> </w:t>
      </w:r>
      <w:r w:rsidR="00596A40" w:rsidRPr="00CB63DC">
        <w:rPr>
          <w:rFonts w:eastAsiaTheme="minorHAnsi"/>
          <w:b/>
        </w:rPr>
        <w:t>A.</w:t>
      </w:r>
    </w:p>
    <w:tbl>
      <w:tblPr>
        <w:tblW w:w="11332" w:type="dxa"/>
        <w:tblInd w:w="93" w:type="dxa"/>
        <w:tblLook w:val="04A0" w:firstRow="1" w:lastRow="0" w:firstColumn="1" w:lastColumn="0" w:noHBand="0" w:noVBand="1"/>
      </w:tblPr>
      <w:tblGrid>
        <w:gridCol w:w="1123"/>
        <w:gridCol w:w="1060"/>
        <w:gridCol w:w="1060"/>
        <w:gridCol w:w="1283"/>
        <w:gridCol w:w="1060"/>
        <w:gridCol w:w="1060"/>
        <w:gridCol w:w="1379"/>
        <w:gridCol w:w="964"/>
        <w:gridCol w:w="1060"/>
        <w:gridCol w:w="1283"/>
      </w:tblGrid>
      <w:tr w:rsidR="00596A40" w:rsidRPr="00C14E78" w14:paraId="29BE7CD2" w14:textId="77777777" w:rsidTr="00CB63DC">
        <w:trPr>
          <w:trHeight w:val="300"/>
        </w:trPr>
        <w:tc>
          <w:tcPr>
            <w:tcW w:w="1123" w:type="dxa"/>
            <w:tcBorders>
              <w:top w:val="single" w:sz="8" w:space="0" w:color="auto"/>
              <w:left w:val="nil"/>
              <w:bottom w:val="nil"/>
              <w:right w:val="nil"/>
            </w:tcBorders>
            <w:shd w:val="clear" w:color="auto" w:fill="auto"/>
            <w:noWrap/>
            <w:vAlign w:val="center"/>
            <w:hideMark/>
          </w:tcPr>
          <w:p w14:paraId="0A06F242" w14:textId="77777777" w:rsidR="00596A40" w:rsidRPr="00CB63DC" w:rsidRDefault="00596A40" w:rsidP="00596A40">
            <w:pPr>
              <w:spacing w:line="240" w:lineRule="auto"/>
              <w:rPr>
                <w:rFonts w:cs="Times New Roman"/>
                <w:b/>
                <w:bCs/>
                <w:color w:val="000000"/>
              </w:rPr>
            </w:pPr>
            <w:r w:rsidRPr="00CB63DC">
              <w:rPr>
                <w:rFonts w:cs="Times New Roman"/>
                <w:b/>
                <w:bCs/>
                <w:color w:val="000000"/>
              </w:rPr>
              <w:t> </w:t>
            </w:r>
          </w:p>
        </w:tc>
        <w:tc>
          <w:tcPr>
            <w:tcW w:w="3403" w:type="dxa"/>
            <w:gridSpan w:val="3"/>
            <w:tcBorders>
              <w:top w:val="single" w:sz="8" w:space="0" w:color="auto"/>
              <w:left w:val="nil"/>
              <w:bottom w:val="nil"/>
              <w:right w:val="nil"/>
            </w:tcBorders>
            <w:shd w:val="clear" w:color="auto" w:fill="auto"/>
            <w:noWrap/>
            <w:vAlign w:val="bottom"/>
            <w:hideMark/>
          </w:tcPr>
          <w:p w14:paraId="47888B0B" w14:textId="02C40434" w:rsidR="00596A40" w:rsidRPr="00CB63DC" w:rsidRDefault="00B428AC" w:rsidP="00596A40">
            <w:pPr>
              <w:spacing w:line="240" w:lineRule="auto"/>
              <w:jc w:val="center"/>
              <w:rPr>
                <w:rFonts w:cs="Times New Roman"/>
                <w:b/>
                <w:color w:val="000000"/>
                <w:u w:val="single"/>
              </w:rPr>
            </w:pPr>
            <w:r>
              <w:rPr>
                <w:rFonts w:cs="Times New Roman"/>
                <w:b/>
                <w:color w:val="000000"/>
                <w:u w:val="single"/>
              </w:rPr>
              <w:t>Biomass Yield</w:t>
            </w:r>
            <w:r w:rsidR="00596A40" w:rsidRPr="00CB63DC">
              <w:rPr>
                <w:rFonts w:cs="Times New Roman"/>
                <w:b/>
                <w:color w:val="000000"/>
                <w:u w:val="single"/>
              </w:rPr>
              <w:t xml:space="preserve"> </w:t>
            </w:r>
          </w:p>
        </w:tc>
        <w:tc>
          <w:tcPr>
            <w:tcW w:w="3499" w:type="dxa"/>
            <w:gridSpan w:val="3"/>
            <w:tcBorders>
              <w:top w:val="single" w:sz="8" w:space="0" w:color="auto"/>
              <w:left w:val="nil"/>
              <w:bottom w:val="nil"/>
              <w:right w:val="nil"/>
            </w:tcBorders>
            <w:shd w:val="clear" w:color="auto" w:fill="auto"/>
            <w:noWrap/>
            <w:vAlign w:val="bottom"/>
            <w:hideMark/>
          </w:tcPr>
          <w:p w14:paraId="5C4B0042" w14:textId="5E33C136" w:rsidR="00596A40" w:rsidRPr="00CB63DC" w:rsidRDefault="00596A40" w:rsidP="00B8390A">
            <w:pPr>
              <w:spacing w:line="240" w:lineRule="auto"/>
              <w:jc w:val="center"/>
              <w:rPr>
                <w:rFonts w:cs="Times New Roman"/>
                <w:b/>
                <w:color w:val="000000"/>
                <w:u w:val="single"/>
              </w:rPr>
            </w:pPr>
            <w:r w:rsidRPr="00CB63DC">
              <w:rPr>
                <w:rFonts w:cs="Times New Roman"/>
                <w:b/>
                <w:color w:val="000000"/>
                <w:u w:val="single"/>
              </w:rPr>
              <w:t xml:space="preserve">Predicted </w:t>
            </w:r>
            <w:r w:rsidR="00B8390A">
              <w:rPr>
                <w:rFonts w:cs="Times New Roman"/>
                <w:b/>
                <w:color w:val="000000"/>
                <w:u w:val="single"/>
              </w:rPr>
              <w:t>E</w:t>
            </w:r>
            <w:r w:rsidRPr="00CB63DC">
              <w:rPr>
                <w:rFonts w:cs="Times New Roman"/>
                <w:b/>
                <w:color w:val="000000"/>
                <w:u w:val="single"/>
              </w:rPr>
              <w:t xml:space="preserve">thanol </w:t>
            </w:r>
            <w:r w:rsidR="00B8390A">
              <w:rPr>
                <w:rFonts w:cs="Times New Roman"/>
                <w:b/>
                <w:color w:val="000000"/>
                <w:u w:val="single"/>
              </w:rPr>
              <w:t>Y</w:t>
            </w:r>
            <w:r w:rsidRPr="00CB63DC">
              <w:rPr>
                <w:rFonts w:cs="Times New Roman"/>
                <w:b/>
                <w:color w:val="000000"/>
                <w:u w:val="single"/>
              </w:rPr>
              <w:t>ield</w:t>
            </w:r>
          </w:p>
        </w:tc>
        <w:tc>
          <w:tcPr>
            <w:tcW w:w="3307" w:type="dxa"/>
            <w:gridSpan w:val="3"/>
            <w:tcBorders>
              <w:top w:val="single" w:sz="8" w:space="0" w:color="auto"/>
              <w:left w:val="nil"/>
              <w:bottom w:val="nil"/>
              <w:right w:val="nil"/>
            </w:tcBorders>
            <w:shd w:val="clear" w:color="auto" w:fill="auto"/>
            <w:vAlign w:val="bottom"/>
            <w:hideMark/>
          </w:tcPr>
          <w:p w14:paraId="4455C6F5" w14:textId="2283EBD9" w:rsidR="00596A40" w:rsidRPr="00CB63DC" w:rsidRDefault="00596A40" w:rsidP="00B428AC">
            <w:pPr>
              <w:spacing w:line="240" w:lineRule="auto"/>
              <w:jc w:val="center"/>
              <w:rPr>
                <w:rFonts w:cs="Times New Roman"/>
                <w:b/>
                <w:color w:val="000000"/>
                <w:u w:val="single"/>
              </w:rPr>
            </w:pPr>
            <w:r w:rsidRPr="00CB63DC">
              <w:rPr>
                <w:rFonts w:cs="Times New Roman"/>
                <w:b/>
                <w:color w:val="000000"/>
                <w:u w:val="single"/>
              </w:rPr>
              <w:t>Fall Height</w:t>
            </w:r>
          </w:p>
        </w:tc>
      </w:tr>
      <w:tr w:rsidR="00596A40" w:rsidRPr="00C14E78" w14:paraId="0BF9AA56" w14:textId="77777777" w:rsidTr="00CB63DC">
        <w:trPr>
          <w:trHeight w:val="330"/>
        </w:trPr>
        <w:tc>
          <w:tcPr>
            <w:tcW w:w="1123" w:type="dxa"/>
            <w:tcBorders>
              <w:top w:val="nil"/>
              <w:left w:val="nil"/>
              <w:bottom w:val="single" w:sz="8" w:space="0" w:color="auto"/>
              <w:right w:val="nil"/>
            </w:tcBorders>
            <w:shd w:val="clear" w:color="auto" w:fill="auto"/>
            <w:vAlign w:val="bottom"/>
            <w:hideMark/>
          </w:tcPr>
          <w:p w14:paraId="0BC759A3" w14:textId="77777777" w:rsidR="00596A40" w:rsidRPr="00CB63DC" w:rsidRDefault="00596A40" w:rsidP="00596A40">
            <w:pPr>
              <w:spacing w:line="240" w:lineRule="auto"/>
              <w:rPr>
                <w:rFonts w:cs="Times New Roman"/>
                <w:b/>
                <w:color w:val="000000"/>
              </w:rPr>
            </w:pPr>
            <w:r w:rsidRPr="00CB63DC">
              <w:rPr>
                <w:rFonts w:cs="Times New Roman"/>
                <w:b/>
                <w:color w:val="000000"/>
              </w:rPr>
              <w:t>Estimate</w:t>
            </w:r>
          </w:p>
        </w:tc>
        <w:tc>
          <w:tcPr>
            <w:tcW w:w="1060" w:type="dxa"/>
            <w:tcBorders>
              <w:top w:val="nil"/>
              <w:left w:val="nil"/>
              <w:bottom w:val="single" w:sz="8" w:space="0" w:color="auto"/>
              <w:right w:val="nil"/>
            </w:tcBorders>
            <w:shd w:val="clear" w:color="auto" w:fill="auto"/>
            <w:vAlign w:val="bottom"/>
            <w:hideMark/>
          </w:tcPr>
          <w:p w14:paraId="79C6716B" w14:textId="77777777" w:rsidR="00596A40" w:rsidRPr="00CB63DC" w:rsidRDefault="00596A40" w:rsidP="00596A40">
            <w:pPr>
              <w:spacing w:line="240" w:lineRule="auto"/>
              <w:jc w:val="center"/>
              <w:rPr>
                <w:rFonts w:cs="Times New Roman"/>
                <w:b/>
                <w:color w:val="000000"/>
              </w:rPr>
            </w:pPr>
            <w:r w:rsidRPr="00CB63DC">
              <w:rPr>
                <w:rFonts w:cs="Times New Roman"/>
                <w:b/>
                <w:color w:val="000000"/>
              </w:rPr>
              <w:t>2012</w:t>
            </w:r>
          </w:p>
        </w:tc>
        <w:tc>
          <w:tcPr>
            <w:tcW w:w="1060" w:type="dxa"/>
            <w:tcBorders>
              <w:top w:val="nil"/>
              <w:left w:val="nil"/>
              <w:bottom w:val="single" w:sz="8" w:space="0" w:color="auto"/>
              <w:right w:val="nil"/>
            </w:tcBorders>
            <w:shd w:val="clear" w:color="auto" w:fill="auto"/>
            <w:vAlign w:val="bottom"/>
            <w:hideMark/>
          </w:tcPr>
          <w:p w14:paraId="4CFA0058" w14:textId="77777777" w:rsidR="00596A40" w:rsidRPr="00CB63DC" w:rsidRDefault="00596A40" w:rsidP="00596A40">
            <w:pPr>
              <w:spacing w:line="240" w:lineRule="auto"/>
              <w:jc w:val="center"/>
              <w:rPr>
                <w:rFonts w:cs="Times New Roman"/>
                <w:b/>
                <w:color w:val="000000"/>
              </w:rPr>
            </w:pPr>
            <w:r w:rsidRPr="00CB63DC">
              <w:rPr>
                <w:rFonts w:cs="Times New Roman"/>
                <w:b/>
                <w:color w:val="000000"/>
              </w:rPr>
              <w:t>2013</w:t>
            </w:r>
          </w:p>
        </w:tc>
        <w:tc>
          <w:tcPr>
            <w:tcW w:w="1283" w:type="dxa"/>
            <w:tcBorders>
              <w:top w:val="nil"/>
              <w:left w:val="nil"/>
              <w:bottom w:val="single" w:sz="8" w:space="0" w:color="auto"/>
              <w:right w:val="nil"/>
            </w:tcBorders>
            <w:shd w:val="clear" w:color="auto" w:fill="auto"/>
            <w:vAlign w:val="bottom"/>
            <w:hideMark/>
          </w:tcPr>
          <w:p w14:paraId="2DEC0E28" w14:textId="77777777" w:rsidR="00596A40" w:rsidRPr="00CB63DC" w:rsidRDefault="00596A40" w:rsidP="00596A40">
            <w:pPr>
              <w:spacing w:line="240" w:lineRule="auto"/>
              <w:jc w:val="center"/>
              <w:rPr>
                <w:rFonts w:cs="Times New Roman"/>
                <w:b/>
                <w:color w:val="000000"/>
              </w:rPr>
            </w:pPr>
            <w:r w:rsidRPr="00CB63DC">
              <w:rPr>
                <w:rFonts w:cs="Times New Roman"/>
                <w:b/>
                <w:color w:val="000000"/>
              </w:rPr>
              <w:t>Combined</w:t>
            </w:r>
          </w:p>
        </w:tc>
        <w:tc>
          <w:tcPr>
            <w:tcW w:w="1060" w:type="dxa"/>
            <w:tcBorders>
              <w:top w:val="nil"/>
              <w:left w:val="nil"/>
              <w:bottom w:val="single" w:sz="8" w:space="0" w:color="auto"/>
              <w:right w:val="nil"/>
            </w:tcBorders>
            <w:shd w:val="clear" w:color="auto" w:fill="auto"/>
            <w:vAlign w:val="bottom"/>
            <w:hideMark/>
          </w:tcPr>
          <w:p w14:paraId="53E7D45F" w14:textId="77777777" w:rsidR="00596A40" w:rsidRPr="00CB63DC" w:rsidRDefault="00596A40" w:rsidP="00596A40">
            <w:pPr>
              <w:spacing w:line="240" w:lineRule="auto"/>
              <w:jc w:val="center"/>
              <w:rPr>
                <w:rFonts w:cs="Times New Roman"/>
                <w:b/>
                <w:color w:val="000000"/>
              </w:rPr>
            </w:pPr>
            <w:r w:rsidRPr="00CB63DC">
              <w:rPr>
                <w:rFonts w:cs="Times New Roman"/>
                <w:b/>
                <w:color w:val="000000"/>
              </w:rPr>
              <w:t>2012</w:t>
            </w:r>
          </w:p>
        </w:tc>
        <w:tc>
          <w:tcPr>
            <w:tcW w:w="1060" w:type="dxa"/>
            <w:tcBorders>
              <w:top w:val="nil"/>
              <w:left w:val="nil"/>
              <w:bottom w:val="single" w:sz="8" w:space="0" w:color="auto"/>
              <w:right w:val="nil"/>
            </w:tcBorders>
            <w:shd w:val="clear" w:color="auto" w:fill="auto"/>
            <w:vAlign w:val="bottom"/>
            <w:hideMark/>
          </w:tcPr>
          <w:p w14:paraId="7FCB110E" w14:textId="77777777" w:rsidR="00596A40" w:rsidRPr="00CB63DC" w:rsidRDefault="00596A40" w:rsidP="00596A40">
            <w:pPr>
              <w:spacing w:line="240" w:lineRule="auto"/>
              <w:jc w:val="center"/>
              <w:rPr>
                <w:rFonts w:cs="Times New Roman"/>
                <w:b/>
                <w:color w:val="000000"/>
              </w:rPr>
            </w:pPr>
            <w:r w:rsidRPr="00CB63DC">
              <w:rPr>
                <w:rFonts w:cs="Times New Roman"/>
                <w:b/>
                <w:color w:val="000000"/>
              </w:rPr>
              <w:t>2013</w:t>
            </w:r>
          </w:p>
        </w:tc>
        <w:tc>
          <w:tcPr>
            <w:tcW w:w="1379" w:type="dxa"/>
            <w:tcBorders>
              <w:top w:val="nil"/>
              <w:left w:val="nil"/>
              <w:bottom w:val="single" w:sz="8" w:space="0" w:color="auto"/>
              <w:right w:val="nil"/>
            </w:tcBorders>
            <w:shd w:val="clear" w:color="auto" w:fill="auto"/>
            <w:vAlign w:val="bottom"/>
            <w:hideMark/>
          </w:tcPr>
          <w:p w14:paraId="2C5A5068" w14:textId="77777777" w:rsidR="00596A40" w:rsidRPr="00CB63DC" w:rsidRDefault="00596A40" w:rsidP="00596A40">
            <w:pPr>
              <w:spacing w:line="240" w:lineRule="auto"/>
              <w:jc w:val="center"/>
              <w:rPr>
                <w:rFonts w:cs="Times New Roman"/>
                <w:b/>
                <w:color w:val="000000"/>
              </w:rPr>
            </w:pPr>
            <w:r w:rsidRPr="00CB63DC">
              <w:rPr>
                <w:rFonts w:cs="Times New Roman"/>
                <w:b/>
                <w:color w:val="000000"/>
              </w:rPr>
              <w:t>Combined</w:t>
            </w:r>
          </w:p>
        </w:tc>
        <w:tc>
          <w:tcPr>
            <w:tcW w:w="964" w:type="dxa"/>
            <w:tcBorders>
              <w:top w:val="nil"/>
              <w:left w:val="nil"/>
              <w:bottom w:val="single" w:sz="8" w:space="0" w:color="auto"/>
              <w:right w:val="nil"/>
            </w:tcBorders>
            <w:shd w:val="clear" w:color="auto" w:fill="auto"/>
            <w:vAlign w:val="bottom"/>
            <w:hideMark/>
          </w:tcPr>
          <w:p w14:paraId="1FCB653F" w14:textId="77777777" w:rsidR="00596A40" w:rsidRPr="00CB63DC" w:rsidRDefault="00596A40" w:rsidP="00596A40">
            <w:pPr>
              <w:spacing w:line="240" w:lineRule="auto"/>
              <w:jc w:val="center"/>
              <w:rPr>
                <w:rFonts w:cs="Times New Roman"/>
                <w:b/>
                <w:color w:val="000000"/>
              </w:rPr>
            </w:pPr>
            <w:r w:rsidRPr="00CB63DC">
              <w:rPr>
                <w:rFonts w:cs="Times New Roman"/>
                <w:b/>
                <w:color w:val="000000"/>
              </w:rPr>
              <w:t>2012</w:t>
            </w:r>
          </w:p>
        </w:tc>
        <w:tc>
          <w:tcPr>
            <w:tcW w:w="1060" w:type="dxa"/>
            <w:tcBorders>
              <w:top w:val="nil"/>
              <w:left w:val="nil"/>
              <w:bottom w:val="single" w:sz="8" w:space="0" w:color="auto"/>
              <w:right w:val="nil"/>
            </w:tcBorders>
            <w:shd w:val="clear" w:color="auto" w:fill="auto"/>
            <w:vAlign w:val="bottom"/>
            <w:hideMark/>
          </w:tcPr>
          <w:p w14:paraId="58F7F5F4" w14:textId="77777777" w:rsidR="00596A40" w:rsidRPr="00CB63DC" w:rsidRDefault="00596A40" w:rsidP="00596A40">
            <w:pPr>
              <w:spacing w:line="240" w:lineRule="auto"/>
              <w:jc w:val="center"/>
              <w:rPr>
                <w:rFonts w:cs="Times New Roman"/>
                <w:b/>
                <w:color w:val="000000"/>
              </w:rPr>
            </w:pPr>
            <w:r w:rsidRPr="00CB63DC">
              <w:rPr>
                <w:rFonts w:cs="Times New Roman"/>
                <w:b/>
                <w:color w:val="000000"/>
              </w:rPr>
              <w:t>2013</w:t>
            </w:r>
          </w:p>
        </w:tc>
        <w:tc>
          <w:tcPr>
            <w:tcW w:w="1283" w:type="dxa"/>
            <w:tcBorders>
              <w:top w:val="nil"/>
              <w:left w:val="nil"/>
              <w:bottom w:val="single" w:sz="8" w:space="0" w:color="auto"/>
              <w:right w:val="nil"/>
            </w:tcBorders>
            <w:shd w:val="clear" w:color="auto" w:fill="auto"/>
            <w:vAlign w:val="bottom"/>
            <w:hideMark/>
          </w:tcPr>
          <w:p w14:paraId="3BA38A33" w14:textId="77777777" w:rsidR="00596A40" w:rsidRPr="00CB63DC" w:rsidRDefault="00596A40" w:rsidP="00596A40">
            <w:pPr>
              <w:spacing w:line="240" w:lineRule="auto"/>
              <w:jc w:val="center"/>
              <w:rPr>
                <w:rFonts w:cs="Times New Roman"/>
                <w:b/>
                <w:color w:val="000000"/>
              </w:rPr>
            </w:pPr>
            <w:r w:rsidRPr="00CB63DC">
              <w:rPr>
                <w:rFonts w:cs="Times New Roman"/>
                <w:b/>
                <w:color w:val="000000"/>
              </w:rPr>
              <w:t>Combined</w:t>
            </w:r>
          </w:p>
        </w:tc>
      </w:tr>
      <w:tr w:rsidR="00596A40" w:rsidRPr="00C14E78" w14:paraId="5BE89A48" w14:textId="77777777" w:rsidTr="00CB63DC">
        <w:trPr>
          <w:trHeight w:val="405"/>
        </w:trPr>
        <w:tc>
          <w:tcPr>
            <w:tcW w:w="1123" w:type="dxa"/>
            <w:tcBorders>
              <w:top w:val="nil"/>
              <w:left w:val="nil"/>
              <w:bottom w:val="nil"/>
              <w:right w:val="nil"/>
            </w:tcBorders>
            <w:shd w:val="clear" w:color="auto" w:fill="auto"/>
            <w:noWrap/>
            <w:vAlign w:val="bottom"/>
            <w:hideMark/>
          </w:tcPr>
          <w:p w14:paraId="040856A0" w14:textId="77777777" w:rsidR="00596A40" w:rsidRPr="00CB63DC" w:rsidRDefault="00596A40" w:rsidP="00596A40">
            <w:pPr>
              <w:spacing w:line="240" w:lineRule="auto"/>
              <w:rPr>
                <w:rFonts w:cs="Times New Roman"/>
                <w:b/>
                <w:color w:val="000000"/>
              </w:rPr>
            </w:pPr>
            <w:r w:rsidRPr="00CB63DC">
              <w:rPr>
                <w:rFonts w:cs="Times New Roman"/>
                <w:b/>
                <w:color w:val="000000"/>
              </w:rPr>
              <w:t>σ</w:t>
            </w:r>
            <w:r w:rsidRPr="00CB63DC">
              <w:rPr>
                <w:rFonts w:cs="Times New Roman"/>
                <w:b/>
                <w:color w:val="000000"/>
                <w:vertAlign w:val="superscript"/>
              </w:rPr>
              <w:t>2</w:t>
            </w:r>
            <w:r w:rsidRPr="00CB63DC">
              <w:rPr>
                <w:rFonts w:cs="Times New Roman"/>
                <w:b/>
                <w:color w:val="000000"/>
                <w:vertAlign w:val="subscript"/>
              </w:rPr>
              <w:t>A</w:t>
            </w:r>
          </w:p>
        </w:tc>
        <w:tc>
          <w:tcPr>
            <w:tcW w:w="1060" w:type="dxa"/>
            <w:tcBorders>
              <w:top w:val="nil"/>
              <w:left w:val="nil"/>
              <w:bottom w:val="nil"/>
              <w:right w:val="nil"/>
            </w:tcBorders>
            <w:shd w:val="clear" w:color="auto" w:fill="auto"/>
            <w:noWrap/>
            <w:vAlign w:val="bottom"/>
            <w:hideMark/>
          </w:tcPr>
          <w:p w14:paraId="4EEFE023" w14:textId="77777777" w:rsidR="00596A40" w:rsidRPr="00C14E78" w:rsidRDefault="00596A40" w:rsidP="00596A40">
            <w:pPr>
              <w:spacing w:line="240" w:lineRule="auto"/>
              <w:jc w:val="center"/>
              <w:rPr>
                <w:rFonts w:cs="Times New Roman"/>
                <w:color w:val="000000"/>
              </w:rPr>
            </w:pPr>
            <w:r w:rsidRPr="00C14E78">
              <w:rPr>
                <w:rFonts w:cs="Times New Roman"/>
                <w:color w:val="000000"/>
              </w:rPr>
              <w:t>1867</w:t>
            </w:r>
          </w:p>
        </w:tc>
        <w:tc>
          <w:tcPr>
            <w:tcW w:w="1060" w:type="dxa"/>
            <w:tcBorders>
              <w:top w:val="nil"/>
              <w:left w:val="nil"/>
              <w:bottom w:val="nil"/>
              <w:right w:val="nil"/>
            </w:tcBorders>
            <w:shd w:val="clear" w:color="auto" w:fill="auto"/>
            <w:noWrap/>
            <w:vAlign w:val="bottom"/>
            <w:hideMark/>
          </w:tcPr>
          <w:p w14:paraId="63767867" w14:textId="77777777" w:rsidR="00596A40" w:rsidRPr="00C14E78" w:rsidRDefault="00596A40" w:rsidP="00596A40">
            <w:pPr>
              <w:spacing w:line="240" w:lineRule="auto"/>
              <w:jc w:val="center"/>
              <w:rPr>
                <w:rFonts w:cs="Times New Roman"/>
                <w:color w:val="000000"/>
              </w:rPr>
            </w:pPr>
            <w:r w:rsidRPr="00C14E78">
              <w:rPr>
                <w:rFonts w:cs="Times New Roman"/>
                <w:color w:val="000000"/>
              </w:rPr>
              <w:t>195860</w:t>
            </w:r>
          </w:p>
        </w:tc>
        <w:tc>
          <w:tcPr>
            <w:tcW w:w="1283" w:type="dxa"/>
            <w:tcBorders>
              <w:top w:val="nil"/>
              <w:left w:val="nil"/>
              <w:bottom w:val="nil"/>
              <w:right w:val="nil"/>
            </w:tcBorders>
            <w:shd w:val="clear" w:color="auto" w:fill="auto"/>
            <w:noWrap/>
            <w:vAlign w:val="bottom"/>
            <w:hideMark/>
          </w:tcPr>
          <w:p w14:paraId="52F5F184" w14:textId="77777777" w:rsidR="00596A40" w:rsidRPr="00C14E78" w:rsidRDefault="00596A40" w:rsidP="00596A40">
            <w:pPr>
              <w:spacing w:line="240" w:lineRule="auto"/>
              <w:jc w:val="center"/>
              <w:rPr>
                <w:rFonts w:cs="Times New Roman"/>
                <w:color w:val="000000"/>
              </w:rPr>
            </w:pPr>
            <w:r w:rsidRPr="00C14E78">
              <w:rPr>
                <w:rFonts w:cs="Times New Roman"/>
                <w:color w:val="000000"/>
              </w:rPr>
              <w:t>27846</w:t>
            </w:r>
          </w:p>
        </w:tc>
        <w:tc>
          <w:tcPr>
            <w:tcW w:w="1060" w:type="dxa"/>
            <w:tcBorders>
              <w:top w:val="nil"/>
              <w:left w:val="nil"/>
              <w:bottom w:val="nil"/>
              <w:right w:val="nil"/>
            </w:tcBorders>
            <w:shd w:val="clear" w:color="auto" w:fill="auto"/>
            <w:noWrap/>
            <w:vAlign w:val="bottom"/>
            <w:hideMark/>
          </w:tcPr>
          <w:p w14:paraId="403F3696" w14:textId="77777777" w:rsidR="00596A40" w:rsidRPr="00C14E78" w:rsidRDefault="00596A40" w:rsidP="00596A40">
            <w:pPr>
              <w:spacing w:line="240" w:lineRule="auto"/>
              <w:jc w:val="center"/>
              <w:rPr>
                <w:rFonts w:cs="Times New Roman"/>
                <w:color w:val="000000"/>
              </w:rPr>
            </w:pPr>
            <w:r w:rsidRPr="00C14E78">
              <w:rPr>
                <w:rFonts w:cs="Times New Roman"/>
                <w:color w:val="000000"/>
              </w:rPr>
              <w:t>14</w:t>
            </w:r>
          </w:p>
        </w:tc>
        <w:tc>
          <w:tcPr>
            <w:tcW w:w="1060" w:type="dxa"/>
            <w:tcBorders>
              <w:top w:val="nil"/>
              <w:left w:val="nil"/>
              <w:bottom w:val="nil"/>
              <w:right w:val="nil"/>
            </w:tcBorders>
            <w:shd w:val="clear" w:color="auto" w:fill="auto"/>
            <w:noWrap/>
            <w:vAlign w:val="bottom"/>
            <w:hideMark/>
          </w:tcPr>
          <w:p w14:paraId="541DE5F8" w14:textId="77777777" w:rsidR="00596A40" w:rsidRPr="00C14E78" w:rsidRDefault="00596A40" w:rsidP="00596A40">
            <w:pPr>
              <w:spacing w:line="240" w:lineRule="auto"/>
              <w:jc w:val="center"/>
              <w:rPr>
                <w:rFonts w:cs="Times New Roman"/>
                <w:color w:val="000000"/>
              </w:rPr>
            </w:pPr>
            <w:r w:rsidRPr="00C14E78">
              <w:rPr>
                <w:rFonts w:cs="Times New Roman"/>
                <w:color w:val="000000"/>
              </w:rPr>
              <w:t>13</w:t>
            </w:r>
          </w:p>
        </w:tc>
        <w:tc>
          <w:tcPr>
            <w:tcW w:w="1379" w:type="dxa"/>
            <w:tcBorders>
              <w:top w:val="nil"/>
              <w:left w:val="nil"/>
              <w:bottom w:val="nil"/>
              <w:right w:val="nil"/>
            </w:tcBorders>
            <w:shd w:val="clear" w:color="auto" w:fill="auto"/>
            <w:noWrap/>
            <w:vAlign w:val="bottom"/>
            <w:hideMark/>
          </w:tcPr>
          <w:p w14:paraId="1A0C2DE4" w14:textId="77777777" w:rsidR="00596A40" w:rsidRPr="00C14E78" w:rsidRDefault="00596A40" w:rsidP="00596A40">
            <w:pPr>
              <w:spacing w:line="240" w:lineRule="auto"/>
              <w:jc w:val="center"/>
              <w:rPr>
                <w:rFonts w:cs="Times New Roman"/>
                <w:color w:val="000000"/>
              </w:rPr>
            </w:pPr>
            <w:r w:rsidRPr="00C14E78">
              <w:rPr>
                <w:rFonts w:cs="Times New Roman"/>
                <w:color w:val="000000"/>
              </w:rPr>
              <w:t>1</w:t>
            </w:r>
          </w:p>
        </w:tc>
        <w:tc>
          <w:tcPr>
            <w:tcW w:w="964" w:type="dxa"/>
            <w:tcBorders>
              <w:top w:val="nil"/>
              <w:left w:val="nil"/>
              <w:bottom w:val="nil"/>
              <w:right w:val="nil"/>
            </w:tcBorders>
            <w:shd w:val="clear" w:color="auto" w:fill="auto"/>
            <w:noWrap/>
            <w:vAlign w:val="bottom"/>
            <w:hideMark/>
          </w:tcPr>
          <w:p w14:paraId="604952A7" w14:textId="77777777" w:rsidR="00596A40" w:rsidRPr="00C14E78" w:rsidRDefault="00596A40" w:rsidP="00596A40">
            <w:pPr>
              <w:spacing w:line="240" w:lineRule="auto"/>
              <w:jc w:val="center"/>
              <w:rPr>
                <w:rFonts w:cs="Times New Roman"/>
                <w:color w:val="000000"/>
              </w:rPr>
            </w:pPr>
            <w:r w:rsidRPr="00C14E78">
              <w:rPr>
                <w:rFonts w:cs="Times New Roman"/>
                <w:color w:val="000000"/>
              </w:rPr>
              <w:t>71</w:t>
            </w:r>
          </w:p>
        </w:tc>
        <w:tc>
          <w:tcPr>
            <w:tcW w:w="1060" w:type="dxa"/>
            <w:tcBorders>
              <w:top w:val="nil"/>
              <w:left w:val="nil"/>
              <w:bottom w:val="nil"/>
              <w:right w:val="nil"/>
            </w:tcBorders>
            <w:shd w:val="clear" w:color="auto" w:fill="auto"/>
            <w:noWrap/>
            <w:vAlign w:val="bottom"/>
            <w:hideMark/>
          </w:tcPr>
          <w:p w14:paraId="77F4ADCD" w14:textId="77777777" w:rsidR="00596A40" w:rsidRPr="00C14E78" w:rsidRDefault="00596A40" w:rsidP="00596A40">
            <w:pPr>
              <w:spacing w:line="240" w:lineRule="auto"/>
              <w:jc w:val="center"/>
              <w:rPr>
                <w:rFonts w:cs="Times New Roman"/>
                <w:color w:val="000000"/>
              </w:rPr>
            </w:pPr>
            <w:r w:rsidRPr="00C14E78">
              <w:rPr>
                <w:rFonts w:cs="Times New Roman"/>
                <w:color w:val="000000"/>
              </w:rPr>
              <w:t>101</w:t>
            </w:r>
          </w:p>
        </w:tc>
        <w:tc>
          <w:tcPr>
            <w:tcW w:w="1283" w:type="dxa"/>
            <w:tcBorders>
              <w:top w:val="nil"/>
              <w:left w:val="nil"/>
              <w:bottom w:val="nil"/>
              <w:right w:val="nil"/>
            </w:tcBorders>
            <w:shd w:val="clear" w:color="auto" w:fill="auto"/>
            <w:noWrap/>
            <w:vAlign w:val="bottom"/>
            <w:hideMark/>
          </w:tcPr>
          <w:p w14:paraId="00BC8936" w14:textId="77777777" w:rsidR="00596A40" w:rsidRPr="00C14E78" w:rsidRDefault="00596A40" w:rsidP="00596A40">
            <w:pPr>
              <w:spacing w:line="240" w:lineRule="auto"/>
              <w:jc w:val="center"/>
              <w:rPr>
                <w:rFonts w:cs="Times New Roman"/>
                <w:color w:val="000000"/>
              </w:rPr>
            </w:pPr>
            <w:r w:rsidRPr="00C14E78">
              <w:rPr>
                <w:rFonts w:cs="Times New Roman"/>
                <w:color w:val="000000"/>
              </w:rPr>
              <w:t>86</w:t>
            </w:r>
          </w:p>
        </w:tc>
      </w:tr>
      <w:tr w:rsidR="00596A40" w:rsidRPr="00C14E78" w14:paraId="55893A04" w14:textId="77777777" w:rsidTr="00CB63DC">
        <w:trPr>
          <w:trHeight w:val="405"/>
        </w:trPr>
        <w:tc>
          <w:tcPr>
            <w:tcW w:w="1123" w:type="dxa"/>
            <w:tcBorders>
              <w:top w:val="nil"/>
              <w:left w:val="nil"/>
              <w:bottom w:val="nil"/>
              <w:right w:val="nil"/>
            </w:tcBorders>
            <w:shd w:val="clear" w:color="auto" w:fill="auto"/>
            <w:noWrap/>
            <w:vAlign w:val="bottom"/>
            <w:hideMark/>
          </w:tcPr>
          <w:p w14:paraId="0573A8CF" w14:textId="77777777" w:rsidR="00596A40" w:rsidRPr="00CB63DC" w:rsidRDefault="00596A40" w:rsidP="00596A40">
            <w:pPr>
              <w:spacing w:line="240" w:lineRule="auto"/>
              <w:rPr>
                <w:rFonts w:cs="Times New Roman"/>
                <w:b/>
                <w:color w:val="000000"/>
              </w:rPr>
            </w:pPr>
            <w:r w:rsidRPr="00CB63DC">
              <w:rPr>
                <w:rFonts w:cs="Times New Roman"/>
                <w:b/>
                <w:color w:val="000000"/>
              </w:rPr>
              <w:t>σ</w:t>
            </w:r>
            <w:r w:rsidRPr="00CB63DC">
              <w:rPr>
                <w:rFonts w:cs="Times New Roman"/>
                <w:b/>
                <w:color w:val="000000"/>
                <w:vertAlign w:val="superscript"/>
              </w:rPr>
              <w:t>2</w:t>
            </w:r>
            <w:r w:rsidRPr="00CB63DC">
              <w:rPr>
                <w:rFonts w:cs="Times New Roman"/>
                <w:b/>
                <w:color w:val="000000"/>
                <w:vertAlign w:val="subscript"/>
              </w:rPr>
              <w:t>D</w:t>
            </w:r>
          </w:p>
        </w:tc>
        <w:tc>
          <w:tcPr>
            <w:tcW w:w="1060" w:type="dxa"/>
            <w:tcBorders>
              <w:top w:val="nil"/>
              <w:left w:val="nil"/>
              <w:bottom w:val="nil"/>
              <w:right w:val="nil"/>
            </w:tcBorders>
            <w:shd w:val="clear" w:color="auto" w:fill="auto"/>
            <w:noWrap/>
            <w:vAlign w:val="bottom"/>
            <w:hideMark/>
          </w:tcPr>
          <w:p w14:paraId="411FB450" w14:textId="77777777" w:rsidR="00596A40" w:rsidRPr="00C14E78" w:rsidRDefault="00596A40" w:rsidP="00596A40">
            <w:pPr>
              <w:spacing w:line="240" w:lineRule="auto"/>
              <w:jc w:val="center"/>
              <w:rPr>
                <w:rFonts w:cs="Times New Roman"/>
                <w:color w:val="000000"/>
              </w:rPr>
            </w:pPr>
            <w:r w:rsidRPr="00C14E78">
              <w:rPr>
                <w:rFonts w:cs="Times New Roman"/>
                <w:color w:val="000000"/>
              </w:rPr>
              <w:t>4288</w:t>
            </w:r>
          </w:p>
        </w:tc>
        <w:tc>
          <w:tcPr>
            <w:tcW w:w="1060" w:type="dxa"/>
            <w:tcBorders>
              <w:top w:val="nil"/>
              <w:left w:val="nil"/>
              <w:bottom w:val="nil"/>
              <w:right w:val="nil"/>
            </w:tcBorders>
            <w:shd w:val="clear" w:color="auto" w:fill="auto"/>
            <w:noWrap/>
            <w:vAlign w:val="bottom"/>
            <w:hideMark/>
          </w:tcPr>
          <w:p w14:paraId="785533DB" w14:textId="77777777" w:rsidR="00596A40" w:rsidRPr="00C14E78" w:rsidRDefault="00596A40" w:rsidP="00596A40">
            <w:pPr>
              <w:spacing w:line="240" w:lineRule="auto"/>
              <w:jc w:val="center"/>
              <w:rPr>
                <w:rFonts w:cs="Times New Roman"/>
                <w:color w:val="000000"/>
              </w:rPr>
            </w:pPr>
            <w:r w:rsidRPr="00C14E78">
              <w:rPr>
                <w:rFonts w:cs="Times New Roman"/>
                <w:color w:val="000000"/>
              </w:rPr>
              <w:t>450868</w:t>
            </w:r>
          </w:p>
        </w:tc>
        <w:tc>
          <w:tcPr>
            <w:tcW w:w="1283" w:type="dxa"/>
            <w:tcBorders>
              <w:top w:val="nil"/>
              <w:left w:val="nil"/>
              <w:bottom w:val="nil"/>
              <w:right w:val="nil"/>
            </w:tcBorders>
            <w:shd w:val="clear" w:color="auto" w:fill="auto"/>
            <w:noWrap/>
            <w:vAlign w:val="bottom"/>
            <w:hideMark/>
          </w:tcPr>
          <w:p w14:paraId="77B34DBE" w14:textId="77777777" w:rsidR="00596A40" w:rsidRPr="00C14E78" w:rsidRDefault="00596A40" w:rsidP="00596A40">
            <w:pPr>
              <w:spacing w:line="240" w:lineRule="auto"/>
              <w:jc w:val="center"/>
              <w:rPr>
                <w:rFonts w:cs="Times New Roman"/>
                <w:color w:val="000000"/>
              </w:rPr>
            </w:pPr>
            <w:r w:rsidRPr="00C14E78">
              <w:rPr>
                <w:rFonts w:cs="Times New Roman"/>
                <w:color w:val="000000"/>
              </w:rPr>
              <w:t>44205</w:t>
            </w:r>
          </w:p>
        </w:tc>
        <w:tc>
          <w:tcPr>
            <w:tcW w:w="1060" w:type="dxa"/>
            <w:tcBorders>
              <w:top w:val="nil"/>
              <w:left w:val="nil"/>
              <w:bottom w:val="nil"/>
              <w:right w:val="nil"/>
            </w:tcBorders>
            <w:shd w:val="clear" w:color="auto" w:fill="auto"/>
            <w:noWrap/>
            <w:vAlign w:val="bottom"/>
            <w:hideMark/>
          </w:tcPr>
          <w:p w14:paraId="34BA7586" w14:textId="77777777" w:rsidR="00596A40" w:rsidRPr="00C14E78" w:rsidRDefault="00596A40" w:rsidP="00596A40">
            <w:pPr>
              <w:spacing w:line="240" w:lineRule="auto"/>
              <w:jc w:val="center"/>
              <w:rPr>
                <w:rFonts w:cs="Times New Roman"/>
                <w:color w:val="000000"/>
              </w:rPr>
            </w:pPr>
            <w:r w:rsidRPr="00C14E78">
              <w:rPr>
                <w:rFonts w:cs="Times New Roman"/>
                <w:color w:val="000000"/>
              </w:rPr>
              <w:t>21</w:t>
            </w:r>
          </w:p>
        </w:tc>
        <w:tc>
          <w:tcPr>
            <w:tcW w:w="1060" w:type="dxa"/>
            <w:tcBorders>
              <w:top w:val="nil"/>
              <w:left w:val="nil"/>
              <w:bottom w:val="nil"/>
              <w:right w:val="nil"/>
            </w:tcBorders>
            <w:shd w:val="clear" w:color="auto" w:fill="auto"/>
            <w:noWrap/>
            <w:vAlign w:val="bottom"/>
            <w:hideMark/>
          </w:tcPr>
          <w:p w14:paraId="703B6720" w14:textId="77777777" w:rsidR="00596A40" w:rsidRPr="00C14E78" w:rsidRDefault="00596A40" w:rsidP="00596A40">
            <w:pPr>
              <w:spacing w:line="240" w:lineRule="auto"/>
              <w:jc w:val="center"/>
              <w:rPr>
                <w:rFonts w:cs="Times New Roman"/>
                <w:color w:val="000000"/>
              </w:rPr>
            </w:pPr>
            <w:r w:rsidRPr="00C14E78">
              <w:rPr>
                <w:rFonts w:cs="Times New Roman"/>
                <w:color w:val="000000"/>
              </w:rPr>
              <w:t>7</w:t>
            </w:r>
          </w:p>
        </w:tc>
        <w:tc>
          <w:tcPr>
            <w:tcW w:w="1379" w:type="dxa"/>
            <w:tcBorders>
              <w:top w:val="nil"/>
              <w:left w:val="nil"/>
              <w:bottom w:val="nil"/>
              <w:right w:val="nil"/>
            </w:tcBorders>
            <w:shd w:val="clear" w:color="auto" w:fill="auto"/>
            <w:noWrap/>
            <w:vAlign w:val="bottom"/>
            <w:hideMark/>
          </w:tcPr>
          <w:p w14:paraId="31F02179" w14:textId="77777777" w:rsidR="00596A40" w:rsidRPr="00C14E78" w:rsidRDefault="00596A40" w:rsidP="00596A40">
            <w:pPr>
              <w:spacing w:line="240" w:lineRule="auto"/>
              <w:jc w:val="center"/>
              <w:rPr>
                <w:rFonts w:cs="Times New Roman"/>
                <w:color w:val="000000"/>
              </w:rPr>
            </w:pPr>
            <w:r w:rsidRPr="00C14E78">
              <w:rPr>
                <w:rFonts w:cs="Times New Roman"/>
                <w:color w:val="000000"/>
              </w:rPr>
              <w:t>4</w:t>
            </w:r>
          </w:p>
        </w:tc>
        <w:tc>
          <w:tcPr>
            <w:tcW w:w="964" w:type="dxa"/>
            <w:tcBorders>
              <w:top w:val="nil"/>
              <w:left w:val="nil"/>
              <w:bottom w:val="nil"/>
              <w:right w:val="nil"/>
            </w:tcBorders>
            <w:shd w:val="clear" w:color="auto" w:fill="auto"/>
            <w:noWrap/>
            <w:vAlign w:val="bottom"/>
            <w:hideMark/>
          </w:tcPr>
          <w:p w14:paraId="6440F9B1" w14:textId="77777777" w:rsidR="00596A40" w:rsidRPr="00C14E78" w:rsidRDefault="00596A40" w:rsidP="00596A40">
            <w:pPr>
              <w:spacing w:line="240" w:lineRule="auto"/>
              <w:jc w:val="center"/>
              <w:rPr>
                <w:rFonts w:cs="Times New Roman"/>
                <w:color w:val="000000"/>
              </w:rPr>
            </w:pPr>
            <w:r w:rsidRPr="00C14E78">
              <w:rPr>
                <w:rFonts w:cs="Times New Roman"/>
                <w:color w:val="000000"/>
              </w:rPr>
              <w:t>140</w:t>
            </w:r>
          </w:p>
        </w:tc>
        <w:tc>
          <w:tcPr>
            <w:tcW w:w="1060" w:type="dxa"/>
            <w:tcBorders>
              <w:top w:val="nil"/>
              <w:left w:val="nil"/>
              <w:bottom w:val="nil"/>
              <w:right w:val="nil"/>
            </w:tcBorders>
            <w:shd w:val="clear" w:color="auto" w:fill="auto"/>
            <w:noWrap/>
            <w:vAlign w:val="bottom"/>
            <w:hideMark/>
          </w:tcPr>
          <w:p w14:paraId="2BB7FA3B" w14:textId="77777777" w:rsidR="00596A40" w:rsidRPr="00C14E78" w:rsidRDefault="00596A40" w:rsidP="00596A40">
            <w:pPr>
              <w:spacing w:line="240" w:lineRule="auto"/>
              <w:jc w:val="center"/>
              <w:rPr>
                <w:rFonts w:cs="Times New Roman"/>
                <w:color w:val="000000"/>
              </w:rPr>
            </w:pPr>
            <w:r w:rsidRPr="00C14E78">
              <w:rPr>
                <w:rFonts w:cs="Times New Roman"/>
                <w:color w:val="000000"/>
              </w:rPr>
              <w:t>124</w:t>
            </w:r>
          </w:p>
        </w:tc>
        <w:tc>
          <w:tcPr>
            <w:tcW w:w="1283" w:type="dxa"/>
            <w:tcBorders>
              <w:top w:val="nil"/>
              <w:left w:val="nil"/>
              <w:bottom w:val="nil"/>
              <w:right w:val="nil"/>
            </w:tcBorders>
            <w:shd w:val="clear" w:color="auto" w:fill="auto"/>
            <w:noWrap/>
            <w:vAlign w:val="bottom"/>
            <w:hideMark/>
          </w:tcPr>
          <w:p w14:paraId="4C0777BC" w14:textId="77777777" w:rsidR="00596A40" w:rsidRPr="00C14E78" w:rsidRDefault="00596A40" w:rsidP="00596A40">
            <w:pPr>
              <w:spacing w:line="240" w:lineRule="auto"/>
              <w:jc w:val="center"/>
              <w:rPr>
                <w:rFonts w:cs="Times New Roman"/>
                <w:color w:val="000000"/>
              </w:rPr>
            </w:pPr>
            <w:r w:rsidRPr="00C14E78">
              <w:rPr>
                <w:rFonts w:cs="Times New Roman"/>
                <w:color w:val="000000"/>
              </w:rPr>
              <w:t>119</w:t>
            </w:r>
          </w:p>
        </w:tc>
      </w:tr>
      <w:tr w:rsidR="00596A40" w:rsidRPr="00C14E78" w14:paraId="3E31B945" w14:textId="77777777" w:rsidTr="00CB63DC">
        <w:trPr>
          <w:trHeight w:val="405"/>
        </w:trPr>
        <w:tc>
          <w:tcPr>
            <w:tcW w:w="1123" w:type="dxa"/>
            <w:tcBorders>
              <w:top w:val="nil"/>
              <w:left w:val="nil"/>
              <w:bottom w:val="single" w:sz="4" w:space="0" w:color="auto"/>
              <w:right w:val="nil"/>
            </w:tcBorders>
            <w:shd w:val="clear" w:color="auto" w:fill="auto"/>
            <w:noWrap/>
            <w:vAlign w:val="bottom"/>
            <w:hideMark/>
          </w:tcPr>
          <w:p w14:paraId="0C8399AD" w14:textId="77777777" w:rsidR="00596A40" w:rsidRPr="00CB63DC" w:rsidRDefault="00596A40" w:rsidP="00596A40">
            <w:pPr>
              <w:spacing w:line="240" w:lineRule="auto"/>
              <w:rPr>
                <w:rFonts w:cs="Times New Roman"/>
                <w:b/>
                <w:color w:val="000000"/>
              </w:rPr>
            </w:pPr>
            <w:r w:rsidRPr="00CB63DC">
              <w:rPr>
                <w:rFonts w:cs="Times New Roman"/>
                <w:b/>
                <w:color w:val="000000"/>
              </w:rPr>
              <w:t>σ</w:t>
            </w:r>
            <w:r w:rsidRPr="00CB63DC">
              <w:rPr>
                <w:rFonts w:cs="Times New Roman"/>
                <w:b/>
                <w:color w:val="000000"/>
                <w:vertAlign w:val="superscript"/>
              </w:rPr>
              <w:t>2</w:t>
            </w:r>
            <w:r w:rsidRPr="00CB63DC">
              <w:rPr>
                <w:rFonts w:cs="Times New Roman"/>
                <w:b/>
                <w:color w:val="000000"/>
                <w:vertAlign w:val="subscript"/>
              </w:rPr>
              <w:t>P</w:t>
            </w:r>
          </w:p>
        </w:tc>
        <w:tc>
          <w:tcPr>
            <w:tcW w:w="1060" w:type="dxa"/>
            <w:tcBorders>
              <w:top w:val="nil"/>
              <w:left w:val="nil"/>
              <w:bottom w:val="single" w:sz="4" w:space="0" w:color="auto"/>
              <w:right w:val="nil"/>
            </w:tcBorders>
            <w:shd w:val="clear" w:color="auto" w:fill="auto"/>
            <w:noWrap/>
            <w:vAlign w:val="bottom"/>
            <w:hideMark/>
          </w:tcPr>
          <w:p w14:paraId="2FAB3CBE" w14:textId="77777777" w:rsidR="00596A40" w:rsidRPr="00C14E78" w:rsidRDefault="00596A40" w:rsidP="00596A40">
            <w:pPr>
              <w:spacing w:line="240" w:lineRule="auto"/>
              <w:jc w:val="center"/>
              <w:rPr>
                <w:rFonts w:cs="Times New Roman"/>
                <w:color w:val="000000"/>
              </w:rPr>
            </w:pPr>
            <w:r w:rsidRPr="00C14E78">
              <w:rPr>
                <w:rFonts w:cs="Times New Roman"/>
                <w:color w:val="000000"/>
              </w:rPr>
              <w:t>14645</w:t>
            </w:r>
          </w:p>
        </w:tc>
        <w:tc>
          <w:tcPr>
            <w:tcW w:w="1060" w:type="dxa"/>
            <w:tcBorders>
              <w:top w:val="nil"/>
              <w:left w:val="nil"/>
              <w:bottom w:val="single" w:sz="4" w:space="0" w:color="auto"/>
              <w:right w:val="nil"/>
            </w:tcBorders>
            <w:shd w:val="clear" w:color="auto" w:fill="auto"/>
            <w:noWrap/>
            <w:vAlign w:val="bottom"/>
            <w:hideMark/>
          </w:tcPr>
          <w:p w14:paraId="57461605" w14:textId="77777777" w:rsidR="00596A40" w:rsidRPr="00C14E78" w:rsidRDefault="00596A40" w:rsidP="00596A40">
            <w:pPr>
              <w:spacing w:line="240" w:lineRule="auto"/>
              <w:jc w:val="center"/>
              <w:rPr>
                <w:rFonts w:cs="Times New Roman"/>
                <w:color w:val="000000"/>
              </w:rPr>
            </w:pPr>
            <w:r w:rsidRPr="00C14E78">
              <w:rPr>
                <w:rFonts w:cs="Times New Roman"/>
                <w:color w:val="000000"/>
              </w:rPr>
              <w:t>1287719</w:t>
            </w:r>
          </w:p>
        </w:tc>
        <w:tc>
          <w:tcPr>
            <w:tcW w:w="1283" w:type="dxa"/>
            <w:tcBorders>
              <w:top w:val="nil"/>
              <w:left w:val="nil"/>
              <w:bottom w:val="single" w:sz="4" w:space="0" w:color="auto"/>
              <w:right w:val="nil"/>
            </w:tcBorders>
            <w:shd w:val="clear" w:color="auto" w:fill="auto"/>
            <w:noWrap/>
            <w:vAlign w:val="bottom"/>
            <w:hideMark/>
          </w:tcPr>
          <w:p w14:paraId="36C7A538" w14:textId="77777777" w:rsidR="00596A40" w:rsidRPr="00C14E78" w:rsidRDefault="00596A40" w:rsidP="00596A40">
            <w:pPr>
              <w:spacing w:line="240" w:lineRule="auto"/>
              <w:jc w:val="center"/>
              <w:rPr>
                <w:rFonts w:cs="Times New Roman"/>
                <w:color w:val="000000"/>
              </w:rPr>
            </w:pPr>
            <w:r w:rsidRPr="00C14E78">
              <w:rPr>
                <w:rFonts w:cs="Times New Roman"/>
                <w:color w:val="000000"/>
              </w:rPr>
              <w:t>380152</w:t>
            </w:r>
          </w:p>
        </w:tc>
        <w:tc>
          <w:tcPr>
            <w:tcW w:w="1060" w:type="dxa"/>
            <w:tcBorders>
              <w:top w:val="nil"/>
              <w:left w:val="nil"/>
              <w:bottom w:val="single" w:sz="4" w:space="0" w:color="auto"/>
              <w:right w:val="nil"/>
            </w:tcBorders>
            <w:shd w:val="clear" w:color="auto" w:fill="auto"/>
            <w:noWrap/>
            <w:vAlign w:val="bottom"/>
            <w:hideMark/>
          </w:tcPr>
          <w:p w14:paraId="241A224C" w14:textId="77777777" w:rsidR="00596A40" w:rsidRPr="00C14E78" w:rsidRDefault="00596A40" w:rsidP="00596A40">
            <w:pPr>
              <w:spacing w:line="240" w:lineRule="auto"/>
              <w:jc w:val="center"/>
              <w:rPr>
                <w:rFonts w:cs="Times New Roman"/>
                <w:color w:val="000000"/>
              </w:rPr>
            </w:pPr>
            <w:r w:rsidRPr="00C14E78">
              <w:rPr>
                <w:rFonts w:cs="Times New Roman"/>
                <w:color w:val="000000"/>
              </w:rPr>
              <w:t>77</w:t>
            </w:r>
          </w:p>
        </w:tc>
        <w:tc>
          <w:tcPr>
            <w:tcW w:w="1060" w:type="dxa"/>
            <w:tcBorders>
              <w:top w:val="nil"/>
              <w:left w:val="nil"/>
              <w:bottom w:val="single" w:sz="4" w:space="0" w:color="auto"/>
              <w:right w:val="nil"/>
            </w:tcBorders>
            <w:shd w:val="clear" w:color="auto" w:fill="auto"/>
            <w:noWrap/>
            <w:vAlign w:val="bottom"/>
            <w:hideMark/>
          </w:tcPr>
          <w:p w14:paraId="19A285FE" w14:textId="77777777" w:rsidR="00596A40" w:rsidRPr="00C14E78" w:rsidRDefault="00596A40" w:rsidP="00596A40">
            <w:pPr>
              <w:spacing w:line="240" w:lineRule="auto"/>
              <w:jc w:val="center"/>
              <w:rPr>
                <w:rFonts w:cs="Times New Roman"/>
                <w:color w:val="000000"/>
              </w:rPr>
            </w:pPr>
            <w:r w:rsidRPr="00C14E78">
              <w:rPr>
                <w:rFonts w:cs="Times New Roman"/>
                <w:color w:val="000000"/>
              </w:rPr>
              <w:t>37</w:t>
            </w:r>
          </w:p>
        </w:tc>
        <w:tc>
          <w:tcPr>
            <w:tcW w:w="1379" w:type="dxa"/>
            <w:tcBorders>
              <w:top w:val="nil"/>
              <w:left w:val="nil"/>
              <w:bottom w:val="single" w:sz="4" w:space="0" w:color="auto"/>
              <w:right w:val="nil"/>
            </w:tcBorders>
            <w:shd w:val="clear" w:color="auto" w:fill="auto"/>
            <w:noWrap/>
            <w:vAlign w:val="bottom"/>
            <w:hideMark/>
          </w:tcPr>
          <w:p w14:paraId="0AFB2696" w14:textId="77777777" w:rsidR="00596A40" w:rsidRPr="00C14E78" w:rsidRDefault="00596A40" w:rsidP="00596A40">
            <w:pPr>
              <w:spacing w:line="240" w:lineRule="auto"/>
              <w:jc w:val="center"/>
              <w:rPr>
                <w:rFonts w:cs="Times New Roman"/>
                <w:color w:val="000000"/>
              </w:rPr>
            </w:pPr>
            <w:r w:rsidRPr="00C14E78">
              <w:rPr>
                <w:rFonts w:cs="Times New Roman"/>
                <w:color w:val="000000"/>
              </w:rPr>
              <w:t>35</w:t>
            </w:r>
          </w:p>
        </w:tc>
        <w:tc>
          <w:tcPr>
            <w:tcW w:w="964" w:type="dxa"/>
            <w:tcBorders>
              <w:top w:val="nil"/>
              <w:left w:val="nil"/>
              <w:bottom w:val="single" w:sz="4" w:space="0" w:color="auto"/>
              <w:right w:val="nil"/>
            </w:tcBorders>
            <w:shd w:val="clear" w:color="auto" w:fill="auto"/>
            <w:noWrap/>
            <w:vAlign w:val="bottom"/>
            <w:hideMark/>
          </w:tcPr>
          <w:p w14:paraId="6003FCA4" w14:textId="77777777" w:rsidR="00596A40" w:rsidRPr="00C14E78" w:rsidRDefault="00596A40" w:rsidP="00596A40">
            <w:pPr>
              <w:spacing w:line="240" w:lineRule="auto"/>
              <w:jc w:val="center"/>
              <w:rPr>
                <w:rFonts w:cs="Times New Roman"/>
                <w:color w:val="000000"/>
              </w:rPr>
            </w:pPr>
            <w:r w:rsidRPr="00C14E78">
              <w:rPr>
                <w:rFonts w:cs="Times New Roman"/>
                <w:color w:val="000000"/>
              </w:rPr>
              <w:t>467</w:t>
            </w:r>
          </w:p>
        </w:tc>
        <w:tc>
          <w:tcPr>
            <w:tcW w:w="1060" w:type="dxa"/>
            <w:tcBorders>
              <w:top w:val="nil"/>
              <w:left w:val="nil"/>
              <w:bottom w:val="single" w:sz="4" w:space="0" w:color="auto"/>
              <w:right w:val="nil"/>
            </w:tcBorders>
            <w:shd w:val="clear" w:color="auto" w:fill="auto"/>
            <w:noWrap/>
            <w:vAlign w:val="bottom"/>
            <w:hideMark/>
          </w:tcPr>
          <w:p w14:paraId="1400099B" w14:textId="77777777" w:rsidR="00596A40" w:rsidRPr="00C14E78" w:rsidRDefault="00596A40" w:rsidP="00596A40">
            <w:pPr>
              <w:spacing w:line="240" w:lineRule="auto"/>
              <w:jc w:val="center"/>
              <w:rPr>
                <w:rFonts w:cs="Times New Roman"/>
                <w:color w:val="000000"/>
              </w:rPr>
            </w:pPr>
            <w:r w:rsidRPr="00C14E78">
              <w:rPr>
                <w:rFonts w:cs="Times New Roman"/>
                <w:color w:val="000000"/>
              </w:rPr>
              <w:t>393</w:t>
            </w:r>
          </w:p>
        </w:tc>
        <w:tc>
          <w:tcPr>
            <w:tcW w:w="1283" w:type="dxa"/>
            <w:tcBorders>
              <w:top w:val="nil"/>
              <w:left w:val="nil"/>
              <w:bottom w:val="single" w:sz="4" w:space="0" w:color="auto"/>
              <w:right w:val="nil"/>
            </w:tcBorders>
            <w:shd w:val="clear" w:color="auto" w:fill="auto"/>
            <w:noWrap/>
            <w:vAlign w:val="bottom"/>
            <w:hideMark/>
          </w:tcPr>
          <w:p w14:paraId="607D339B" w14:textId="77777777" w:rsidR="00596A40" w:rsidRPr="00C14E78" w:rsidRDefault="00596A40" w:rsidP="00596A40">
            <w:pPr>
              <w:spacing w:line="240" w:lineRule="auto"/>
              <w:jc w:val="center"/>
              <w:rPr>
                <w:rFonts w:cs="Times New Roman"/>
                <w:color w:val="000000"/>
              </w:rPr>
            </w:pPr>
            <w:r w:rsidRPr="00C14E78">
              <w:rPr>
                <w:rFonts w:cs="Times New Roman"/>
                <w:color w:val="000000"/>
              </w:rPr>
              <w:t>404</w:t>
            </w:r>
          </w:p>
        </w:tc>
      </w:tr>
      <w:tr w:rsidR="00596A40" w:rsidRPr="00C14E78" w14:paraId="7FF13D3A" w14:textId="77777777" w:rsidTr="00CB63DC">
        <w:trPr>
          <w:trHeight w:val="405"/>
        </w:trPr>
        <w:tc>
          <w:tcPr>
            <w:tcW w:w="1123" w:type="dxa"/>
            <w:tcBorders>
              <w:top w:val="nil"/>
              <w:left w:val="nil"/>
              <w:bottom w:val="nil"/>
              <w:right w:val="nil"/>
            </w:tcBorders>
            <w:shd w:val="clear" w:color="auto" w:fill="auto"/>
            <w:noWrap/>
            <w:vAlign w:val="bottom"/>
            <w:hideMark/>
          </w:tcPr>
          <w:p w14:paraId="149D5E7E" w14:textId="77777777" w:rsidR="00596A40" w:rsidRPr="00CB63DC" w:rsidRDefault="00596A40" w:rsidP="00596A40">
            <w:pPr>
              <w:spacing w:line="240" w:lineRule="auto"/>
              <w:rPr>
                <w:rFonts w:cs="Times New Roman"/>
                <w:b/>
                <w:color w:val="000000"/>
              </w:rPr>
            </w:pPr>
            <w:r w:rsidRPr="00CB63DC">
              <w:rPr>
                <w:rFonts w:cs="Times New Roman"/>
                <w:b/>
                <w:color w:val="000000"/>
              </w:rPr>
              <w:t>h</w:t>
            </w:r>
            <w:r w:rsidRPr="00CB63DC">
              <w:rPr>
                <w:rFonts w:cs="Times New Roman"/>
                <w:b/>
                <w:color w:val="000000"/>
                <w:vertAlign w:val="superscript"/>
              </w:rPr>
              <w:t>2</w:t>
            </w:r>
            <w:r w:rsidRPr="00CB63DC">
              <w:rPr>
                <w:rFonts w:cs="Times New Roman"/>
                <w:b/>
                <w:color w:val="000000"/>
                <w:vertAlign w:val="subscript"/>
              </w:rPr>
              <w:t>i</w:t>
            </w:r>
          </w:p>
        </w:tc>
        <w:tc>
          <w:tcPr>
            <w:tcW w:w="1060" w:type="dxa"/>
            <w:tcBorders>
              <w:top w:val="nil"/>
              <w:left w:val="nil"/>
              <w:bottom w:val="nil"/>
              <w:right w:val="nil"/>
            </w:tcBorders>
            <w:shd w:val="clear" w:color="auto" w:fill="auto"/>
            <w:noWrap/>
            <w:vAlign w:val="bottom"/>
            <w:hideMark/>
          </w:tcPr>
          <w:p w14:paraId="743EB3C1" w14:textId="77777777" w:rsidR="00596A40" w:rsidRPr="00C14E78" w:rsidRDefault="00596A40" w:rsidP="00596A40">
            <w:pPr>
              <w:spacing w:line="240" w:lineRule="auto"/>
              <w:jc w:val="center"/>
              <w:rPr>
                <w:rFonts w:cs="Times New Roman"/>
                <w:color w:val="000000"/>
              </w:rPr>
            </w:pPr>
            <w:r w:rsidRPr="00C14E78">
              <w:rPr>
                <w:rFonts w:cs="Times New Roman"/>
                <w:color w:val="000000"/>
              </w:rPr>
              <w:t>0.13</w:t>
            </w:r>
          </w:p>
        </w:tc>
        <w:tc>
          <w:tcPr>
            <w:tcW w:w="1060" w:type="dxa"/>
            <w:tcBorders>
              <w:top w:val="nil"/>
              <w:left w:val="nil"/>
              <w:bottom w:val="nil"/>
              <w:right w:val="nil"/>
            </w:tcBorders>
            <w:shd w:val="clear" w:color="auto" w:fill="auto"/>
            <w:noWrap/>
            <w:vAlign w:val="bottom"/>
            <w:hideMark/>
          </w:tcPr>
          <w:p w14:paraId="2482E4DB" w14:textId="77777777" w:rsidR="00596A40" w:rsidRPr="00C14E78" w:rsidRDefault="00596A40" w:rsidP="00596A40">
            <w:pPr>
              <w:spacing w:line="240" w:lineRule="auto"/>
              <w:jc w:val="center"/>
              <w:rPr>
                <w:rFonts w:cs="Times New Roman"/>
                <w:color w:val="000000"/>
              </w:rPr>
            </w:pPr>
            <w:r w:rsidRPr="00C14E78">
              <w:rPr>
                <w:rFonts w:cs="Times New Roman"/>
                <w:color w:val="000000"/>
              </w:rPr>
              <w:t>0.15</w:t>
            </w:r>
          </w:p>
        </w:tc>
        <w:tc>
          <w:tcPr>
            <w:tcW w:w="1283" w:type="dxa"/>
            <w:tcBorders>
              <w:top w:val="nil"/>
              <w:left w:val="nil"/>
              <w:bottom w:val="nil"/>
              <w:right w:val="nil"/>
            </w:tcBorders>
            <w:shd w:val="clear" w:color="auto" w:fill="auto"/>
            <w:noWrap/>
            <w:vAlign w:val="bottom"/>
            <w:hideMark/>
          </w:tcPr>
          <w:p w14:paraId="4C927535" w14:textId="77777777" w:rsidR="00596A40" w:rsidRPr="00C14E78" w:rsidRDefault="00596A40" w:rsidP="00596A40">
            <w:pPr>
              <w:spacing w:line="240" w:lineRule="auto"/>
              <w:jc w:val="center"/>
              <w:rPr>
                <w:rFonts w:cs="Times New Roman"/>
                <w:color w:val="000000"/>
              </w:rPr>
            </w:pPr>
            <w:r w:rsidRPr="00C14E78">
              <w:rPr>
                <w:rFonts w:cs="Times New Roman"/>
                <w:color w:val="000000"/>
              </w:rPr>
              <w:t>0.07</w:t>
            </w:r>
          </w:p>
        </w:tc>
        <w:tc>
          <w:tcPr>
            <w:tcW w:w="1060" w:type="dxa"/>
            <w:tcBorders>
              <w:top w:val="nil"/>
              <w:left w:val="nil"/>
              <w:bottom w:val="nil"/>
              <w:right w:val="nil"/>
            </w:tcBorders>
            <w:shd w:val="clear" w:color="auto" w:fill="auto"/>
            <w:noWrap/>
            <w:vAlign w:val="bottom"/>
            <w:hideMark/>
          </w:tcPr>
          <w:p w14:paraId="29A74F51" w14:textId="77777777" w:rsidR="00596A40" w:rsidRPr="00C14E78" w:rsidRDefault="00596A40" w:rsidP="00596A40">
            <w:pPr>
              <w:spacing w:line="240" w:lineRule="auto"/>
              <w:jc w:val="center"/>
              <w:rPr>
                <w:rFonts w:cs="Times New Roman"/>
                <w:color w:val="000000"/>
              </w:rPr>
            </w:pPr>
            <w:r w:rsidRPr="00C14E78">
              <w:rPr>
                <w:rFonts w:cs="Times New Roman"/>
                <w:color w:val="000000"/>
              </w:rPr>
              <w:t>0.18</w:t>
            </w:r>
          </w:p>
        </w:tc>
        <w:tc>
          <w:tcPr>
            <w:tcW w:w="1060" w:type="dxa"/>
            <w:tcBorders>
              <w:top w:val="nil"/>
              <w:left w:val="nil"/>
              <w:bottom w:val="nil"/>
              <w:right w:val="nil"/>
            </w:tcBorders>
            <w:shd w:val="clear" w:color="auto" w:fill="auto"/>
            <w:noWrap/>
            <w:vAlign w:val="bottom"/>
            <w:hideMark/>
          </w:tcPr>
          <w:p w14:paraId="129AA0D5" w14:textId="77777777" w:rsidR="00596A40" w:rsidRPr="00C14E78" w:rsidRDefault="00596A40" w:rsidP="00596A40">
            <w:pPr>
              <w:spacing w:line="240" w:lineRule="auto"/>
              <w:jc w:val="center"/>
              <w:rPr>
                <w:rFonts w:cs="Times New Roman"/>
                <w:color w:val="000000"/>
              </w:rPr>
            </w:pPr>
            <w:r w:rsidRPr="00C14E78">
              <w:rPr>
                <w:rFonts w:cs="Times New Roman"/>
                <w:color w:val="000000"/>
              </w:rPr>
              <w:t>0.34</w:t>
            </w:r>
          </w:p>
        </w:tc>
        <w:tc>
          <w:tcPr>
            <w:tcW w:w="1379" w:type="dxa"/>
            <w:tcBorders>
              <w:top w:val="nil"/>
              <w:left w:val="nil"/>
              <w:bottom w:val="nil"/>
              <w:right w:val="nil"/>
            </w:tcBorders>
            <w:shd w:val="clear" w:color="auto" w:fill="auto"/>
            <w:noWrap/>
            <w:vAlign w:val="bottom"/>
            <w:hideMark/>
          </w:tcPr>
          <w:p w14:paraId="5118CD04" w14:textId="77777777" w:rsidR="00596A40" w:rsidRPr="00C14E78" w:rsidRDefault="00596A40" w:rsidP="00596A40">
            <w:pPr>
              <w:spacing w:line="240" w:lineRule="auto"/>
              <w:jc w:val="center"/>
              <w:rPr>
                <w:rFonts w:cs="Times New Roman"/>
                <w:color w:val="000000"/>
              </w:rPr>
            </w:pPr>
            <w:r w:rsidRPr="00C14E78">
              <w:rPr>
                <w:rFonts w:cs="Times New Roman"/>
                <w:color w:val="000000"/>
              </w:rPr>
              <w:t>0.04</w:t>
            </w:r>
          </w:p>
        </w:tc>
        <w:tc>
          <w:tcPr>
            <w:tcW w:w="964" w:type="dxa"/>
            <w:tcBorders>
              <w:top w:val="nil"/>
              <w:left w:val="nil"/>
              <w:bottom w:val="nil"/>
              <w:right w:val="nil"/>
            </w:tcBorders>
            <w:shd w:val="clear" w:color="auto" w:fill="auto"/>
            <w:noWrap/>
            <w:vAlign w:val="bottom"/>
            <w:hideMark/>
          </w:tcPr>
          <w:p w14:paraId="3F7DF0CA" w14:textId="77777777" w:rsidR="00596A40" w:rsidRPr="00C14E78" w:rsidRDefault="00596A40" w:rsidP="00596A40">
            <w:pPr>
              <w:spacing w:line="240" w:lineRule="auto"/>
              <w:jc w:val="center"/>
              <w:rPr>
                <w:rFonts w:cs="Times New Roman"/>
                <w:color w:val="000000"/>
              </w:rPr>
            </w:pPr>
            <w:r w:rsidRPr="00C14E78">
              <w:rPr>
                <w:rFonts w:cs="Times New Roman"/>
                <w:color w:val="000000"/>
              </w:rPr>
              <w:t>0.15</w:t>
            </w:r>
          </w:p>
        </w:tc>
        <w:tc>
          <w:tcPr>
            <w:tcW w:w="1060" w:type="dxa"/>
            <w:tcBorders>
              <w:top w:val="nil"/>
              <w:left w:val="nil"/>
              <w:bottom w:val="nil"/>
              <w:right w:val="nil"/>
            </w:tcBorders>
            <w:shd w:val="clear" w:color="auto" w:fill="auto"/>
            <w:noWrap/>
            <w:vAlign w:val="bottom"/>
            <w:hideMark/>
          </w:tcPr>
          <w:p w14:paraId="5D8B4328" w14:textId="77777777" w:rsidR="00596A40" w:rsidRPr="00C14E78" w:rsidRDefault="00596A40" w:rsidP="00596A40">
            <w:pPr>
              <w:spacing w:line="240" w:lineRule="auto"/>
              <w:jc w:val="center"/>
              <w:rPr>
                <w:rFonts w:cs="Times New Roman"/>
                <w:color w:val="000000"/>
              </w:rPr>
            </w:pPr>
            <w:r w:rsidRPr="00C14E78">
              <w:rPr>
                <w:rFonts w:cs="Times New Roman"/>
                <w:color w:val="000000"/>
              </w:rPr>
              <w:t>0.26</w:t>
            </w:r>
          </w:p>
        </w:tc>
        <w:tc>
          <w:tcPr>
            <w:tcW w:w="1283" w:type="dxa"/>
            <w:tcBorders>
              <w:top w:val="nil"/>
              <w:left w:val="nil"/>
              <w:bottom w:val="nil"/>
              <w:right w:val="nil"/>
            </w:tcBorders>
            <w:shd w:val="clear" w:color="auto" w:fill="auto"/>
            <w:noWrap/>
            <w:vAlign w:val="bottom"/>
            <w:hideMark/>
          </w:tcPr>
          <w:p w14:paraId="429C4433" w14:textId="77777777" w:rsidR="00596A40" w:rsidRPr="00C14E78" w:rsidRDefault="00596A40" w:rsidP="00596A40">
            <w:pPr>
              <w:spacing w:line="240" w:lineRule="auto"/>
              <w:jc w:val="center"/>
              <w:rPr>
                <w:rFonts w:cs="Times New Roman"/>
                <w:color w:val="000000"/>
              </w:rPr>
            </w:pPr>
            <w:r w:rsidRPr="00C14E78">
              <w:rPr>
                <w:rFonts w:cs="Times New Roman"/>
                <w:color w:val="000000"/>
              </w:rPr>
              <w:t>0.21</w:t>
            </w:r>
          </w:p>
        </w:tc>
      </w:tr>
      <w:tr w:rsidR="00596A40" w:rsidRPr="00C14E78" w14:paraId="0E3DF0D3" w14:textId="77777777" w:rsidTr="00CB63DC">
        <w:trPr>
          <w:trHeight w:val="420"/>
        </w:trPr>
        <w:tc>
          <w:tcPr>
            <w:tcW w:w="1123" w:type="dxa"/>
            <w:tcBorders>
              <w:top w:val="nil"/>
              <w:left w:val="nil"/>
              <w:bottom w:val="single" w:sz="8" w:space="0" w:color="auto"/>
              <w:right w:val="nil"/>
            </w:tcBorders>
            <w:shd w:val="clear" w:color="auto" w:fill="auto"/>
            <w:noWrap/>
            <w:vAlign w:val="bottom"/>
            <w:hideMark/>
          </w:tcPr>
          <w:p w14:paraId="64C6DF11" w14:textId="77777777" w:rsidR="00596A40" w:rsidRPr="00CB63DC" w:rsidRDefault="00596A40" w:rsidP="00596A40">
            <w:pPr>
              <w:spacing w:line="240" w:lineRule="auto"/>
              <w:rPr>
                <w:rFonts w:cs="Times New Roman"/>
                <w:b/>
                <w:color w:val="000000"/>
              </w:rPr>
            </w:pPr>
            <w:r w:rsidRPr="00CB63DC">
              <w:rPr>
                <w:rFonts w:cs="Times New Roman"/>
                <w:b/>
                <w:color w:val="000000"/>
              </w:rPr>
              <w:t>H</w:t>
            </w:r>
            <w:r w:rsidRPr="00CB63DC">
              <w:rPr>
                <w:rFonts w:cs="Times New Roman"/>
                <w:b/>
                <w:color w:val="000000"/>
                <w:vertAlign w:val="superscript"/>
              </w:rPr>
              <w:t>2</w:t>
            </w:r>
            <w:r w:rsidRPr="00CB63DC">
              <w:rPr>
                <w:rFonts w:cs="Times New Roman"/>
                <w:b/>
                <w:color w:val="000000"/>
                <w:vertAlign w:val="subscript"/>
              </w:rPr>
              <w:t>i</w:t>
            </w:r>
          </w:p>
        </w:tc>
        <w:tc>
          <w:tcPr>
            <w:tcW w:w="1060" w:type="dxa"/>
            <w:tcBorders>
              <w:top w:val="nil"/>
              <w:left w:val="nil"/>
              <w:bottom w:val="single" w:sz="8" w:space="0" w:color="auto"/>
              <w:right w:val="nil"/>
            </w:tcBorders>
            <w:shd w:val="clear" w:color="auto" w:fill="auto"/>
            <w:noWrap/>
            <w:vAlign w:val="bottom"/>
            <w:hideMark/>
          </w:tcPr>
          <w:p w14:paraId="3C6878E6" w14:textId="77777777" w:rsidR="00596A40" w:rsidRPr="00C14E78" w:rsidRDefault="00596A40" w:rsidP="00596A40">
            <w:pPr>
              <w:spacing w:line="240" w:lineRule="auto"/>
              <w:jc w:val="center"/>
              <w:rPr>
                <w:rFonts w:cs="Times New Roman"/>
                <w:color w:val="000000"/>
              </w:rPr>
            </w:pPr>
            <w:r w:rsidRPr="00C14E78">
              <w:rPr>
                <w:rFonts w:cs="Times New Roman"/>
                <w:color w:val="000000"/>
              </w:rPr>
              <w:t>0.42</w:t>
            </w:r>
          </w:p>
        </w:tc>
        <w:tc>
          <w:tcPr>
            <w:tcW w:w="1060" w:type="dxa"/>
            <w:tcBorders>
              <w:top w:val="nil"/>
              <w:left w:val="nil"/>
              <w:bottom w:val="single" w:sz="8" w:space="0" w:color="auto"/>
              <w:right w:val="nil"/>
            </w:tcBorders>
            <w:shd w:val="clear" w:color="auto" w:fill="auto"/>
            <w:noWrap/>
            <w:vAlign w:val="bottom"/>
            <w:hideMark/>
          </w:tcPr>
          <w:p w14:paraId="0EF2F4B6" w14:textId="77777777" w:rsidR="00596A40" w:rsidRPr="00C14E78" w:rsidRDefault="00596A40" w:rsidP="00596A40">
            <w:pPr>
              <w:spacing w:line="240" w:lineRule="auto"/>
              <w:jc w:val="center"/>
              <w:rPr>
                <w:rFonts w:cs="Times New Roman"/>
                <w:color w:val="000000"/>
              </w:rPr>
            </w:pPr>
            <w:r w:rsidRPr="00C14E78">
              <w:rPr>
                <w:rFonts w:cs="Times New Roman"/>
                <w:color w:val="000000"/>
              </w:rPr>
              <w:t>0.50</w:t>
            </w:r>
          </w:p>
        </w:tc>
        <w:tc>
          <w:tcPr>
            <w:tcW w:w="1283" w:type="dxa"/>
            <w:tcBorders>
              <w:top w:val="nil"/>
              <w:left w:val="nil"/>
              <w:bottom w:val="single" w:sz="8" w:space="0" w:color="auto"/>
              <w:right w:val="nil"/>
            </w:tcBorders>
            <w:shd w:val="clear" w:color="auto" w:fill="auto"/>
            <w:noWrap/>
            <w:vAlign w:val="bottom"/>
            <w:hideMark/>
          </w:tcPr>
          <w:p w14:paraId="19A2A5D6" w14:textId="77777777" w:rsidR="00596A40" w:rsidRPr="00C14E78" w:rsidRDefault="00596A40" w:rsidP="00596A40">
            <w:pPr>
              <w:spacing w:line="240" w:lineRule="auto"/>
              <w:jc w:val="center"/>
              <w:rPr>
                <w:rFonts w:cs="Times New Roman"/>
                <w:color w:val="000000"/>
              </w:rPr>
            </w:pPr>
            <w:r w:rsidRPr="00C14E78">
              <w:rPr>
                <w:rFonts w:cs="Times New Roman"/>
                <w:color w:val="000000"/>
              </w:rPr>
              <w:t>0.19</w:t>
            </w:r>
          </w:p>
        </w:tc>
        <w:tc>
          <w:tcPr>
            <w:tcW w:w="1060" w:type="dxa"/>
            <w:tcBorders>
              <w:top w:val="nil"/>
              <w:left w:val="nil"/>
              <w:bottom w:val="single" w:sz="8" w:space="0" w:color="auto"/>
              <w:right w:val="nil"/>
            </w:tcBorders>
            <w:shd w:val="clear" w:color="auto" w:fill="auto"/>
            <w:noWrap/>
            <w:vAlign w:val="bottom"/>
            <w:hideMark/>
          </w:tcPr>
          <w:p w14:paraId="0FC0D3AB" w14:textId="77777777" w:rsidR="00596A40" w:rsidRPr="00C14E78" w:rsidRDefault="00596A40" w:rsidP="00596A40">
            <w:pPr>
              <w:spacing w:line="240" w:lineRule="auto"/>
              <w:jc w:val="center"/>
              <w:rPr>
                <w:rFonts w:cs="Times New Roman"/>
                <w:color w:val="000000"/>
              </w:rPr>
            </w:pPr>
            <w:r w:rsidRPr="00C14E78">
              <w:rPr>
                <w:rFonts w:cs="Times New Roman"/>
                <w:color w:val="000000"/>
              </w:rPr>
              <w:t>0.45</w:t>
            </w:r>
          </w:p>
        </w:tc>
        <w:tc>
          <w:tcPr>
            <w:tcW w:w="1060" w:type="dxa"/>
            <w:tcBorders>
              <w:top w:val="nil"/>
              <w:left w:val="nil"/>
              <w:bottom w:val="single" w:sz="8" w:space="0" w:color="auto"/>
              <w:right w:val="nil"/>
            </w:tcBorders>
            <w:shd w:val="clear" w:color="auto" w:fill="auto"/>
            <w:noWrap/>
            <w:vAlign w:val="bottom"/>
            <w:hideMark/>
          </w:tcPr>
          <w:p w14:paraId="73850130" w14:textId="77777777" w:rsidR="00596A40" w:rsidRPr="00C14E78" w:rsidRDefault="00596A40" w:rsidP="00596A40">
            <w:pPr>
              <w:spacing w:line="240" w:lineRule="auto"/>
              <w:jc w:val="center"/>
              <w:rPr>
                <w:rFonts w:cs="Times New Roman"/>
                <w:color w:val="000000"/>
              </w:rPr>
            </w:pPr>
            <w:r w:rsidRPr="00C14E78">
              <w:rPr>
                <w:rFonts w:cs="Times New Roman"/>
                <w:color w:val="000000"/>
              </w:rPr>
              <w:t>0.52</w:t>
            </w:r>
          </w:p>
        </w:tc>
        <w:tc>
          <w:tcPr>
            <w:tcW w:w="1379" w:type="dxa"/>
            <w:tcBorders>
              <w:top w:val="nil"/>
              <w:left w:val="nil"/>
              <w:bottom w:val="single" w:sz="8" w:space="0" w:color="auto"/>
              <w:right w:val="nil"/>
            </w:tcBorders>
            <w:shd w:val="clear" w:color="auto" w:fill="auto"/>
            <w:noWrap/>
            <w:vAlign w:val="bottom"/>
            <w:hideMark/>
          </w:tcPr>
          <w:p w14:paraId="508B85DF" w14:textId="77777777" w:rsidR="00596A40" w:rsidRPr="00C14E78" w:rsidRDefault="00596A40" w:rsidP="00596A40">
            <w:pPr>
              <w:spacing w:line="240" w:lineRule="auto"/>
              <w:jc w:val="center"/>
              <w:rPr>
                <w:rFonts w:cs="Times New Roman"/>
                <w:color w:val="000000"/>
              </w:rPr>
            </w:pPr>
            <w:r w:rsidRPr="00C14E78">
              <w:rPr>
                <w:rFonts w:cs="Times New Roman"/>
                <w:color w:val="000000"/>
              </w:rPr>
              <w:t>0.16</w:t>
            </w:r>
          </w:p>
        </w:tc>
        <w:tc>
          <w:tcPr>
            <w:tcW w:w="964" w:type="dxa"/>
            <w:tcBorders>
              <w:top w:val="nil"/>
              <w:left w:val="nil"/>
              <w:bottom w:val="single" w:sz="8" w:space="0" w:color="auto"/>
              <w:right w:val="nil"/>
            </w:tcBorders>
            <w:shd w:val="clear" w:color="auto" w:fill="auto"/>
            <w:noWrap/>
            <w:vAlign w:val="bottom"/>
            <w:hideMark/>
          </w:tcPr>
          <w:p w14:paraId="139BAA89" w14:textId="77777777" w:rsidR="00596A40" w:rsidRPr="00C14E78" w:rsidRDefault="00596A40" w:rsidP="00596A40">
            <w:pPr>
              <w:spacing w:line="240" w:lineRule="auto"/>
              <w:jc w:val="center"/>
              <w:rPr>
                <w:rFonts w:cs="Times New Roman"/>
                <w:color w:val="000000"/>
              </w:rPr>
            </w:pPr>
            <w:r w:rsidRPr="00C14E78">
              <w:rPr>
                <w:rFonts w:cs="Times New Roman"/>
                <w:color w:val="000000"/>
              </w:rPr>
              <w:t>0.45</w:t>
            </w:r>
          </w:p>
        </w:tc>
        <w:tc>
          <w:tcPr>
            <w:tcW w:w="1060" w:type="dxa"/>
            <w:tcBorders>
              <w:top w:val="nil"/>
              <w:left w:val="nil"/>
              <w:bottom w:val="single" w:sz="8" w:space="0" w:color="auto"/>
              <w:right w:val="nil"/>
            </w:tcBorders>
            <w:shd w:val="clear" w:color="auto" w:fill="auto"/>
            <w:noWrap/>
            <w:vAlign w:val="bottom"/>
            <w:hideMark/>
          </w:tcPr>
          <w:p w14:paraId="55E9FA2C" w14:textId="77777777" w:rsidR="00596A40" w:rsidRPr="00C14E78" w:rsidRDefault="00596A40" w:rsidP="00596A40">
            <w:pPr>
              <w:spacing w:line="240" w:lineRule="auto"/>
              <w:jc w:val="center"/>
              <w:rPr>
                <w:rFonts w:cs="Times New Roman"/>
                <w:color w:val="000000"/>
              </w:rPr>
            </w:pPr>
            <w:r w:rsidRPr="00C14E78">
              <w:rPr>
                <w:rFonts w:cs="Times New Roman"/>
                <w:color w:val="000000"/>
              </w:rPr>
              <w:t>0.57</w:t>
            </w:r>
          </w:p>
        </w:tc>
        <w:tc>
          <w:tcPr>
            <w:tcW w:w="1283" w:type="dxa"/>
            <w:tcBorders>
              <w:top w:val="nil"/>
              <w:left w:val="nil"/>
              <w:bottom w:val="single" w:sz="8" w:space="0" w:color="auto"/>
              <w:right w:val="nil"/>
            </w:tcBorders>
            <w:shd w:val="clear" w:color="auto" w:fill="auto"/>
            <w:noWrap/>
            <w:vAlign w:val="bottom"/>
            <w:hideMark/>
          </w:tcPr>
          <w:p w14:paraId="0C2F50DD" w14:textId="77777777" w:rsidR="00596A40" w:rsidRPr="00C14E78" w:rsidRDefault="00596A40" w:rsidP="00596A40">
            <w:pPr>
              <w:spacing w:line="240" w:lineRule="auto"/>
              <w:jc w:val="center"/>
              <w:rPr>
                <w:rFonts w:cs="Times New Roman"/>
                <w:color w:val="000000"/>
              </w:rPr>
            </w:pPr>
            <w:r w:rsidRPr="00C14E78">
              <w:rPr>
                <w:rFonts w:cs="Times New Roman"/>
                <w:color w:val="000000"/>
              </w:rPr>
              <w:t>0.51</w:t>
            </w:r>
          </w:p>
        </w:tc>
      </w:tr>
      <w:tr w:rsidR="00596A40" w:rsidRPr="00943B0B" w14:paraId="28D28682" w14:textId="77777777" w:rsidTr="00CB63DC">
        <w:trPr>
          <w:trHeight w:val="315"/>
        </w:trPr>
        <w:tc>
          <w:tcPr>
            <w:tcW w:w="1123" w:type="dxa"/>
            <w:tcBorders>
              <w:top w:val="single" w:sz="8" w:space="0" w:color="auto"/>
              <w:left w:val="nil"/>
              <w:bottom w:val="nil"/>
              <w:right w:val="nil"/>
            </w:tcBorders>
            <w:shd w:val="clear" w:color="auto" w:fill="auto"/>
            <w:noWrap/>
            <w:vAlign w:val="center"/>
            <w:hideMark/>
          </w:tcPr>
          <w:p w14:paraId="794C8D84" w14:textId="77777777" w:rsidR="00596A40" w:rsidRPr="00CB63DC" w:rsidRDefault="00596A40" w:rsidP="00596A40">
            <w:pPr>
              <w:spacing w:line="240" w:lineRule="auto"/>
              <w:rPr>
                <w:rFonts w:cs="Times New Roman"/>
                <w:b/>
                <w:bCs/>
                <w:color w:val="000000"/>
              </w:rPr>
            </w:pPr>
            <w:r w:rsidRPr="00CB63DC">
              <w:rPr>
                <w:rFonts w:cs="Times New Roman"/>
                <w:b/>
                <w:bCs/>
                <w:color w:val="000000"/>
              </w:rPr>
              <w:t> </w:t>
            </w:r>
          </w:p>
        </w:tc>
        <w:tc>
          <w:tcPr>
            <w:tcW w:w="3403" w:type="dxa"/>
            <w:gridSpan w:val="3"/>
            <w:tcBorders>
              <w:top w:val="single" w:sz="8" w:space="0" w:color="auto"/>
              <w:left w:val="nil"/>
              <w:bottom w:val="nil"/>
              <w:right w:val="nil"/>
            </w:tcBorders>
            <w:shd w:val="clear" w:color="auto" w:fill="auto"/>
            <w:noWrap/>
            <w:vAlign w:val="bottom"/>
            <w:hideMark/>
          </w:tcPr>
          <w:p w14:paraId="08DDEA02" w14:textId="123FC102" w:rsidR="00596A40" w:rsidRPr="00CB63DC" w:rsidRDefault="00596A40" w:rsidP="00596A40">
            <w:pPr>
              <w:spacing w:line="240" w:lineRule="auto"/>
              <w:jc w:val="center"/>
              <w:rPr>
                <w:rFonts w:cs="Times New Roman"/>
                <w:b/>
                <w:color w:val="000000"/>
                <w:u w:val="single"/>
              </w:rPr>
            </w:pPr>
            <w:r w:rsidRPr="00CB63DC">
              <w:rPr>
                <w:rFonts w:cs="Times New Roman"/>
                <w:b/>
                <w:color w:val="000000"/>
                <w:u w:val="single"/>
              </w:rPr>
              <w:t xml:space="preserve">Spring </w:t>
            </w:r>
            <w:r w:rsidR="00B428AC">
              <w:rPr>
                <w:rFonts w:cs="Times New Roman"/>
                <w:b/>
                <w:color w:val="000000"/>
                <w:u w:val="single"/>
              </w:rPr>
              <w:t xml:space="preserve">Height </w:t>
            </w:r>
          </w:p>
        </w:tc>
        <w:tc>
          <w:tcPr>
            <w:tcW w:w="3499" w:type="dxa"/>
            <w:gridSpan w:val="3"/>
            <w:tcBorders>
              <w:top w:val="single" w:sz="8" w:space="0" w:color="auto"/>
              <w:left w:val="nil"/>
              <w:bottom w:val="nil"/>
              <w:right w:val="nil"/>
            </w:tcBorders>
            <w:shd w:val="clear" w:color="auto" w:fill="auto"/>
            <w:noWrap/>
            <w:vAlign w:val="bottom"/>
            <w:hideMark/>
          </w:tcPr>
          <w:p w14:paraId="4466F551" w14:textId="77777777" w:rsidR="00596A40" w:rsidRPr="00CB63DC" w:rsidRDefault="00596A40" w:rsidP="00596A40">
            <w:pPr>
              <w:spacing w:line="240" w:lineRule="auto"/>
              <w:jc w:val="center"/>
              <w:rPr>
                <w:rFonts w:cs="Times New Roman"/>
                <w:b/>
                <w:color w:val="000000"/>
                <w:u w:val="single"/>
              </w:rPr>
            </w:pPr>
            <w:r w:rsidRPr="00CB63DC">
              <w:rPr>
                <w:rFonts w:cs="Times New Roman"/>
                <w:b/>
                <w:color w:val="000000"/>
                <w:u w:val="single"/>
              </w:rPr>
              <w:t xml:space="preserve">Tiller Number </w:t>
            </w:r>
          </w:p>
        </w:tc>
        <w:tc>
          <w:tcPr>
            <w:tcW w:w="3307" w:type="dxa"/>
            <w:gridSpan w:val="3"/>
            <w:tcBorders>
              <w:top w:val="single" w:sz="8" w:space="0" w:color="auto"/>
              <w:left w:val="nil"/>
              <w:bottom w:val="nil"/>
              <w:right w:val="nil"/>
            </w:tcBorders>
            <w:shd w:val="clear" w:color="auto" w:fill="auto"/>
            <w:vAlign w:val="bottom"/>
            <w:hideMark/>
          </w:tcPr>
          <w:p w14:paraId="3CDDECCF" w14:textId="05A60F54" w:rsidR="00596A40" w:rsidRPr="00CB63DC" w:rsidRDefault="00596A40" w:rsidP="00B428AC">
            <w:pPr>
              <w:spacing w:line="240" w:lineRule="auto"/>
              <w:jc w:val="center"/>
              <w:rPr>
                <w:rFonts w:cs="Times New Roman"/>
                <w:b/>
                <w:color w:val="000000"/>
                <w:u w:val="single"/>
              </w:rPr>
            </w:pPr>
            <w:r w:rsidRPr="00CB63DC">
              <w:rPr>
                <w:rFonts w:cs="Times New Roman"/>
                <w:b/>
                <w:color w:val="000000"/>
                <w:u w:val="single"/>
              </w:rPr>
              <w:t>Tiller Diameter</w:t>
            </w:r>
          </w:p>
        </w:tc>
      </w:tr>
      <w:tr w:rsidR="00596A40" w:rsidRPr="00943B0B" w14:paraId="2FD13AC2" w14:textId="77777777" w:rsidTr="00CB63DC">
        <w:trPr>
          <w:trHeight w:val="330"/>
        </w:trPr>
        <w:tc>
          <w:tcPr>
            <w:tcW w:w="1123" w:type="dxa"/>
            <w:tcBorders>
              <w:top w:val="nil"/>
              <w:left w:val="nil"/>
              <w:bottom w:val="single" w:sz="8" w:space="0" w:color="auto"/>
              <w:right w:val="nil"/>
            </w:tcBorders>
            <w:shd w:val="clear" w:color="auto" w:fill="auto"/>
            <w:vAlign w:val="bottom"/>
            <w:hideMark/>
          </w:tcPr>
          <w:p w14:paraId="2F7F03BE" w14:textId="77777777" w:rsidR="00596A40" w:rsidRPr="00CB63DC" w:rsidRDefault="00596A40" w:rsidP="00596A40">
            <w:pPr>
              <w:spacing w:line="240" w:lineRule="auto"/>
              <w:rPr>
                <w:rFonts w:cs="Times New Roman"/>
                <w:b/>
                <w:color w:val="000000"/>
              </w:rPr>
            </w:pPr>
            <w:r w:rsidRPr="00CB63DC">
              <w:rPr>
                <w:rFonts w:cs="Times New Roman"/>
                <w:b/>
                <w:color w:val="000000"/>
              </w:rPr>
              <w:t>Estimate</w:t>
            </w:r>
          </w:p>
        </w:tc>
        <w:tc>
          <w:tcPr>
            <w:tcW w:w="1060" w:type="dxa"/>
            <w:tcBorders>
              <w:top w:val="nil"/>
              <w:left w:val="nil"/>
              <w:bottom w:val="single" w:sz="8" w:space="0" w:color="auto"/>
              <w:right w:val="nil"/>
            </w:tcBorders>
            <w:shd w:val="clear" w:color="auto" w:fill="auto"/>
            <w:vAlign w:val="bottom"/>
            <w:hideMark/>
          </w:tcPr>
          <w:p w14:paraId="36BF53AF" w14:textId="77777777" w:rsidR="00596A40" w:rsidRPr="00CB63DC" w:rsidRDefault="00596A40" w:rsidP="00596A40">
            <w:pPr>
              <w:spacing w:line="240" w:lineRule="auto"/>
              <w:jc w:val="center"/>
              <w:rPr>
                <w:rFonts w:cs="Times New Roman"/>
                <w:b/>
                <w:color w:val="000000"/>
              </w:rPr>
            </w:pPr>
            <w:r w:rsidRPr="00CB63DC">
              <w:rPr>
                <w:rFonts w:cs="Times New Roman"/>
                <w:b/>
                <w:color w:val="000000"/>
              </w:rPr>
              <w:t>2013</w:t>
            </w:r>
          </w:p>
        </w:tc>
        <w:tc>
          <w:tcPr>
            <w:tcW w:w="1060" w:type="dxa"/>
            <w:tcBorders>
              <w:top w:val="nil"/>
              <w:left w:val="nil"/>
              <w:bottom w:val="single" w:sz="8" w:space="0" w:color="auto"/>
              <w:right w:val="nil"/>
            </w:tcBorders>
            <w:shd w:val="clear" w:color="auto" w:fill="auto"/>
            <w:vAlign w:val="bottom"/>
            <w:hideMark/>
          </w:tcPr>
          <w:p w14:paraId="64FA3B3C" w14:textId="77777777" w:rsidR="00596A40" w:rsidRPr="00CB63DC" w:rsidRDefault="00596A40" w:rsidP="00596A40">
            <w:pPr>
              <w:spacing w:line="240" w:lineRule="auto"/>
              <w:jc w:val="center"/>
              <w:rPr>
                <w:rFonts w:cs="Times New Roman"/>
                <w:b/>
                <w:color w:val="000000"/>
              </w:rPr>
            </w:pPr>
            <w:r w:rsidRPr="00CB63DC">
              <w:rPr>
                <w:rFonts w:cs="Times New Roman"/>
                <w:b/>
                <w:color w:val="000000"/>
              </w:rPr>
              <w:t>2014</w:t>
            </w:r>
          </w:p>
        </w:tc>
        <w:tc>
          <w:tcPr>
            <w:tcW w:w="1283" w:type="dxa"/>
            <w:tcBorders>
              <w:top w:val="nil"/>
              <w:left w:val="nil"/>
              <w:bottom w:val="single" w:sz="8" w:space="0" w:color="auto"/>
              <w:right w:val="nil"/>
            </w:tcBorders>
            <w:shd w:val="clear" w:color="auto" w:fill="auto"/>
            <w:vAlign w:val="bottom"/>
            <w:hideMark/>
          </w:tcPr>
          <w:p w14:paraId="6EBF64C1" w14:textId="77777777" w:rsidR="00596A40" w:rsidRPr="00CB63DC" w:rsidRDefault="00596A40" w:rsidP="00596A40">
            <w:pPr>
              <w:spacing w:line="240" w:lineRule="auto"/>
              <w:jc w:val="center"/>
              <w:rPr>
                <w:rFonts w:cs="Times New Roman"/>
                <w:b/>
                <w:color w:val="000000"/>
              </w:rPr>
            </w:pPr>
            <w:r w:rsidRPr="00CB63DC">
              <w:rPr>
                <w:rFonts w:cs="Times New Roman"/>
                <w:b/>
                <w:color w:val="000000"/>
              </w:rPr>
              <w:t>Combined</w:t>
            </w:r>
          </w:p>
        </w:tc>
        <w:tc>
          <w:tcPr>
            <w:tcW w:w="1060" w:type="dxa"/>
            <w:tcBorders>
              <w:top w:val="nil"/>
              <w:left w:val="nil"/>
              <w:bottom w:val="single" w:sz="8" w:space="0" w:color="auto"/>
              <w:right w:val="nil"/>
            </w:tcBorders>
            <w:shd w:val="clear" w:color="auto" w:fill="auto"/>
            <w:vAlign w:val="bottom"/>
            <w:hideMark/>
          </w:tcPr>
          <w:p w14:paraId="3F8938E6" w14:textId="77777777" w:rsidR="00596A40" w:rsidRPr="00CB63DC" w:rsidRDefault="00596A40" w:rsidP="00596A40">
            <w:pPr>
              <w:spacing w:line="240" w:lineRule="auto"/>
              <w:jc w:val="center"/>
              <w:rPr>
                <w:rFonts w:cs="Times New Roman"/>
                <w:b/>
                <w:color w:val="000000"/>
              </w:rPr>
            </w:pPr>
            <w:r w:rsidRPr="00CB63DC">
              <w:rPr>
                <w:rFonts w:cs="Times New Roman"/>
                <w:b/>
                <w:color w:val="000000"/>
              </w:rPr>
              <w:t>2013</w:t>
            </w:r>
          </w:p>
        </w:tc>
        <w:tc>
          <w:tcPr>
            <w:tcW w:w="1060" w:type="dxa"/>
            <w:tcBorders>
              <w:top w:val="nil"/>
              <w:left w:val="nil"/>
              <w:bottom w:val="single" w:sz="8" w:space="0" w:color="auto"/>
              <w:right w:val="nil"/>
            </w:tcBorders>
            <w:shd w:val="clear" w:color="auto" w:fill="auto"/>
            <w:vAlign w:val="bottom"/>
            <w:hideMark/>
          </w:tcPr>
          <w:p w14:paraId="0E58A1E7" w14:textId="77777777" w:rsidR="00596A40" w:rsidRPr="00CB63DC" w:rsidRDefault="00596A40" w:rsidP="00596A40">
            <w:pPr>
              <w:spacing w:line="240" w:lineRule="auto"/>
              <w:jc w:val="center"/>
              <w:rPr>
                <w:rFonts w:cs="Times New Roman"/>
                <w:b/>
                <w:color w:val="000000"/>
              </w:rPr>
            </w:pPr>
            <w:r w:rsidRPr="00CB63DC">
              <w:rPr>
                <w:rFonts w:cs="Times New Roman"/>
                <w:b/>
                <w:color w:val="000000"/>
              </w:rPr>
              <w:t>2014</w:t>
            </w:r>
          </w:p>
        </w:tc>
        <w:tc>
          <w:tcPr>
            <w:tcW w:w="1379" w:type="dxa"/>
            <w:tcBorders>
              <w:top w:val="nil"/>
              <w:left w:val="nil"/>
              <w:bottom w:val="single" w:sz="8" w:space="0" w:color="auto"/>
              <w:right w:val="nil"/>
            </w:tcBorders>
            <w:shd w:val="clear" w:color="auto" w:fill="auto"/>
            <w:vAlign w:val="bottom"/>
            <w:hideMark/>
          </w:tcPr>
          <w:p w14:paraId="7947E64B" w14:textId="77777777" w:rsidR="00596A40" w:rsidRPr="00CB63DC" w:rsidRDefault="00596A40" w:rsidP="00596A40">
            <w:pPr>
              <w:spacing w:line="240" w:lineRule="auto"/>
              <w:jc w:val="center"/>
              <w:rPr>
                <w:rFonts w:cs="Times New Roman"/>
                <w:b/>
                <w:color w:val="000000"/>
              </w:rPr>
            </w:pPr>
            <w:r w:rsidRPr="00CB63DC">
              <w:rPr>
                <w:rFonts w:cs="Times New Roman"/>
                <w:b/>
                <w:color w:val="000000"/>
              </w:rPr>
              <w:t>Combined</w:t>
            </w:r>
          </w:p>
        </w:tc>
        <w:tc>
          <w:tcPr>
            <w:tcW w:w="964" w:type="dxa"/>
            <w:tcBorders>
              <w:top w:val="nil"/>
              <w:left w:val="nil"/>
              <w:bottom w:val="single" w:sz="8" w:space="0" w:color="auto"/>
              <w:right w:val="nil"/>
            </w:tcBorders>
            <w:shd w:val="clear" w:color="auto" w:fill="auto"/>
            <w:vAlign w:val="bottom"/>
            <w:hideMark/>
          </w:tcPr>
          <w:p w14:paraId="565AC11B" w14:textId="77777777" w:rsidR="00596A40" w:rsidRPr="00CB63DC" w:rsidRDefault="00596A40" w:rsidP="00596A40">
            <w:pPr>
              <w:spacing w:line="240" w:lineRule="auto"/>
              <w:jc w:val="center"/>
              <w:rPr>
                <w:rFonts w:cs="Times New Roman"/>
                <w:b/>
                <w:color w:val="000000"/>
              </w:rPr>
            </w:pPr>
            <w:r w:rsidRPr="00CB63DC">
              <w:rPr>
                <w:rFonts w:cs="Times New Roman"/>
                <w:b/>
                <w:color w:val="000000"/>
              </w:rPr>
              <w:t>2013</w:t>
            </w:r>
          </w:p>
        </w:tc>
        <w:tc>
          <w:tcPr>
            <w:tcW w:w="1060" w:type="dxa"/>
            <w:tcBorders>
              <w:top w:val="nil"/>
              <w:left w:val="nil"/>
              <w:bottom w:val="single" w:sz="8" w:space="0" w:color="auto"/>
              <w:right w:val="nil"/>
            </w:tcBorders>
            <w:shd w:val="clear" w:color="auto" w:fill="auto"/>
            <w:vAlign w:val="bottom"/>
            <w:hideMark/>
          </w:tcPr>
          <w:p w14:paraId="72AF1E5E" w14:textId="77777777" w:rsidR="00596A40" w:rsidRPr="00CB63DC" w:rsidRDefault="00596A40" w:rsidP="00596A40">
            <w:pPr>
              <w:spacing w:line="240" w:lineRule="auto"/>
              <w:jc w:val="center"/>
              <w:rPr>
                <w:rFonts w:cs="Times New Roman"/>
                <w:b/>
                <w:color w:val="000000"/>
              </w:rPr>
            </w:pPr>
            <w:r w:rsidRPr="00CB63DC">
              <w:rPr>
                <w:rFonts w:cs="Times New Roman"/>
                <w:b/>
                <w:color w:val="000000"/>
              </w:rPr>
              <w:t>2014</w:t>
            </w:r>
          </w:p>
        </w:tc>
        <w:tc>
          <w:tcPr>
            <w:tcW w:w="1283" w:type="dxa"/>
            <w:tcBorders>
              <w:top w:val="nil"/>
              <w:left w:val="nil"/>
              <w:bottom w:val="single" w:sz="8" w:space="0" w:color="auto"/>
              <w:right w:val="nil"/>
            </w:tcBorders>
            <w:shd w:val="clear" w:color="auto" w:fill="auto"/>
            <w:vAlign w:val="bottom"/>
            <w:hideMark/>
          </w:tcPr>
          <w:p w14:paraId="432CFC20" w14:textId="77777777" w:rsidR="00596A40" w:rsidRPr="00CB63DC" w:rsidRDefault="00596A40" w:rsidP="00596A40">
            <w:pPr>
              <w:spacing w:line="240" w:lineRule="auto"/>
              <w:jc w:val="center"/>
              <w:rPr>
                <w:rFonts w:cs="Times New Roman"/>
                <w:b/>
                <w:color w:val="000000"/>
              </w:rPr>
            </w:pPr>
            <w:r w:rsidRPr="00CB63DC">
              <w:rPr>
                <w:rFonts w:cs="Times New Roman"/>
                <w:b/>
                <w:color w:val="000000"/>
              </w:rPr>
              <w:t>Combined</w:t>
            </w:r>
          </w:p>
        </w:tc>
      </w:tr>
      <w:tr w:rsidR="00596A40" w:rsidRPr="00943B0B" w14:paraId="14A22BC9" w14:textId="77777777" w:rsidTr="00CB63DC">
        <w:trPr>
          <w:trHeight w:val="405"/>
        </w:trPr>
        <w:tc>
          <w:tcPr>
            <w:tcW w:w="1123" w:type="dxa"/>
            <w:tcBorders>
              <w:top w:val="nil"/>
              <w:left w:val="nil"/>
              <w:bottom w:val="nil"/>
              <w:right w:val="nil"/>
            </w:tcBorders>
            <w:shd w:val="clear" w:color="auto" w:fill="auto"/>
            <w:noWrap/>
            <w:vAlign w:val="bottom"/>
            <w:hideMark/>
          </w:tcPr>
          <w:p w14:paraId="08C7E3DF" w14:textId="77777777" w:rsidR="00596A40" w:rsidRPr="00CB63DC" w:rsidRDefault="00596A40" w:rsidP="00596A40">
            <w:pPr>
              <w:spacing w:line="240" w:lineRule="auto"/>
              <w:rPr>
                <w:rFonts w:cs="Times New Roman"/>
                <w:b/>
                <w:color w:val="000000"/>
              </w:rPr>
            </w:pPr>
            <w:r w:rsidRPr="00CB63DC">
              <w:rPr>
                <w:rFonts w:cs="Times New Roman"/>
                <w:b/>
                <w:color w:val="000000"/>
              </w:rPr>
              <w:t>σ</w:t>
            </w:r>
            <w:r w:rsidRPr="00CB63DC">
              <w:rPr>
                <w:rFonts w:cs="Times New Roman"/>
                <w:b/>
                <w:color w:val="000000"/>
                <w:vertAlign w:val="superscript"/>
              </w:rPr>
              <w:t>2</w:t>
            </w:r>
            <w:r w:rsidRPr="00CB63DC">
              <w:rPr>
                <w:rFonts w:cs="Times New Roman"/>
                <w:b/>
                <w:color w:val="000000"/>
                <w:vertAlign w:val="subscript"/>
              </w:rPr>
              <w:t>A</w:t>
            </w:r>
          </w:p>
        </w:tc>
        <w:tc>
          <w:tcPr>
            <w:tcW w:w="1060" w:type="dxa"/>
            <w:tcBorders>
              <w:top w:val="nil"/>
              <w:left w:val="nil"/>
              <w:bottom w:val="nil"/>
              <w:right w:val="nil"/>
            </w:tcBorders>
            <w:shd w:val="clear" w:color="auto" w:fill="auto"/>
            <w:noWrap/>
            <w:vAlign w:val="bottom"/>
            <w:hideMark/>
          </w:tcPr>
          <w:p w14:paraId="777D88BF" w14:textId="77777777" w:rsidR="00596A40" w:rsidRPr="00943B0B" w:rsidRDefault="00596A40" w:rsidP="00596A40">
            <w:pPr>
              <w:spacing w:line="240" w:lineRule="auto"/>
              <w:jc w:val="center"/>
              <w:rPr>
                <w:rFonts w:cs="Times New Roman"/>
                <w:color w:val="000000"/>
              </w:rPr>
            </w:pPr>
            <w:r w:rsidRPr="00943B0B">
              <w:rPr>
                <w:rFonts w:cs="Times New Roman"/>
                <w:color w:val="000000"/>
              </w:rPr>
              <w:t>118</w:t>
            </w:r>
          </w:p>
        </w:tc>
        <w:tc>
          <w:tcPr>
            <w:tcW w:w="1060" w:type="dxa"/>
            <w:tcBorders>
              <w:top w:val="nil"/>
              <w:left w:val="nil"/>
              <w:bottom w:val="nil"/>
              <w:right w:val="nil"/>
            </w:tcBorders>
            <w:shd w:val="clear" w:color="auto" w:fill="auto"/>
            <w:noWrap/>
            <w:vAlign w:val="bottom"/>
            <w:hideMark/>
          </w:tcPr>
          <w:p w14:paraId="25F40412" w14:textId="77777777" w:rsidR="00596A40" w:rsidRPr="00943B0B" w:rsidRDefault="00596A40" w:rsidP="00596A40">
            <w:pPr>
              <w:spacing w:line="240" w:lineRule="auto"/>
              <w:jc w:val="center"/>
              <w:rPr>
                <w:rFonts w:cs="Times New Roman"/>
                <w:color w:val="000000"/>
              </w:rPr>
            </w:pPr>
            <w:r w:rsidRPr="00943B0B">
              <w:rPr>
                <w:rFonts w:cs="Times New Roman"/>
                <w:color w:val="000000"/>
              </w:rPr>
              <w:t>51</w:t>
            </w:r>
          </w:p>
        </w:tc>
        <w:tc>
          <w:tcPr>
            <w:tcW w:w="1283" w:type="dxa"/>
            <w:tcBorders>
              <w:top w:val="nil"/>
              <w:left w:val="nil"/>
              <w:bottom w:val="nil"/>
              <w:right w:val="nil"/>
            </w:tcBorders>
            <w:shd w:val="clear" w:color="auto" w:fill="auto"/>
            <w:noWrap/>
            <w:vAlign w:val="bottom"/>
            <w:hideMark/>
          </w:tcPr>
          <w:p w14:paraId="1D4CE39C" w14:textId="77777777" w:rsidR="00596A40" w:rsidRPr="00943B0B" w:rsidRDefault="00596A40" w:rsidP="00596A40">
            <w:pPr>
              <w:spacing w:line="240" w:lineRule="auto"/>
              <w:jc w:val="center"/>
              <w:rPr>
                <w:rFonts w:cs="Times New Roman"/>
                <w:color w:val="000000"/>
              </w:rPr>
            </w:pPr>
            <w:r w:rsidRPr="00943B0B">
              <w:rPr>
                <w:rFonts w:cs="Times New Roman"/>
                <w:color w:val="000000"/>
              </w:rPr>
              <w:t>78</w:t>
            </w:r>
          </w:p>
        </w:tc>
        <w:tc>
          <w:tcPr>
            <w:tcW w:w="1060" w:type="dxa"/>
            <w:tcBorders>
              <w:top w:val="nil"/>
              <w:left w:val="nil"/>
              <w:bottom w:val="nil"/>
              <w:right w:val="nil"/>
            </w:tcBorders>
            <w:shd w:val="clear" w:color="auto" w:fill="auto"/>
            <w:noWrap/>
            <w:vAlign w:val="bottom"/>
            <w:hideMark/>
          </w:tcPr>
          <w:p w14:paraId="29C48C93" w14:textId="77777777" w:rsidR="00596A40" w:rsidRPr="00943B0B" w:rsidRDefault="00596A40" w:rsidP="00596A40">
            <w:pPr>
              <w:spacing w:line="240" w:lineRule="auto"/>
              <w:jc w:val="center"/>
              <w:rPr>
                <w:rFonts w:cs="Times New Roman"/>
                <w:color w:val="000000"/>
              </w:rPr>
            </w:pPr>
            <w:r w:rsidRPr="00943B0B">
              <w:rPr>
                <w:rFonts w:cs="Times New Roman"/>
                <w:color w:val="000000"/>
              </w:rPr>
              <w:t>434</w:t>
            </w:r>
          </w:p>
        </w:tc>
        <w:tc>
          <w:tcPr>
            <w:tcW w:w="1060" w:type="dxa"/>
            <w:tcBorders>
              <w:top w:val="nil"/>
              <w:left w:val="nil"/>
              <w:bottom w:val="nil"/>
              <w:right w:val="nil"/>
            </w:tcBorders>
            <w:shd w:val="clear" w:color="auto" w:fill="auto"/>
            <w:noWrap/>
            <w:vAlign w:val="bottom"/>
            <w:hideMark/>
          </w:tcPr>
          <w:p w14:paraId="7451A004" w14:textId="77777777" w:rsidR="00596A40" w:rsidRPr="00943B0B" w:rsidRDefault="00596A40" w:rsidP="00596A40">
            <w:pPr>
              <w:spacing w:line="240" w:lineRule="auto"/>
              <w:jc w:val="center"/>
              <w:rPr>
                <w:rFonts w:cs="Times New Roman"/>
                <w:color w:val="000000"/>
              </w:rPr>
            </w:pPr>
            <w:r w:rsidRPr="00943B0B">
              <w:rPr>
                <w:rFonts w:cs="Times New Roman"/>
                <w:color w:val="000000"/>
              </w:rPr>
              <w:t>1224</w:t>
            </w:r>
          </w:p>
        </w:tc>
        <w:tc>
          <w:tcPr>
            <w:tcW w:w="1379" w:type="dxa"/>
            <w:tcBorders>
              <w:top w:val="nil"/>
              <w:left w:val="nil"/>
              <w:bottom w:val="nil"/>
              <w:right w:val="nil"/>
            </w:tcBorders>
            <w:shd w:val="clear" w:color="auto" w:fill="auto"/>
            <w:noWrap/>
            <w:vAlign w:val="bottom"/>
            <w:hideMark/>
          </w:tcPr>
          <w:p w14:paraId="7A74B7A1" w14:textId="77777777" w:rsidR="00596A40" w:rsidRPr="00943B0B" w:rsidRDefault="00596A40" w:rsidP="00596A40">
            <w:pPr>
              <w:spacing w:line="240" w:lineRule="auto"/>
              <w:jc w:val="center"/>
              <w:rPr>
                <w:rFonts w:cs="Times New Roman"/>
                <w:color w:val="000000"/>
              </w:rPr>
            </w:pPr>
            <w:r w:rsidRPr="00943B0B">
              <w:rPr>
                <w:rFonts w:cs="Times New Roman"/>
                <w:color w:val="000000"/>
              </w:rPr>
              <w:t>759</w:t>
            </w:r>
          </w:p>
        </w:tc>
        <w:tc>
          <w:tcPr>
            <w:tcW w:w="964" w:type="dxa"/>
            <w:tcBorders>
              <w:top w:val="nil"/>
              <w:left w:val="nil"/>
              <w:bottom w:val="nil"/>
              <w:right w:val="nil"/>
            </w:tcBorders>
            <w:shd w:val="clear" w:color="auto" w:fill="auto"/>
            <w:noWrap/>
            <w:vAlign w:val="bottom"/>
            <w:hideMark/>
          </w:tcPr>
          <w:p w14:paraId="6AB59731" w14:textId="77777777" w:rsidR="00596A40" w:rsidRPr="00943B0B" w:rsidRDefault="00596A40" w:rsidP="00596A40">
            <w:pPr>
              <w:spacing w:line="240" w:lineRule="auto"/>
              <w:jc w:val="center"/>
              <w:rPr>
                <w:rFonts w:cs="Times New Roman"/>
                <w:color w:val="000000"/>
              </w:rPr>
            </w:pPr>
            <w:r w:rsidRPr="00943B0B">
              <w:rPr>
                <w:rFonts w:cs="Times New Roman"/>
                <w:color w:val="000000"/>
              </w:rPr>
              <w:t>1.2</w:t>
            </w:r>
          </w:p>
        </w:tc>
        <w:tc>
          <w:tcPr>
            <w:tcW w:w="1060" w:type="dxa"/>
            <w:tcBorders>
              <w:top w:val="nil"/>
              <w:left w:val="nil"/>
              <w:bottom w:val="nil"/>
              <w:right w:val="nil"/>
            </w:tcBorders>
            <w:shd w:val="clear" w:color="auto" w:fill="auto"/>
            <w:noWrap/>
            <w:vAlign w:val="bottom"/>
            <w:hideMark/>
          </w:tcPr>
          <w:p w14:paraId="53762ECE" w14:textId="77777777" w:rsidR="00596A40" w:rsidRPr="00943B0B" w:rsidRDefault="00596A40" w:rsidP="00596A40">
            <w:pPr>
              <w:spacing w:line="240" w:lineRule="auto"/>
              <w:jc w:val="center"/>
              <w:rPr>
                <w:rFonts w:cs="Times New Roman"/>
                <w:color w:val="000000"/>
              </w:rPr>
            </w:pPr>
            <w:r w:rsidRPr="00943B0B">
              <w:rPr>
                <w:rFonts w:cs="Times New Roman"/>
                <w:color w:val="000000"/>
              </w:rPr>
              <w:t>1.5</w:t>
            </w:r>
          </w:p>
        </w:tc>
        <w:tc>
          <w:tcPr>
            <w:tcW w:w="1283" w:type="dxa"/>
            <w:tcBorders>
              <w:top w:val="nil"/>
              <w:left w:val="nil"/>
              <w:bottom w:val="nil"/>
              <w:right w:val="nil"/>
            </w:tcBorders>
            <w:shd w:val="clear" w:color="auto" w:fill="auto"/>
            <w:noWrap/>
            <w:vAlign w:val="bottom"/>
            <w:hideMark/>
          </w:tcPr>
          <w:p w14:paraId="77EE8646" w14:textId="77777777" w:rsidR="00596A40" w:rsidRPr="00943B0B" w:rsidRDefault="00596A40" w:rsidP="00596A40">
            <w:pPr>
              <w:spacing w:line="240" w:lineRule="auto"/>
              <w:jc w:val="center"/>
              <w:rPr>
                <w:rFonts w:cs="Times New Roman"/>
                <w:color w:val="000000"/>
              </w:rPr>
            </w:pPr>
            <w:r w:rsidRPr="00943B0B">
              <w:rPr>
                <w:rFonts w:cs="Times New Roman"/>
                <w:color w:val="000000"/>
              </w:rPr>
              <w:t>1.3</w:t>
            </w:r>
          </w:p>
        </w:tc>
      </w:tr>
      <w:tr w:rsidR="00596A40" w:rsidRPr="00943B0B" w14:paraId="2BB802A8" w14:textId="77777777" w:rsidTr="00CB63DC">
        <w:trPr>
          <w:trHeight w:val="405"/>
        </w:trPr>
        <w:tc>
          <w:tcPr>
            <w:tcW w:w="1123" w:type="dxa"/>
            <w:tcBorders>
              <w:top w:val="nil"/>
              <w:left w:val="nil"/>
              <w:bottom w:val="nil"/>
              <w:right w:val="nil"/>
            </w:tcBorders>
            <w:shd w:val="clear" w:color="auto" w:fill="auto"/>
            <w:noWrap/>
            <w:vAlign w:val="bottom"/>
            <w:hideMark/>
          </w:tcPr>
          <w:p w14:paraId="2C767757" w14:textId="77777777" w:rsidR="00596A40" w:rsidRPr="00CB63DC" w:rsidRDefault="00596A40" w:rsidP="00596A40">
            <w:pPr>
              <w:spacing w:line="240" w:lineRule="auto"/>
              <w:rPr>
                <w:rFonts w:cs="Times New Roman"/>
                <w:b/>
                <w:color w:val="000000"/>
              </w:rPr>
            </w:pPr>
            <w:r w:rsidRPr="00CB63DC">
              <w:rPr>
                <w:rFonts w:cs="Times New Roman"/>
                <w:b/>
                <w:color w:val="000000"/>
              </w:rPr>
              <w:t>σ</w:t>
            </w:r>
            <w:r w:rsidRPr="00CB63DC">
              <w:rPr>
                <w:rFonts w:cs="Times New Roman"/>
                <w:b/>
                <w:color w:val="000000"/>
                <w:vertAlign w:val="superscript"/>
              </w:rPr>
              <w:t>2</w:t>
            </w:r>
            <w:r w:rsidRPr="00CB63DC">
              <w:rPr>
                <w:rFonts w:cs="Times New Roman"/>
                <w:b/>
                <w:color w:val="000000"/>
                <w:vertAlign w:val="subscript"/>
              </w:rPr>
              <w:t>D</w:t>
            </w:r>
          </w:p>
        </w:tc>
        <w:tc>
          <w:tcPr>
            <w:tcW w:w="1060" w:type="dxa"/>
            <w:tcBorders>
              <w:top w:val="nil"/>
              <w:left w:val="nil"/>
              <w:bottom w:val="nil"/>
              <w:right w:val="nil"/>
            </w:tcBorders>
            <w:shd w:val="clear" w:color="auto" w:fill="auto"/>
            <w:noWrap/>
            <w:vAlign w:val="bottom"/>
            <w:hideMark/>
          </w:tcPr>
          <w:p w14:paraId="57CD1CB8" w14:textId="77777777" w:rsidR="00596A40" w:rsidRPr="00943B0B" w:rsidRDefault="00596A40" w:rsidP="00596A40">
            <w:pPr>
              <w:spacing w:line="240" w:lineRule="auto"/>
              <w:jc w:val="center"/>
              <w:rPr>
                <w:rFonts w:cs="Times New Roman"/>
                <w:color w:val="000000"/>
              </w:rPr>
            </w:pPr>
            <w:r w:rsidRPr="00943B0B">
              <w:rPr>
                <w:rFonts w:cs="Times New Roman"/>
                <w:color w:val="000000"/>
              </w:rPr>
              <w:t>83</w:t>
            </w:r>
          </w:p>
        </w:tc>
        <w:tc>
          <w:tcPr>
            <w:tcW w:w="1060" w:type="dxa"/>
            <w:tcBorders>
              <w:top w:val="nil"/>
              <w:left w:val="nil"/>
              <w:bottom w:val="nil"/>
              <w:right w:val="nil"/>
            </w:tcBorders>
            <w:shd w:val="clear" w:color="auto" w:fill="auto"/>
            <w:noWrap/>
            <w:vAlign w:val="bottom"/>
            <w:hideMark/>
          </w:tcPr>
          <w:p w14:paraId="72D3B00F" w14:textId="77777777" w:rsidR="00596A40" w:rsidRPr="00943B0B" w:rsidRDefault="00596A40" w:rsidP="00596A40">
            <w:pPr>
              <w:spacing w:line="240" w:lineRule="auto"/>
              <w:jc w:val="center"/>
              <w:rPr>
                <w:rFonts w:cs="Times New Roman"/>
                <w:color w:val="000000"/>
              </w:rPr>
            </w:pPr>
            <w:r w:rsidRPr="00943B0B">
              <w:rPr>
                <w:rFonts w:cs="Times New Roman"/>
                <w:color w:val="000000"/>
              </w:rPr>
              <w:t>29</w:t>
            </w:r>
          </w:p>
        </w:tc>
        <w:tc>
          <w:tcPr>
            <w:tcW w:w="1283" w:type="dxa"/>
            <w:tcBorders>
              <w:top w:val="nil"/>
              <w:left w:val="nil"/>
              <w:bottom w:val="nil"/>
              <w:right w:val="nil"/>
            </w:tcBorders>
            <w:shd w:val="clear" w:color="auto" w:fill="auto"/>
            <w:noWrap/>
            <w:vAlign w:val="bottom"/>
            <w:hideMark/>
          </w:tcPr>
          <w:p w14:paraId="3E161AE6" w14:textId="77777777" w:rsidR="00596A40" w:rsidRPr="00943B0B" w:rsidRDefault="00596A40" w:rsidP="00596A40">
            <w:pPr>
              <w:spacing w:line="240" w:lineRule="auto"/>
              <w:jc w:val="center"/>
              <w:rPr>
                <w:rFonts w:cs="Times New Roman"/>
                <w:color w:val="000000"/>
              </w:rPr>
            </w:pPr>
            <w:r w:rsidRPr="00943B0B">
              <w:rPr>
                <w:rFonts w:cs="Times New Roman"/>
                <w:color w:val="000000"/>
              </w:rPr>
              <w:t>51</w:t>
            </w:r>
          </w:p>
        </w:tc>
        <w:tc>
          <w:tcPr>
            <w:tcW w:w="1060" w:type="dxa"/>
            <w:tcBorders>
              <w:top w:val="nil"/>
              <w:left w:val="nil"/>
              <w:bottom w:val="nil"/>
              <w:right w:val="nil"/>
            </w:tcBorders>
            <w:shd w:val="clear" w:color="auto" w:fill="auto"/>
            <w:noWrap/>
            <w:vAlign w:val="bottom"/>
            <w:hideMark/>
          </w:tcPr>
          <w:p w14:paraId="7112AF4F" w14:textId="77777777" w:rsidR="00596A40" w:rsidRPr="00943B0B" w:rsidRDefault="00596A40" w:rsidP="00596A40">
            <w:pPr>
              <w:spacing w:line="240" w:lineRule="auto"/>
              <w:jc w:val="center"/>
              <w:rPr>
                <w:rFonts w:cs="Times New Roman"/>
                <w:color w:val="000000"/>
              </w:rPr>
            </w:pPr>
            <w:r w:rsidRPr="00943B0B">
              <w:rPr>
                <w:rFonts w:cs="Times New Roman"/>
                <w:color w:val="000000"/>
              </w:rPr>
              <w:t>779</w:t>
            </w:r>
          </w:p>
        </w:tc>
        <w:tc>
          <w:tcPr>
            <w:tcW w:w="1060" w:type="dxa"/>
            <w:tcBorders>
              <w:top w:val="nil"/>
              <w:left w:val="nil"/>
              <w:bottom w:val="nil"/>
              <w:right w:val="nil"/>
            </w:tcBorders>
            <w:shd w:val="clear" w:color="auto" w:fill="auto"/>
            <w:noWrap/>
            <w:vAlign w:val="bottom"/>
            <w:hideMark/>
          </w:tcPr>
          <w:p w14:paraId="74DC6E05" w14:textId="77777777" w:rsidR="00596A40" w:rsidRPr="00943B0B" w:rsidRDefault="00596A40" w:rsidP="00596A40">
            <w:pPr>
              <w:spacing w:line="240" w:lineRule="auto"/>
              <w:jc w:val="center"/>
              <w:rPr>
                <w:rFonts w:cs="Times New Roman"/>
                <w:color w:val="000000"/>
              </w:rPr>
            </w:pPr>
            <w:r w:rsidRPr="00943B0B">
              <w:rPr>
                <w:rFonts w:cs="Times New Roman"/>
                <w:color w:val="000000"/>
              </w:rPr>
              <w:t>2327</w:t>
            </w:r>
          </w:p>
        </w:tc>
        <w:tc>
          <w:tcPr>
            <w:tcW w:w="1379" w:type="dxa"/>
            <w:tcBorders>
              <w:top w:val="nil"/>
              <w:left w:val="nil"/>
              <w:bottom w:val="nil"/>
              <w:right w:val="nil"/>
            </w:tcBorders>
            <w:shd w:val="clear" w:color="auto" w:fill="auto"/>
            <w:noWrap/>
            <w:vAlign w:val="bottom"/>
            <w:hideMark/>
          </w:tcPr>
          <w:p w14:paraId="4775ADA0" w14:textId="77777777" w:rsidR="00596A40" w:rsidRPr="00943B0B" w:rsidRDefault="00596A40" w:rsidP="00596A40">
            <w:pPr>
              <w:spacing w:line="240" w:lineRule="auto"/>
              <w:jc w:val="center"/>
              <w:rPr>
                <w:rFonts w:cs="Times New Roman"/>
                <w:color w:val="000000"/>
              </w:rPr>
            </w:pPr>
            <w:r w:rsidRPr="00943B0B">
              <w:rPr>
                <w:rFonts w:cs="Times New Roman"/>
                <w:color w:val="000000"/>
              </w:rPr>
              <w:t>1546</w:t>
            </w:r>
          </w:p>
        </w:tc>
        <w:tc>
          <w:tcPr>
            <w:tcW w:w="964" w:type="dxa"/>
            <w:tcBorders>
              <w:top w:val="nil"/>
              <w:left w:val="nil"/>
              <w:bottom w:val="nil"/>
              <w:right w:val="nil"/>
            </w:tcBorders>
            <w:shd w:val="clear" w:color="auto" w:fill="auto"/>
            <w:noWrap/>
            <w:vAlign w:val="bottom"/>
            <w:hideMark/>
          </w:tcPr>
          <w:p w14:paraId="0892BE0D" w14:textId="77777777" w:rsidR="00596A40" w:rsidRPr="00943B0B" w:rsidRDefault="00596A40" w:rsidP="00596A40">
            <w:pPr>
              <w:spacing w:line="240" w:lineRule="auto"/>
              <w:jc w:val="center"/>
              <w:rPr>
                <w:rFonts w:cs="Times New Roman"/>
                <w:color w:val="000000"/>
              </w:rPr>
            </w:pPr>
            <w:r w:rsidRPr="00943B0B">
              <w:rPr>
                <w:rFonts w:cs="Times New Roman"/>
                <w:color w:val="000000"/>
              </w:rPr>
              <w:t>0.8</w:t>
            </w:r>
          </w:p>
        </w:tc>
        <w:tc>
          <w:tcPr>
            <w:tcW w:w="1060" w:type="dxa"/>
            <w:tcBorders>
              <w:top w:val="nil"/>
              <w:left w:val="nil"/>
              <w:bottom w:val="nil"/>
              <w:right w:val="nil"/>
            </w:tcBorders>
            <w:shd w:val="clear" w:color="auto" w:fill="auto"/>
            <w:noWrap/>
            <w:vAlign w:val="bottom"/>
            <w:hideMark/>
          </w:tcPr>
          <w:p w14:paraId="0091B3EC" w14:textId="77777777" w:rsidR="00596A40" w:rsidRPr="00943B0B" w:rsidRDefault="00596A40" w:rsidP="00596A40">
            <w:pPr>
              <w:spacing w:line="240" w:lineRule="auto"/>
              <w:jc w:val="center"/>
              <w:rPr>
                <w:rFonts w:cs="Times New Roman"/>
                <w:color w:val="000000"/>
              </w:rPr>
            </w:pPr>
            <w:r w:rsidRPr="00943B0B">
              <w:rPr>
                <w:rFonts w:cs="Times New Roman"/>
                <w:color w:val="000000"/>
              </w:rPr>
              <w:t>0.7</w:t>
            </w:r>
          </w:p>
        </w:tc>
        <w:tc>
          <w:tcPr>
            <w:tcW w:w="1283" w:type="dxa"/>
            <w:tcBorders>
              <w:top w:val="nil"/>
              <w:left w:val="nil"/>
              <w:bottom w:val="nil"/>
              <w:right w:val="nil"/>
            </w:tcBorders>
            <w:shd w:val="clear" w:color="auto" w:fill="auto"/>
            <w:noWrap/>
            <w:vAlign w:val="bottom"/>
            <w:hideMark/>
          </w:tcPr>
          <w:p w14:paraId="70B004E0" w14:textId="77777777" w:rsidR="00596A40" w:rsidRPr="00943B0B" w:rsidRDefault="00596A40" w:rsidP="00596A40">
            <w:pPr>
              <w:spacing w:line="240" w:lineRule="auto"/>
              <w:jc w:val="center"/>
              <w:rPr>
                <w:rFonts w:cs="Times New Roman"/>
                <w:color w:val="000000"/>
              </w:rPr>
            </w:pPr>
            <w:r w:rsidRPr="00943B0B">
              <w:rPr>
                <w:rFonts w:cs="Times New Roman"/>
                <w:color w:val="000000"/>
              </w:rPr>
              <w:t>0.7</w:t>
            </w:r>
          </w:p>
        </w:tc>
      </w:tr>
      <w:tr w:rsidR="00596A40" w:rsidRPr="00943B0B" w14:paraId="4131A52F" w14:textId="77777777" w:rsidTr="00CB63DC">
        <w:trPr>
          <w:trHeight w:val="405"/>
        </w:trPr>
        <w:tc>
          <w:tcPr>
            <w:tcW w:w="1123" w:type="dxa"/>
            <w:tcBorders>
              <w:top w:val="nil"/>
              <w:left w:val="nil"/>
              <w:bottom w:val="single" w:sz="4" w:space="0" w:color="auto"/>
              <w:right w:val="nil"/>
            </w:tcBorders>
            <w:shd w:val="clear" w:color="auto" w:fill="auto"/>
            <w:noWrap/>
            <w:vAlign w:val="bottom"/>
            <w:hideMark/>
          </w:tcPr>
          <w:p w14:paraId="4D4AC105" w14:textId="77777777" w:rsidR="00596A40" w:rsidRPr="00CB63DC" w:rsidRDefault="00596A40" w:rsidP="00596A40">
            <w:pPr>
              <w:spacing w:line="240" w:lineRule="auto"/>
              <w:rPr>
                <w:rFonts w:cs="Times New Roman"/>
                <w:b/>
                <w:color w:val="000000"/>
              </w:rPr>
            </w:pPr>
            <w:r w:rsidRPr="00CB63DC">
              <w:rPr>
                <w:rFonts w:cs="Times New Roman"/>
                <w:b/>
                <w:color w:val="000000"/>
              </w:rPr>
              <w:t>σ</w:t>
            </w:r>
            <w:r w:rsidRPr="00CB63DC">
              <w:rPr>
                <w:rFonts w:cs="Times New Roman"/>
                <w:b/>
                <w:color w:val="000000"/>
                <w:vertAlign w:val="superscript"/>
              </w:rPr>
              <w:t>2</w:t>
            </w:r>
            <w:r w:rsidRPr="00CB63DC">
              <w:rPr>
                <w:rFonts w:cs="Times New Roman"/>
                <w:b/>
                <w:color w:val="000000"/>
                <w:vertAlign w:val="subscript"/>
              </w:rPr>
              <w:t>P</w:t>
            </w:r>
          </w:p>
        </w:tc>
        <w:tc>
          <w:tcPr>
            <w:tcW w:w="1060" w:type="dxa"/>
            <w:tcBorders>
              <w:top w:val="nil"/>
              <w:left w:val="nil"/>
              <w:bottom w:val="single" w:sz="4" w:space="0" w:color="auto"/>
              <w:right w:val="nil"/>
            </w:tcBorders>
            <w:shd w:val="clear" w:color="auto" w:fill="auto"/>
            <w:noWrap/>
            <w:vAlign w:val="bottom"/>
            <w:hideMark/>
          </w:tcPr>
          <w:p w14:paraId="47DBBC6D" w14:textId="77777777" w:rsidR="00596A40" w:rsidRPr="00943B0B" w:rsidRDefault="00596A40" w:rsidP="00596A40">
            <w:pPr>
              <w:spacing w:line="240" w:lineRule="auto"/>
              <w:jc w:val="center"/>
              <w:rPr>
                <w:rFonts w:cs="Times New Roman"/>
                <w:color w:val="000000"/>
              </w:rPr>
            </w:pPr>
            <w:r w:rsidRPr="00943B0B">
              <w:rPr>
                <w:rFonts w:cs="Times New Roman"/>
                <w:color w:val="000000"/>
              </w:rPr>
              <w:t>358</w:t>
            </w:r>
          </w:p>
        </w:tc>
        <w:tc>
          <w:tcPr>
            <w:tcW w:w="1060" w:type="dxa"/>
            <w:tcBorders>
              <w:top w:val="nil"/>
              <w:left w:val="nil"/>
              <w:bottom w:val="single" w:sz="4" w:space="0" w:color="auto"/>
              <w:right w:val="nil"/>
            </w:tcBorders>
            <w:shd w:val="clear" w:color="auto" w:fill="auto"/>
            <w:noWrap/>
            <w:vAlign w:val="bottom"/>
            <w:hideMark/>
          </w:tcPr>
          <w:p w14:paraId="53D872BE" w14:textId="77777777" w:rsidR="00596A40" w:rsidRPr="00943B0B" w:rsidRDefault="00596A40" w:rsidP="00596A40">
            <w:pPr>
              <w:spacing w:line="240" w:lineRule="auto"/>
              <w:jc w:val="center"/>
              <w:rPr>
                <w:rFonts w:cs="Times New Roman"/>
                <w:color w:val="000000"/>
              </w:rPr>
            </w:pPr>
            <w:r w:rsidRPr="00943B0B">
              <w:rPr>
                <w:rFonts w:cs="Times New Roman"/>
                <w:color w:val="000000"/>
              </w:rPr>
              <w:t>120</w:t>
            </w:r>
          </w:p>
        </w:tc>
        <w:tc>
          <w:tcPr>
            <w:tcW w:w="1283" w:type="dxa"/>
            <w:tcBorders>
              <w:top w:val="nil"/>
              <w:left w:val="nil"/>
              <w:bottom w:val="single" w:sz="4" w:space="0" w:color="auto"/>
              <w:right w:val="nil"/>
            </w:tcBorders>
            <w:shd w:val="clear" w:color="auto" w:fill="auto"/>
            <w:noWrap/>
            <w:vAlign w:val="bottom"/>
            <w:hideMark/>
          </w:tcPr>
          <w:p w14:paraId="31B6D85D" w14:textId="77777777" w:rsidR="00596A40" w:rsidRPr="00943B0B" w:rsidRDefault="00596A40" w:rsidP="00596A40">
            <w:pPr>
              <w:spacing w:line="240" w:lineRule="auto"/>
              <w:jc w:val="center"/>
              <w:rPr>
                <w:rFonts w:cs="Times New Roman"/>
                <w:color w:val="000000"/>
              </w:rPr>
            </w:pPr>
            <w:r w:rsidRPr="00943B0B">
              <w:rPr>
                <w:rFonts w:cs="Times New Roman"/>
                <w:color w:val="000000"/>
              </w:rPr>
              <w:t>221</w:t>
            </w:r>
          </w:p>
        </w:tc>
        <w:tc>
          <w:tcPr>
            <w:tcW w:w="1060" w:type="dxa"/>
            <w:tcBorders>
              <w:top w:val="nil"/>
              <w:left w:val="nil"/>
              <w:bottom w:val="single" w:sz="4" w:space="0" w:color="auto"/>
              <w:right w:val="nil"/>
            </w:tcBorders>
            <w:shd w:val="clear" w:color="auto" w:fill="auto"/>
            <w:noWrap/>
            <w:vAlign w:val="bottom"/>
            <w:hideMark/>
          </w:tcPr>
          <w:p w14:paraId="4E972C7E" w14:textId="77777777" w:rsidR="00596A40" w:rsidRPr="00943B0B" w:rsidRDefault="00596A40" w:rsidP="00596A40">
            <w:pPr>
              <w:spacing w:line="240" w:lineRule="auto"/>
              <w:jc w:val="center"/>
              <w:rPr>
                <w:rFonts w:cs="Times New Roman"/>
                <w:color w:val="000000"/>
              </w:rPr>
            </w:pPr>
            <w:r w:rsidRPr="00943B0B">
              <w:rPr>
                <w:rFonts w:cs="Times New Roman"/>
                <w:color w:val="000000"/>
              </w:rPr>
              <w:t>2917</w:t>
            </w:r>
          </w:p>
        </w:tc>
        <w:tc>
          <w:tcPr>
            <w:tcW w:w="1060" w:type="dxa"/>
            <w:tcBorders>
              <w:top w:val="nil"/>
              <w:left w:val="nil"/>
              <w:bottom w:val="single" w:sz="4" w:space="0" w:color="auto"/>
              <w:right w:val="nil"/>
            </w:tcBorders>
            <w:shd w:val="clear" w:color="auto" w:fill="auto"/>
            <w:noWrap/>
            <w:vAlign w:val="bottom"/>
            <w:hideMark/>
          </w:tcPr>
          <w:p w14:paraId="1892CD45" w14:textId="77777777" w:rsidR="00596A40" w:rsidRPr="00943B0B" w:rsidRDefault="00596A40" w:rsidP="00596A40">
            <w:pPr>
              <w:spacing w:line="240" w:lineRule="auto"/>
              <w:jc w:val="center"/>
              <w:rPr>
                <w:rFonts w:cs="Times New Roman"/>
                <w:color w:val="000000"/>
              </w:rPr>
            </w:pPr>
            <w:r w:rsidRPr="00943B0B">
              <w:rPr>
                <w:rFonts w:cs="Times New Roman"/>
                <w:color w:val="000000"/>
              </w:rPr>
              <w:t>7395</w:t>
            </w:r>
          </w:p>
        </w:tc>
        <w:tc>
          <w:tcPr>
            <w:tcW w:w="1379" w:type="dxa"/>
            <w:tcBorders>
              <w:top w:val="nil"/>
              <w:left w:val="nil"/>
              <w:bottom w:val="single" w:sz="4" w:space="0" w:color="auto"/>
              <w:right w:val="nil"/>
            </w:tcBorders>
            <w:shd w:val="clear" w:color="auto" w:fill="auto"/>
            <w:noWrap/>
            <w:vAlign w:val="bottom"/>
            <w:hideMark/>
          </w:tcPr>
          <w:p w14:paraId="52D98E55" w14:textId="77777777" w:rsidR="00596A40" w:rsidRPr="00943B0B" w:rsidRDefault="00596A40" w:rsidP="00596A40">
            <w:pPr>
              <w:spacing w:line="240" w:lineRule="auto"/>
              <w:jc w:val="center"/>
              <w:rPr>
                <w:rFonts w:cs="Times New Roman"/>
                <w:color w:val="000000"/>
              </w:rPr>
            </w:pPr>
            <w:r w:rsidRPr="00943B0B">
              <w:rPr>
                <w:rFonts w:cs="Times New Roman"/>
                <w:color w:val="000000"/>
              </w:rPr>
              <w:t>4869</w:t>
            </w:r>
          </w:p>
        </w:tc>
        <w:tc>
          <w:tcPr>
            <w:tcW w:w="964" w:type="dxa"/>
            <w:tcBorders>
              <w:top w:val="nil"/>
              <w:left w:val="nil"/>
              <w:bottom w:val="single" w:sz="4" w:space="0" w:color="auto"/>
              <w:right w:val="nil"/>
            </w:tcBorders>
            <w:shd w:val="clear" w:color="auto" w:fill="auto"/>
            <w:noWrap/>
            <w:vAlign w:val="bottom"/>
            <w:hideMark/>
          </w:tcPr>
          <w:p w14:paraId="7F362A8B" w14:textId="77777777" w:rsidR="00596A40" w:rsidRPr="00943B0B" w:rsidRDefault="00596A40" w:rsidP="00596A40">
            <w:pPr>
              <w:spacing w:line="240" w:lineRule="auto"/>
              <w:jc w:val="center"/>
              <w:rPr>
                <w:rFonts w:cs="Times New Roman"/>
                <w:color w:val="000000"/>
              </w:rPr>
            </w:pPr>
            <w:r w:rsidRPr="00943B0B">
              <w:rPr>
                <w:rFonts w:cs="Times New Roman"/>
                <w:color w:val="000000"/>
              </w:rPr>
              <w:t>4.3</w:t>
            </w:r>
          </w:p>
        </w:tc>
        <w:tc>
          <w:tcPr>
            <w:tcW w:w="1060" w:type="dxa"/>
            <w:tcBorders>
              <w:top w:val="nil"/>
              <w:left w:val="nil"/>
              <w:bottom w:val="single" w:sz="4" w:space="0" w:color="auto"/>
              <w:right w:val="nil"/>
            </w:tcBorders>
            <w:shd w:val="clear" w:color="auto" w:fill="auto"/>
            <w:noWrap/>
            <w:vAlign w:val="bottom"/>
            <w:hideMark/>
          </w:tcPr>
          <w:p w14:paraId="5C0B0444" w14:textId="77777777" w:rsidR="00596A40" w:rsidRPr="00943B0B" w:rsidRDefault="00596A40" w:rsidP="00596A40">
            <w:pPr>
              <w:spacing w:line="240" w:lineRule="auto"/>
              <w:jc w:val="center"/>
              <w:rPr>
                <w:rFonts w:cs="Times New Roman"/>
                <w:color w:val="000000"/>
              </w:rPr>
            </w:pPr>
            <w:r w:rsidRPr="00943B0B">
              <w:rPr>
                <w:rFonts w:cs="Times New Roman"/>
                <w:color w:val="000000"/>
              </w:rPr>
              <w:t>4.0</w:t>
            </w:r>
          </w:p>
        </w:tc>
        <w:tc>
          <w:tcPr>
            <w:tcW w:w="1283" w:type="dxa"/>
            <w:tcBorders>
              <w:top w:val="nil"/>
              <w:left w:val="nil"/>
              <w:bottom w:val="single" w:sz="4" w:space="0" w:color="auto"/>
              <w:right w:val="nil"/>
            </w:tcBorders>
            <w:shd w:val="clear" w:color="auto" w:fill="auto"/>
            <w:noWrap/>
            <w:vAlign w:val="bottom"/>
            <w:hideMark/>
          </w:tcPr>
          <w:p w14:paraId="2DAF8297" w14:textId="77777777" w:rsidR="00596A40" w:rsidRPr="00943B0B" w:rsidRDefault="00596A40" w:rsidP="00596A40">
            <w:pPr>
              <w:spacing w:line="240" w:lineRule="auto"/>
              <w:jc w:val="center"/>
              <w:rPr>
                <w:rFonts w:cs="Times New Roman"/>
                <w:color w:val="000000"/>
              </w:rPr>
            </w:pPr>
            <w:r w:rsidRPr="00943B0B">
              <w:rPr>
                <w:rFonts w:cs="Times New Roman"/>
                <w:color w:val="000000"/>
              </w:rPr>
              <w:t>4.0</w:t>
            </w:r>
          </w:p>
        </w:tc>
      </w:tr>
      <w:tr w:rsidR="00596A40" w:rsidRPr="00943B0B" w14:paraId="7963868D" w14:textId="77777777" w:rsidTr="00CB63DC">
        <w:trPr>
          <w:trHeight w:val="405"/>
        </w:trPr>
        <w:tc>
          <w:tcPr>
            <w:tcW w:w="1123" w:type="dxa"/>
            <w:tcBorders>
              <w:top w:val="nil"/>
              <w:left w:val="nil"/>
              <w:bottom w:val="nil"/>
              <w:right w:val="nil"/>
            </w:tcBorders>
            <w:shd w:val="clear" w:color="auto" w:fill="auto"/>
            <w:noWrap/>
            <w:vAlign w:val="bottom"/>
            <w:hideMark/>
          </w:tcPr>
          <w:p w14:paraId="289ADD1C" w14:textId="77777777" w:rsidR="00596A40" w:rsidRPr="00CB63DC" w:rsidRDefault="00596A40" w:rsidP="00596A40">
            <w:pPr>
              <w:spacing w:line="240" w:lineRule="auto"/>
              <w:rPr>
                <w:rFonts w:cs="Times New Roman"/>
                <w:b/>
                <w:color w:val="000000"/>
              </w:rPr>
            </w:pPr>
            <w:r w:rsidRPr="00CB63DC">
              <w:rPr>
                <w:rFonts w:cs="Times New Roman"/>
                <w:b/>
                <w:color w:val="000000"/>
              </w:rPr>
              <w:t>h</w:t>
            </w:r>
            <w:r w:rsidRPr="00CB63DC">
              <w:rPr>
                <w:rFonts w:cs="Times New Roman"/>
                <w:b/>
                <w:color w:val="000000"/>
                <w:vertAlign w:val="superscript"/>
              </w:rPr>
              <w:t>2</w:t>
            </w:r>
            <w:r w:rsidRPr="00CB63DC">
              <w:rPr>
                <w:rFonts w:cs="Times New Roman"/>
                <w:b/>
                <w:color w:val="000000"/>
                <w:vertAlign w:val="subscript"/>
              </w:rPr>
              <w:t>i</w:t>
            </w:r>
          </w:p>
        </w:tc>
        <w:tc>
          <w:tcPr>
            <w:tcW w:w="1060" w:type="dxa"/>
            <w:tcBorders>
              <w:top w:val="nil"/>
              <w:left w:val="nil"/>
              <w:bottom w:val="nil"/>
              <w:right w:val="nil"/>
            </w:tcBorders>
            <w:shd w:val="clear" w:color="auto" w:fill="auto"/>
            <w:noWrap/>
            <w:vAlign w:val="bottom"/>
            <w:hideMark/>
          </w:tcPr>
          <w:p w14:paraId="58213743" w14:textId="77777777" w:rsidR="00596A40" w:rsidRPr="00943B0B" w:rsidRDefault="00596A40" w:rsidP="00596A40">
            <w:pPr>
              <w:spacing w:line="240" w:lineRule="auto"/>
              <w:jc w:val="center"/>
              <w:rPr>
                <w:rFonts w:cs="Times New Roman"/>
                <w:color w:val="000000"/>
              </w:rPr>
            </w:pPr>
            <w:r w:rsidRPr="00943B0B">
              <w:rPr>
                <w:rFonts w:cs="Times New Roman"/>
                <w:color w:val="000000"/>
              </w:rPr>
              <w:t>0.33</w:t>
            </w:r>
          </w:p>
        </w:tc>
        <w:tc>
          <w:tcPr>
            <w:tcW w:w="1060" w:type="dxa"/>
            <w:tcBorders>
              <w:top w:val="nil"/>
              <w:left w:val="nil"/>
              <w:bottom w:val="nil"/>
              <w:right w:val="nil"/>
            </w:tcBorders>
            <w:shd w:val="clear" w:color="auto" w:fill="auto"/>
            <w:noWrap/>
            <w:vAlign w:val="bottom"/>
            <w:hideMark/>
          </w:tcPr>
          <w:p w14:paraId="0D51F91C" w14:textId="77777777" w:rsidR="00596A40" w:rsidRPr="00943B0B" w:rsidRDefault="00596A40" w:rsidP="00596A40">
            <w:pPr>
              <w:spacing w:line="240" w:lineRule="auto"/>
              <w:jc w:val="center"/>
              <w:rPr>
                <w:rFonts w:cs="Times New Roman"/>
                <w:color w:val="000000"/>
              </w:rPr>
            </w:pPr>
            <w:r w:rsidRPr="00943B0B">
              <w:rPr>
                <w:rFonts w:cs="Times New Roman"/>
                <w:color w:val="000000"/>
              </w:rPr>
              <w:t>0.42</w:t>
            </w:r>
          </w:p>
        </w:tc>
        <w:tc>
          <w:tcPr>
            <w:tcW w:w="1283" w:type="dxa"/>
            <w:tcBorders>
              <w:top w:val="nil"/>
              <w:left w:val="nil"/>
              <w:bottom w:val="nil"/>
              <w:right w:val="nil"/>
            </w:tcBorders>
            <w:shd w:val="clear" w:color="auto" w:fill="auto"/>
            <w:noWrap/>
            <w:vAlign w:val="bottom"/>
            <w:hideMark/>
          </w:tcPr>
          <w:p w14:paraId="1CCE4CA3" w14:textId="77777777" w:rsidR="00596A40" w:rsidRPr="00943B0B" w:rsidRDefault="00596A40" w:rsidP="00596A40">
            <w:pPr>
              <w:spacing w:line="240" w:lineRule="auto"/>
              <w:jc w:val="center"/>
              <w:rPr>
                <w:rFonts w:cs="Times New Roman"/>
                <w:color w:val="000000"/>
              </w:rPr>
            </w:pPr>
            <w:r w:rsidRPr="00943B0B">
              <w:rPr>
                <w:rFonts w:cs="Times New Roman"/>
                <w:color w:val="000000"/>
              </w:rPr>
              <w:t>0.35</w:t>
            </w:r>
          </w:p>
        </w:tc>
        <w:tc>
          <w:tcPr>
            <w:tcW w:w="1060" w:type="dxa"/>
            <w:tcBorders>
              <w:top w:val="nil"/>
              <w:left w:val="nil"/>
              <w:bottom w:val="nil"/>
              <w:right w:val="nil"/>
            </w:tcBorders>
            <w:shd w:val="clear" w:color="auto" w:fill="auto"/>
            <w:noWrap/>
            <w:vAlign w:val="bottom"/>
            <w:hideMark/>
          </w:tcPr>
          <w:p w14:paraId="315EDC29" w14:textId="77777777" w:rsidR="00596A40" w:rsidRPr="00943B0B" w:rsidRDefault="00596A40" w:rsidP="00596A40">
            <w:pPr>
              <w:spacing w:line="240" w:lineRule="auto"/>
              <w:jc w:val="center"/>
              <w:rPr>
                <w:rFonts w:cs="Times New Roman"/>
                <w:color w:val="000000"/>
              </w:rPr>
            </w:pPr>
            <w:r w:rsidRPr="00943B0B">
              <w:rPr>
                <w:rFonts w:cs="Times New Roman"/>
                <w:color w:val="000000"/>
              </w:rPr>
              <w:t>0.15</w:t>
            </w:r>
          </w:p>
        </w:tc>
        <w:tc>
          <w:tcPr>
            <w:tcW w:w="1060" w:type="dxa"/>
            <w:tcBorders>
              <w:top w:val="nil"/>
              <w:left w:val="nil"/>
              <w:bottom w:val="nil"/>
              <w:right w:val="nil"/>
            </w:tcBorders>
            <w:shd w:val="clear" w:color="auto" w:fill="auto"/>
            <w:noWrap/>
            <w:vAlign w:val="bottom"/>
            <w:hideMark/>
          </w:tcPr>
          <w:p w14:paraId="1F30EDA8" w14:textId="77777777" w:rsidR="00596A40" w:rsidRPr="00943B0B" w:rsidRDefault="00596A40" w:rsidP="00596A40">
            <w:pPr>
              <w:spacing w:line="240" w:lineRule="auto"/>
              <w:jc w:val="center"/>
              <w:rPr>
                <w:rFonts w:cs="Times New Roman"/>
                <w:color w:val="000000"/>
              </w:rPr>
            </w:pPr>
            <w:r w:rsidRPr="00943B0B">
              <w:rPr>
                <w:rFonts w:cs="Times New Roman"/>
                <w:color w:val="000000"/>
              </w:rPr>
              <w:t>0.17</w:t>
            </w:r>
          </w:p>
        </w:tc>
        <w:tc>
          <w:tcPr>
            <w:tcW w:w="1379" w:type="dxa"/>
            <w:tcBorders>
              <w:top w:val="nil"/>
              <w:left w:val="nil"/>
              <w:bottom w:val="nil"/>
              <w:right w:val="nil"/>
            </w:tcBorders>
            <w:shd w:val="clear" w:color="auto" w:fill="auto"/>
            <w:noWrap/>
            <w:vAlign w:val="bottom"/>
            <w:hideMark/>
          </w:tcPr>
          <w:p w14:paraId="331A1AED" w14:textId="77777777" w:rsidR="00596A40" w:rsidRPr="00943B0B" w:rsidRDefault="00596A40" w:rsidP="00596A40">
            <w:pPr>
              <w:spacing w:line="240" w:lineRule="auto"/>
              <w:jc w:val="center"/>
              <w:rPr>
                <w:rFonts w:cs="Times New Roman"/>
                <w:color w:val="000000"/>
              </w:rPr>
            </w:pPr>
            <w:r w:rsidRPr="00943B0B">
              <w:rPr>
                <w:rFonts w:cs="Times New Roman"/>
                <w:color w:val="000000"/>
              </w:rPr>
              <w:t>0.16</w:t>
            </w:r>
          </w:p>
        </w:tc>
        <w:tc>
          <w:tcPr>
            <w:tcW w:w="964" w:type="dxa"/>
            <w:tcBorders>
              <w:top w:val="nil"/>
              <w:left w:val="nil"/>
              <w:bottom w:val="nil"/>
              <w:right w:val="nil"/>
            </w:tcBorders>
            <w:shd w:val="clear" w:color="auto" w:fill="auto"/>
            <w:noWrap/>
            <w:vAlign w:val="bottom"/>
            <w:hideMark/>
          </w:tcPr>
          <w:p w14:paraId="0B87C839" w14:textId="77777777" w:rsidR="00596A40" w:rsidRPr="00943B0B" w:rsidRDefault="00596A40" w:rsidP="00596A40">
            <w:pPr>
              <w:spacing w:line="240" w:lineRule="auto"/>
              <w:jc w:val="center"/>
              <w:rPr>
                <w:rFonts w:cs="Times New Roman"/>
                <w:color w:val="000000"/>
              </w:rPr>
            </w:pPr>
            <w:r w:rsidRPr="00943B0B">
              <w:rPr>
                <w:rFonts w:cs="Times New Roman"/>
                <w:color w:val="000000"/>
              </w:rPr>
              <w:t>0.27</w:t>
            </w:r>
          </w:p>
        </w:tc>
        <w:tc>
          <w:tcPr>
            <w:tcW w:w="1060" w:type="dxa"/>
            <w:tcBorders>
              <w:top w:val="nil"/>
              <w:left w:val="nil"/>
              <w:bottom w:val="nil"/>
              <w:right w:val="nil"/>
            </w:tcBorders>
            <w:shd w:val="clear" w:color="auto" w:fill="auto"/>
            <w:noWrap/>
            <w:vAlign w:val="bottom"/>
            <w:hideMark/>
          </w:tcPr>
          <w:p w14:paraId="7318E92D" w14:textId="77777777" w:rsidR="00596A40" w:rsidRPr="00943B0B" w:rsidRDefault="00596A40" w:rsidP="00596A40">
            <w:pPr>
              <w:spacing w:line="240" w:lineRule="auto"/>
              <w:jc w:val="center"/>
              <w:rPr>
                <w:rFonts w:cs="Times New Roman"/>
                <w:color w:val="000000"/>
              </w:rPr>
            </w:pPr>
            <w:r w:rsidRPr="00943B0B">
              <w:rPr>
                <w:rFonts w:cs="Times New Roman"/>
                <w:color w:val="000000"/>
              </w:rPr>
              <w:t>0.37</w:t>
            </w:r>
          </w:p>
        </w:tc>
        <w:tc>
          <w:tcPr>
            <w:tcW w:w="1283" w:type="dxa"/>
            <w:tcBorders>
              <w:top w:val="nil"/>
              <w:left w:val="nil"/>
              <w:bottom w:val="nil"/>
              <w:right w:val="nil"/>
            </w:tcBorders>
            <w:shd w:val="clear" w:color="auto" w:fill="auto"/>
            <w:noWrap/>
            <w:vAlign w:val="bottom"/>
            <w:hideMark/>
          </w:tcPr>
          <w:p w14:paraId="1DB66593" w14:textId="77777777" w:rsidR="00596A40" w:rsidRPr="00943B0B" w:rsidRDefault="00596A40" w:rsidP="00596A40">
            <w:pPr>
              <w:spacing w:line="240" w:lineRule="auto"/>
              <w:jc w:val="center"/>
              <w:rPr>
                <w:rFonts w:cs="Times New Roman"/>
                <w:color w:val="000000"/>
              </w:rPr>
            </w:pPr>
            <w:r w:rsidRPr="00943B0B">
              <w:rPr>
                <w:rFonts w:cs="Times New Roman"/>
                <w:color w:val="000000"/>
              </w:rPr>
              <w:t>0.32</w:t>
            </w:r>
          </w:p>
        </w:tc>
      </w:tr>
      <w:tr w:rsidR="00596A40" w:rsidRPr="00943B0B" w14:paraId="57EB21E0" w14:textId="77777777" w:rsidTr="00CB63DC">
        <w:trPr>
          <w:trHeight w:val="420"/>
        </w:trPr>
        <w:tc>
          <w:tcPr>
            <w:tcW w:w="1123" w:type="dxa"/>
            <w:tcBorders>
              <w:top w:val="nil"/>
              <w:left w:val="nil"/>
              <w:bottom w:val="single" w:sz="8" w:space="0" w:color="auto"/>
              <w:right w:val="nil"/>
            </w:tcBorders>
            <w:shd w:val="clear" w:color="auto" w:fill="auto"/>
            <w:noWrap/>
            <w:vAlign w:val="bottom"/>
            <w:hideMark/>
          </w:tcPr>
          <w:p w14:paraId="7A2DBA5E" w14:textId="77777777" w:rsidR="00596A40" w:rsidRPr="00CB63DC" w:rsidRDefault="00596A40" w:rsidP="00596A40">
            <w:pPr>
              <w:spacing w:line="240" w:lineRule="auto"/>
              <w:rPr>
                <w:rFonts w:cs="Times New Roman"/>
                <w:b/>
                <w:color w:val="000000"/>
              </w:rPr>
            </w:pPr>
            <w:r w:rsidRPr="00CB63DC">
              <w:rPr>
                <w:rFonts w:cs="Times New Roman"/>
                <w:b/>
                <w:color w:val="000000"/>
              </w:rPr>
              <w:t>H</w:t>
            </w:r>
            <w:r w:rsidRPr="00CB63DC">
              <w:rPr>
                <w:rFonts w:cs="Times New Roman"/>
                <w:b/>
                <w:color w:val="000000"/>
                <w:vertAlign w:val="superscript"/>
              </w:rPr>
              <w:t>2</w:t>
            </w:r>
            <w:r w:rsidRPr="00CB63DC">
              <w:rPr>
                <w:rFonts w:cs="Times New Roman"/>
                <w:b/>
                <w:color w:val="000000"/>
                <w:vertAlign w:val="subscript"/>
              </w:rPr>
              <w:t>i</w:t>
            </w:r>
          </w:p>
        </w:tc>
        <w:tc>
          <w:tcPr>
            <w:tcW w:w="1060" w:type="dxa"/>
            <w:tcBorders>
              <w:top w:val="nil"/>
              <w:left w:val="nil"/>
              <w:bottom w:val="single" w:sz="8" w:space="0" w:color="auto"/>
              <w:right w:val="nil"/>
            </w:tcBorders>
            <w:shd w:val="clear" w:color="auto" w:fill="auto"/>
            <w:noWrap/>
            <w:vAlign w:val="bottom"/>
            <w:hideMark/>
          </w:tcPr>
          <w:p w14:paraId="47539EC3" w14:textId="77777777" w:rsidR="00596A40" w:rsidRPr="00943B0B" w:rsidRDefault="00596A40" w:rsidP="00596A40">
            <w:pPr>
              <w:spacing w:line="240" w:lineRule="auto"/>
              <w:jc w:val="center"/>
              <w:rPr>
                <w:rFonts w:cs="Times New Roman"/>
                <w:color w:val="000000"/>
              </w:rPr>
            </w:pPr>
            <w:r w:rsidRPr="00943B0B">
              <w:rPr>
                <w:rFonts w:cs="Times New Roman"/>
                <w:color w:val="000000"/>
              </w:rPr>
              <w:t>0.56</w:t>
            </w:r>
          </w:p>
        </w:tc>
        <w:tc>
          <w:tcPr>
            <w:tcW w:w="1060" w:type="dxa"/>
            <w:tcBorders>
              <w:top w:val="nil"/>
              <w:left w:val="nil"/>
              <w:bottom w:val="single" w:sz="8" w:space="0" w:color="auto"/>
              <w:right w:val="nil"/>
            </w:tcBorders>
            <w:shd w:val="clear" w:color="auto" w:fill="auto"/>
            <w:noWrap/>
            <w:vAlign w:val="bottom"/>
            <w:hideMark/>
          </w:tcPr>
          <w:p w14:paraId="6DFE66FE" w14:textId="77777777" w:rsidR="00596A40" w:rsidRPr="00943B0B" w:rsidRDefault="00596A40" w:rsidP="00596A40">
            <w:pPr>
              <w:spacing w:line="240" w:lineRule="auto"/>
              <w:jc w:val="center"/>
              <w:rPr>
                <w:rFonts w:cs="Times New Roman"/>
                <w:color w:val="000000"/>
              </w:rPr>
            </w:pPr>
            <w:r w:rsidRPr="00943B0B">
              <w:rPr>
                <w:rFonts w:cs="Times New Roman"/>
                <w:color w:val="000000"/>
              </w:rPr>
              <w:t>0.66</w:t>
            </w:r>
          </w:p>
        </w:tc>
        <w:tc>
          <w:tcPr>
            <w:tcW w:w="1283" w:type="dxa"/>
            <w:tcBorders>
              <w:top w:val="nil"/>
              <w:left w:val="nil"/>
              <w:bottom w:val="single" w:sz="8" w:space="0" w:color="auto"/>
              <w:right w:val="nil"/>
            </w:tcBorders>
            <w:shd w:val="clear" w:color="auto" w:fill="auto"/>
            <w:noWrap/>
            <w:vAlign w:val="bottom"/>
            <w:hideMark/>
          </w:tcPr>
          <w:p w14:paraId="53C21B67" w14:textId="77777777" w:rsidR="00596A40" w:rsidRPr="00943B0B" w:rsidRDefault="00596A40" w:rsidP="00596A40">
            <w:pPr>
              <w:spacing w:line="240" w:lineRule="auto"/>
              <w:jc w:val="center"/>
              <w:rPr>
                <w:rFonts w:cs="Times New Roman"/>
                <w:color w:val="000000"/>
              </w:rPr>
            </w:pPr>
            <w:r w:rsidRPr="00943B0B">
              <w:rPr>
                <w:rFonts w:cs="Times New Roman"/>
                <w:color w:val="000000"/>
              </w:rPr>
              <w:t>0.58</w:t>
            </w:r>
          </w:p>
        </w:tc>
        <w:tc>
          <w:tcPr>
            <w:tcW w:w="1060" w:type="dxa"/>
            <w:tcBorders>
              <w:top w:val="nil"/>
              <w:left w:val="nil"/>
              <w:bottom w:val="single" w:sz="8" w:space="0" w:color="auto"/>
              <w:right w:val="nil"/>
            </w:tcBorders>
            <w:shd w:val="clear" w:color="auto" w:fill="auto"/>
            <w:noWrap/>
            <w:vAlign w:val="bottom"/>
            <w:hideMark/>
          </w:tcPr>
          <w:p w14:paraId="58A22571" w14:textId="77777777" w:rsidR="00596A40" w:rsidRPr="00943B0B" w:rsidRDefault="00596A40" w:rsidP="00596A40">
            <w:pPr>
              <w:spacing w:line="240" w:lineRule="auto"/>
              <w:jc w:val="center"/>
              <w:rPr>
                <w:rFonts w:cs="Times New Roman"/>
                <w:color w:val="000000"/>
              </w:rPr>
            </w:pPr>
            <w:r w:rsidRPr="00943B0B">
              <w:rPr>
                <w:rFonts w:cs="Times New Roman"/>
                <w:color w:val="000000"/>
              </w:rPr>
              <w:t>0.42</w:t>
            </w:r>
          </w:p>
        </w:tc>
        <w:tc>
          <w:tcPr>
            <w:tcW w:w="1060" w:type="dxa"/>
            <w:tcBorders>
              <w:top w:val="nil"/>
              <w:left w:val="nil"/>
              <w:bottom w:val="single" w:sz="8" w:space="0" w:color="auto"/>
              <w:right w:val="nil"/>
            </w:tcBorders>
            <w:shd w:val="clear" w:color="auto" w:fill="auto"/>
            <w:noWrap/>
            <w:vAlign w:val="bottom"/>
            <w:hideMark/>
          </w:tcPr>
          <w:p w14:paraId="5F8356E3" w14:textId="77777777" w:rsidR="00596A40" w:rsidRPr="00943B0B" w:rsidRDefault="00596A40" w:rsidP="00596A40">
            <w:pPr>
              <w:spacing w:line="240" w:lineRule="auto"/>
              <w:jc w:val="center"/>
              <w:rPr>
                <w:rFonts w:cs="Times New Roman"/>
                <w:color w:val="000000"/>
              </w:rPr>
            </w:pPr>
            <w:r w:rsidRPr="00943B0B">
              <w:rPr>
                <w:rFonts w:cs="Times New Roman"/>
                <w:color w:val="000000"/>
              </w:rPr>
              <w:t>0.48</w:t>
            </w:r>
          </w:p>
        </w:tc>
        <w:tc>
          <w:tcPr>
            <w:tcW w:w="1379" w:type="dxa"/>
            <w:tcBorders>
              <w:top w:val="nil"/>
              <w:left w:val="nil"/>
              <w:bottom w:val="single" w:sz="8" w:space="0" w:color="auto"/>
              <w:right w:val="nil"/>
            </w:tcBorders>
            <w:shd w:val="clear" w:color="auto" w:fill="auto"/>
            <w:noWrap/>
            <w:vAlign w:val="bottom"/>
            <w:hideMark/>
          </w:tcPr>
          <w:p w14:paraId="4CA91F73" w14:textId="77777777" w:rsidR="00596A40" w:rsidRPr="00943B0B" w:rsidRDefault="00596A40" w:rsidP="00596A40">
            <w:pPr>
              <w:spacing w:line="240" w:lineRule="auto"/>
              <w:jc w:val="center"/>
              <w:rPr>
                <w:rFonts w:cs="Times New Roman"/>
                <w:color w:val="000000"/>
              </w:rPr>
            </w:pPr>
            <w:r w:rsidRPr="00943B0B">
              <w:rPr>
                <w:rFonts w:cs="Times New Roman"/>
                <w:color w:val="000000"/>
              </w:rPr>
              <w:t>0.47</w:t>
            </w:r>
          </w:p>
        </w:tc>
        <w:tc>
          <w:tcPr>
            <w:tcW w:w="964" w:type="dxa"/>
            <w:tcBorders>
              <w:top w:val="nil"/>
              <w:left w:val="nil"/>
              <w:bottom w:val="single" w:sz="8" w:space="0" w:color="auto"/>
              <w:right w:val="nil"/>
            </w:tcBorders>
            <w:shd w:val="clear" w:color="auto" w:fill="auto"/>
            <w:noWrap/>
            <w:vAlign w:val="bottom"/>
            <w:hideMark/>
          </w:tcPr>
          <w:p w14:paraId="0F286894" w14:textId="77777777" w:rsidR="00596A40" w:rsidRPr="00943B0B" w:rsidRDefault="00596A40" w:rsidP="00596A40">
            <w:pPr>
              <w:spacing w:line="240" w:lineRule="auto"/>
              <w:jc w:val="center"/>
              <w:rPr>
                <w:rFonts w:cs="Times New Roman"/>
                <w:color w:val="000000"/>
              </w:rPr>
            </w:pPr>
            <w:r w:rsidRPr="00943B0B">
              <w:rPr>
                <w:rFonts w:cs="Times New Roman"/>
                <w:color w:val="000000"/>
              </w:rPr>
              <w:t>0.45</w:t>
            </w:r>
          </w:p>
        </w:tc>
        <w:tc>
          <w:tcPr>
            <w:tcW w:w="1060" w:type="dxa"/>
            <w:tcBorders>
              <w:top w:val="nil"/>
              <w:left w:val="nil"/>
              <w:bottom w:val="single" w:sz="8" w:space="0" w:color="auto"/>
              <w:right w:val="nil"/>
            </w:tcBorders>
            <w:shd w:val="clear" w:color="auto" w:fill="auto"/>
            <w:noWrap/>
            <w:vAlign w:val="bottom"/>
            <w:hideMark/>
          </w:tcPr>
          <w:p w14:paraId="1C40BB87" w14:textId="77777777" w:rsidR="00596A40" w:rsidRPr="00943B0B" w:rsidRDefault="00596A40" w:rsidP="00596A40">
            <w:pPr>
              <w:spacing w:line="240" w:lineRule="auto"/>
              <w:jc w:val="center"/>
              <w:rPr>
                <w:rFonts w:cs="Times New Roman"/>
                <w:color w:val="000000"/>
              </w:rPr>
            </w:pPr>
            <w:r w:rsidRPr="00943B0B">
              <w:rPr>
                <w:rFonts w:cs="Times New Roman"/>
                <w:color w:val="000000"/>
              </w:rPr>
              <w:t>0.54</w:t>
            </w:r>
          </w:p>
        </w:tc>
        <w:tc>
          <w:tcPr>
            <w:tcW w:w="1283" w:type="dxa"/>
            <w:tcBorders>
              <w:top w:val="nil"/>
              <w:left w:val="nil"/>
              <w:bottom w:val="single" w:sz="8" w:space="0" w:color="auto"/>
              <w:right w:val="nil"/>
            </w:tcBorders>
            <w:shd w:val="clear" w:color="auto" w:fill="auto"/>
            <w:noWrap/>
            <w:vAlign w:val="bottom"/>
            <w:hideMark/>
          </w:tcPr>
          <w:p w14:paraId="7A66E1A3" w14:textId="77777777" w:rsidR="00596A40" w:rsidRPr="00943B0B" w:rsidRDefault="00596A40" w:rsidP="00596A40">
            <w:pPr>
              <w:spacing w:line="240" w:lineRule="auto"/>
              <w:jc w:val="center"/>
              <w:rPr>
                <w:rFonts w:cs="Times New Roman"/>
                <w:color w:val="000000"/>
              </w:rPr>
            </w:pPr>
            <w:r w:rsidRPr="00943B0B">
              <w:rPr>
                <w:rFonts w:cs="Times New Roman"/>
                <w:color w:val="000000"/>
              </w:rPr>
              <w:t>0.50</w:t>
            </w:r>
          </w:p>
        </w:tc>
      </w:tr>
    </w:tbl>
    <w:p w14:paraId="727F6B5C" w14:textId="77777777" w:rsidR="00CB63DC" w:rsidRDefault="00CB63DC" w:rsidP="00596A40">
      <w:pPr>
        <w:rPr>
          <w:b/>
        </w:rPr>
      </w:pPr>
    </w:p>
    <w:p w14:paraId="1D469239" w14:textId="77777777" w:rsidR="00596A40" w:rsidRPr="00CE44F9" w:rsidRDefault="00CE44F9" w:rsidP="00596A40">
      <w:pPr>
        <w:rPr>
          <w:rFonts w:eastAsiaTheme="minorHAnsi"/>
          <w:b/>
        </w:rPr>
      </w:pPr>
      <w:r w:rsidRPr="00CE44F9">
        <w:rPr>
          <w:b/>
        </w:rPr>
        <w:lastRenderedPageBreak/>
        <w:t>Table 2-</w:t>
      </w:r>
      <w:r w:rsidR="00AB1E56">
        <w:rPr>
          <w:b/>
        </w:rPr>
        <w:t>4</w:t>
      </w:r>
      <w:r w:rsidRPr="00CE44F9">
        <w:rPr>
          <w:b/>
        </w:rPr>
        <w:t>, continued</w:t>
      </w:r>
    </w:p>
    <w:p w14:paraId="37645A77" w14:textId="77777777" w:rsidR="00596A40" w:rsidRPr="00CB63DC" w:rsidRDefault="00235C84" w:rsidP="00596A40">
      <w:pPr>
        <w:spacing w:line="240" w:lineRule="auto"/>
        <w:rPr>
          <w:rFonts w:eastAsiaTheme="minorHAnsi"/>
          <w:b/>
        </w:rPr>
      </w:pPr>
      <w:r w:rsidRPr="00CB63DC">
        <w:rPr>
          <w:b/>
        </w:rPr>
        <w:t>Table 2-</w:t>
      </w:r>
      <w:r w:rsidR="00AB1E56">
        <w:rPr>
          <w:b/>
        </w:rPr>
        <w:t>4</w:t>
      </w:r>
      <w:r w:rsidRPr="00CB63DC">
        <w:rPr>
          <w:b/>
        </w:rPr>
        <w:t xml:space="preserve"> </w:t>
      </w:r>
      <w:r w:rsidR="00CB63DC" w:rsidRPr="00CB63DC">
        <w:rPr>
          <w:rFonts w:eastAsiaTheme="minorHAnsi"/>
          <w:b/>
        </w:rPr>
        <w:t>B</w:t>
      </w:r>
      <w:r w:rsidR="00596A40" w:rsidRPr="00CB63DC">
        <w:rPr>
          <w:rFonts w:eastAsiaTheme="minorHAnsi"/>
          <w:b/>
        </w:rPr>
        <w:t>.</w:t>
      </w:r>
    </w:p>
    <w:tbl>
      <w:tblPr>
        <w:tblW w:w="10109" w:type="dxa"/>
        <w:tblInd w:w="93" w:type="dxa"/>
        <w:tblLook w:val="04A0" w:firstRow="1" w:lastRow="0" w:firstColumn="1" w:lastColumn="0" w:noHBand="0" w:noVBand="1"/>
      </w:tblPr>
      <w:tblGrid>
        <w:gridCol w:w="1183"/>
        <w:gridCol w:w="1060"/>
        <w:gridCol w:w="1060"/>
        <w:gridCol w:w="1283"/>
        <w:gridCol w:w="1060"/>
        <w:gridCol w:w="1060"/>
        <w:gridCol w:w="1283"/>
        <w:gridCol w:w="1060"/>
        <w:gridCol w:w="1060"/>
      </w:tblGrid>
      <w:tr w:rsidR="00596A40" w:rsidRPr="00943B0B" w14:paraId="4A9F11B0" w14:textId="77777777" w:rsidTr="00794998">
        <w:trPr>
          <w:trHeight w:val="315"/>
        </w:trPr>
        <w:tc>
          <w:tcPr>
            <w:tcW w:w="1183" w:type="dxa"/>
            <w:tcBorders>
              <w:top w:val="single" w:sz="8" w:space="0" w:color="auto"/>
              <w:left w:val="nil"/>
              <w:bottom w:val="nil"/>
              <w:right w:val="nil"/>
            </w:tcBorders>
            <w:shd w:val="clear" w:color="auto" w:fill="auto"/>
            <w:noWrap/>
            <w:vAlign w:val="center"/>
            <w:hideMark/>
          </w:tcPr>
          <w:p w14:paraId="1FEF6531" w14:textId="77777777" w:rsidR="00596A40" w:rsidRPr="00CB63DC" w:rsidRDefault="00596A40" w:rsidP="00596A40">
            <w:pPr>
              <w:spacing w:line="240" w:lineRule="auto"/>
              <w:rPr>
                <w:rFonts w:cs="Times New Roman"/>
                <w:b/>
                <w:bCs/>
                <w:color w:val="000000"/>
              </w:rPr>
            </w:pPr>
            <w:r w:rsidRPr="00CB63DC">
              <w:rPr>
                <w:rFonts w:eastAsiaTheme="minorHAnsi"/>
                <w:b/>
              </w:rPr>
              <w:br w:type="page"/>
            </w:r>
            <w:r w:rsidRPr="00CB63DC">
              <w:rPr>
                <w:rFonts w:cs="Times New Roman"/>
                <w:b/>
                <w:bCs/>
                <w:color w:val="000000"/>
              </w:rPr>
              <w:t> </w:t>
            </w:r>
          </w:p>
        </w:tc>
        <w:tc>
          <w:tcPr>
            <w:tcW w:w="3403" w:type="dxa"/>
            <w:gridSpan w:val="3"/>
            <w:tcBorders>
              <w:top w:val="single" w:sz="8" w:space="0" w:color="auto"/>
              <w:left w:val="nil"/>
              <w:bottom w:val="nil"/>
              <w:right w:val="nil"/>
            </w:tcBorders>
            <w:shd w:val="clear" w:color="auto" w:fill="auto"/>
            <w:noWrap/>
            <w:vAlign w:val="bottom"/>
            <w:hideMark/>
          </w:tcPr>
          <w:p w14:paraId="3E09DA19" w14:textId="3A6B5B7C" w:rsidR="00596A40" w:rsidRPr="00CB63DC" w:rsidRDefault="00B8390A" w:rsidP="00B8390A">
            <w:pPr>
              <w:spacing w:line="240" w:lineRule="auto"/>
              <w:jc w:val="center"/>
              <w:rPr>
                <w:rFonts w:cs="Times New Roman"/>
                <w:b/>
                <w:color w:val="000000"/>
                <w:u w:val="single"/>
              </w:rPr>
            </w:pPr>
            <w:r>
              <w:rPr>
                <w:rFonts w:cs="Times New Roman"/>
                <w:b/>
                <w:color w:val="000000"/>
                <w:u w:val="single"/>
              </w:rPr>
              <w:t>Leaf Width</w:t>
            </w:r>
          </w:p>
        </w:tc>
        <w:tc>
          <w:tcPr>
            <w:tcW w:w="3403" w:type="dxa"/>
            <w:gridSpan w:val="3"/>
            <w:tcBorders>
              <w:top w:val="single" w:sz="8" w:space="0" w:color="auto"/>
              <w:left w:val="nil"/>
              <w:bottom w:val="nil"/>
              <w:right w:val="nil"/>
            </w:tcBorders>
            <w:shd w:val="clear" w:color="auto" w:fill="auto"/>
            <w:vAlign w:val="bottom"/>
            <w:hideMark/>
          </w:tcPr>
          <w:p w14:paraId="1B00CDFF" w14:textId="24422355" w:rsidR="00596A40" w:rsidRPr="00CB63DC" w:rsidRDefault="00DA675F" w:rsidP="00B8390A">
            <w:pPr>
              <w:spacing w:line="240" w:lineRule="auto"/>
              <w:jc w:val="center"/>
              <w:rPr>
                <w:rFonts w:cs="Times New Roman"/>
                <w:b/>
                <w:color w:val="000000"/>
                <w:u w:val="single"/>
              </w:rPr>
            </w:pPr>
            <w:r>
              <w:rPr>
                <w:rFonts w:cs="Times New Roman"/>
                <w:b/>
                <w:color w:val="000000"/>
                <w:u w:val="single"/>
              </w:rPr>
              <w:t xml:space="preserve">Canopy </w:t>
            </w:r>
            <w:r w:rsidR="00B8390A">
              <w:rPr>
                <w:rFonts w:cs="Times New Roman"/>
                <w:b/>
                <w:color w:val="000000"/>
                <w:u w:val="single"/>
              </w:rPr>
              <w:t>D</w:t>
            </w:r>
            <w:r>
              <w:rPr>
                <w:rFonts w:cs="Times New Roman"/>
                <w:b/>
                <w:color w:val="000000"/>
                <w:u w:val="single"/>
              </w:rPr>
              <w:t>ensity</w:t>
            </w:r>
          </w:p>
        </w:tc>
        <w:tc>
          <w:tcPr>
            <w:tcW w:w="2120" w:type="dxa"/>
            <w:gridSpan w:val="2"/>
            <w:tcBorders>
              <w:top w:val="single" w:sz="8" w:space="0" w:color="auto"/>
              <w:left w:val="nil"/>
              <w:bottom w:val="nil"/>
              <w:right w:val="nil"/>
            </w:tcBorders>
            <w:shd w:val="clear" w:color="auto" w:fill="auto"/>
            <w:noWrap/>
            <w:vAlign w:val="bottom"/>
            <w:hideMark/>
          </w:tcPr>
          <w:p w14:paraId="08EB6C1C" w14:textId="26D010C9" w:rsidR="00596A40" w:rsidRPr="00CB63DC" w:rsidRDefault="009C1A48" w:rsidP="00B8390A">
            <w:pPr>
              <w:spacing w:line="240" w:lineRule="auto"/>
              <w:jc w:val="center"/>
              <w:rPr>
                <w:rFonts w:cs="Times New Roman"/>
                <w:b/>
                <w:color w:val="000000"/>
                <w:u w:val="single"/>
              </w:rPr>
            </w:pPr>
            <w:r>
              <w:rPr>
                <w:rFonts w:cs="Times New Roman"/>
                <w:b/>
                <w:color w:val="000000"/>
                <w:u w:val="single"/>
              </w:rPr>
              <w:t xml:space="preserve">Rust </w:t>
            </w:r>
            <w:r w:rsidR="00B8390A">
              <w:rPr>
                <w:rFonts w:cs="Times New Roman"/>
                <w:b/>
                <w:color w:val="000000"/>
                <w:u w:val="single"/>
              </w:rPr>
              <w:t>S</w:t>
            </w:r>
            <w:r>
              <w:rPr>
                <w:rFonts w:cs="Times New Roman"/>
                <w:b/>
                <w:color w:val="000000"/>
                <w:u w:val="single"/>
              </w:rPr>
              <w:t>everity</w:t>
            </w:r>
          </w:p>
        </w:tc>
      </w:tr>
      <w:tr w:rsidR="00596A40" w:rsidRPr="00943B0B" w14:paraId="50D0782B" w14:textId="77777777" w:rsidTr="00794998">
        <w:trPr>
          <w:trHeight w:val="645"/>
        </w:trPr>
        <w:tc>
          <w:tcPr>
            <w:tcW w:w="1183" w:type="dxa"/>
            <w:tcBorders>
              <w:top w:val="nil"/>
              <w:left w:val="nil"/>
              <w:bottom w:val="single" w:sz="8" w:space="0" w:color="auto"/>
              <w:right w:val="nil"/>
            </w:tcBorders>
            <w:shd w:val="clear" w:color="auto" w:fill="auto"/>
            <w:vAlign w:val="bottom"/>
            <w:hideMark/>
          </w:tcPr>
          <w:p w14:paraId="53766A86" w14:textId="77777777" w:rsidR="00596A40" w:rsidRPr="00CB63DC" w:rsidRDefault="00596A40" w:rsidP="00596A40">
            <w:pPr>
              <w:spacing w:line="240" w:lineRule="auto"/>
              <w:rPr>
                <w:rFonts w:cs="Times New Roman"/>
                <w:b/>
                <w:color w:val="000000"/>
              </w:rPr>
            </w:pPr>
            <w:r w:rsidRPr="00CB63DC">
              <w:rPr>
                <w:rFonts w:cs="Times New Roman"/>
                <w:b/>
                <w:color w:val="000000"/>
              </w:rPr>
              <w:t> </w:t>
            </w:r>
            <w:r w:rsidR="00CE44F9" w:rsidRPr="00CB63DC">
              <w:rPr>
                <w:rFonts w:cs="Times New Roman"/>
                <w:b/>
                <w:color w:val="000000"/>
              </w:rPr>
              <w:t>Estimate</w:t>
            </w:r>
          </w:p>
        </w:tc>
        <w:tc>
          <w:tcPr>
            <w:tcW w:w="1060" w:type="dxa"/>
            <w:tcBorders>
              <w:top w:val="nil"/>
              <w:left w:val="nil"/>
              <w:bottom w:val="single" w:sz="8" w:space="0" w:color="auto"/>
              <w:right w:val="nil"/>
            </w:tcBorders>
            <w:shd w:val="clear" w:color="auto" w:fill="auto"/>
            <w:vAlign w:val="bottom"/>
            <w:hideMark/>
          </w:tcPr>
          <w:p w14:paraId="00E16B81" w14:textId="77777777" w:rsidR="00596A40" w:rsidRPr="00CB63DC" w:rsidRDefault="00596A40" w:rsidP="00596A40">
            <w:pPr>
              <w:spacing w:line="240" w:lineRule="auto"/>
              <w:jc w:val="center"/>
              <w:rPr>
                <w:rFonts w:cs="Times New Roman"/>
                <w:b/>
                <w:color w:val="000000"/>
              </w:rPr>
            </w:pPr>
            <w:r w:rsidRPr="00CB63DC">
              <w:rPr>
                <w:rFonts w:cs="Times New Roman"/>
                <w:b/>
                <w:color w:val="000000"/>
              </w:rPr>
              <w:t>2013</w:t>
            </w:r>
          </w:p>
        </w:tc>
        <w:tc>
          <w:tcPr>
            <w:tcW w:w="1060" w:type="dxa"/>
            <w:tcBorders>
              <w:top w:val="nil"/>
              <w:left w:val="nil"/>
              <w:bottom w:val="single" w:sz="8" w:space="0" w:color="auto"/>
              <w:right w:val="nil"/>
            </w:tcBorders>
            <w:shd w:val="clear" w:color="auto" w:fill="auto"/>
            <w:vAlign w:val="bottom"/>
            <w:hideMark/>
          </w:tcPr>
          <w:p w14:paraId="62E5D8A7" w14:textId="77777777" w:rsidR="00596A40" w:rsidRPr="00CB63DC" w:rsidRDefault="00596A40" w:rsidP="00596A40">
            <w:pPr>
              <w:spacing w:line="240" w:lineRule="auto"/>
              <w:jc w:val="center"/>
              <w:rPr>
                <w:rFonts w:cs="Times New Roman"/>
                <w:b/>
                <w:color w:val="000000"/>
              </w:rPr>
            </w:pPr>
            <w:r w:rsidRPr="00CB63DC">
              <w:rPr>
                <w:rFonts w:cs="Times New Roman"/>
                <w:b/>
                <w:color w:val="000000"/>
              </w:rPr>
              <w:t>2014</w:t>
            </w:r>
          </w:p>
        </w:tc>
        <w:tc>
          <w:tcPr>
            <w:tcW w:w="1283" w:type="dxa"/>
            <w:tcBorders>
              <w:top w:val="nil"/>
              <w:left w:val="nil"/>
              <w:bottom w:val="single" w:sz="8" w:space="0" w:color="auto"/>
              <w:right w:val="nil"/>
            </w:tcBorders>
            <w:shd w:val="clear" w:color="auto" w:fill="auto"/>
            <w:vAlign w:val="bottom"/>
            <w:hideMark/>
          </w:tcPr>
          <w:p w14:paraId="26B55FA1" w14:textId="77777777" w:rsidR="00596A40" w:rsidRPr="00CB63DC" w:rsidRDefault="00596A40" w:rsidP="00596A40">
            <w:pPr>
              <w:spacing w:line="240" w:lineRule="auto"/>
              <w:jc w:val="center"/>
              <w:rPr>
                <w:rFonts w:cs="Times New Roman"/>
                <w:b/>
                <w:color w:val="000000"/>
              </w:rPr>
            </w:pPr>
            <w:r w:rsidRPr="00CB63DC">
              <w:rPr>
                <w:rFonts w:cs="Times New Roman"/>
                <w:b/>
                <w:color w:val="000000"/>
              </w:rPr>
              <w:t>Combined</w:t>
            </w:r>
          </w:p>
        </w:tc>
        <w:tc>
          <w:tcPr>
            <w:tcW w:w="1060" w:type="dxa"/>
            <w:tcBorders>
              <w:top w:val="nil"/>
              <w:left w:val="nil"/>
              <w:bottom w:val="single" w:sz="8" w:space="0" w:color="auto"/>
              <w:right w:val="nil"/>
            </w:tcBorders>
            <w:shd w:val="clear" w:color="auto" w:fill="auto"/>
            <w:vAlign w:val="bottom"/>
            <w:hideMark/>
          </w:tcPr>
          <w:p w14:paraId="17226414" w14:textId="77777777" w:rsidR="00596A40" w:rsidRPr="00CB63DC" w:rsidRDefault="00596A40" w:rsidP="00596A40">
            <w:pPr>
              <w:spacing w:line="240" w:lineRule="auto"/>
              <w:jc w:val="center"/>
              <w:rPr>
                <w:rFonts w:cs="Times New Roman"/>
                <w:b/>
                <w:color w:val="000000"/>
              </w:rPr>
            </w:pPr>
            <w:r w:rsidRPr="00CB63DC">
              <w:rPr>
                <w:rFonts w:cs="Times New Roman"/>
                <w:b/>
                <w:color w:val="000000"/>
              </w:rPr>
              <w:t>2013</w:t>
            </w:r>
          </w:p>
        </w:tc>
        <w:tc>
          <w:tcPr>
            <w:tcW w:w="1060" w:type="dxa"/>
            <w:tcBorders>
              <w:top w:val="nil"/>
              <w:left w:val="nil"/>
              <w:bottom w:val="single" w:sz="8" w:space="0" w:color="auto"/>
              <w:right w:val="nil"/>
            </w:tcBorders>
            <w:shd w:val="clear" w:color="auto" w:fill="auto"/>
            <w:vAlign w:val="bottom"/>
            <w:hideMark/>
          </w:tcPr>
          <w:p w14:paraId="1D661CC6" w14:textId="77777777" w:rsidR="00596A40" w:rsidRPr="00CB63DC" w:rsidRDefault="00596A40" w:rsidP="00596A40">
            <w:pPr>
              <w:spacing w:line="240" w:lineRule="auto"/>
              <w:jc w:val="center"/>
              <w:rPr>
                <w:rFonts w:cs="Times New Roman"/>
                <w:b/>
                <w:color w:val="000000"/>
              </w:rPr>
            </w:pPr>
            <w:r w:rsidRPr="00CB63DC">
              <w:rPr>
                <w:rFonts w:cs="Times New Roman"/>
                <w:b/>
                <w:color w:val="000000"/>
              </w:rPr>
              <w:t>2014</w:t>
            </w:r>
          </w:p>
        </w:tc>
        <w:tc>
          <w:tcPr>
            <w:tcW w:w="1283" w:type="dxa"/>
            <w:tcBorders>
              <w:top w:val="nil"/>
              <w:left w:val="nil"/>
              <w:bottom w:val="single" w:sz="8" w:space="0" w:color="auto"/>
              <w:right w:val="nil"/>
            </w:tcBorders>
            <w:shd w:val="clear" w:color="auto" w:fill="auto"/>
            <w:vAlign w:val="bottom"/>
            <w:hideMark/>
          </w:tcPr>
          <w:p w14:paraId="716A92AC" w14:textId="77777777" w:rsidR="00596A40" w:rsidRPr="00CB63DC" w:rsidRDefault="00596A40" w:rsidP="00596A40">
            <w:pPr>
              <w:spacing w:line="240" w:lineRule="auto"/>
              <w:jc w:val="center"/>
              <w:rPr>
                <w:rFonts w:cs="Times New Roman"/>
                <w:b/>
                <w:color w:val="000000"/>
              </w:rPr>
            </w:pPr>
            <w:r w:rsidRPr="00CB63DC">
              <w:rPr>
                <w:rFonts w:cs="Times New Roman"/>
                <w:b/>
                <w:color w:val="000000"/>
              </w:rPr>
              <w:t>Combined</w:t>
            </w:r>
          </w:p>
        </w:tc>
        <w:tc>
          <w:tcPr>
            <w:tcW w:w="1060" w:type="dxa"/>
            <w:tcBorders>
              <w:top w:val="nil"/>
              <w:left w:val="nil"/>
              <w:bottom w:val="single" w:sz="8" w:space="0" w:color="auto"/>
              <w:right w:val="nil"/>
            </w:tcBorders>
            <w:shd w:val="clear" w:color="auto" w:fill="auto"/>
            <w:vAlign w:val="bottom"/>
            <w:hideMark/>
          </w:tcPr>
          <w:p w14:paraId="2089B9E9" w14:textId="77777777" w:rsidR="00596A40" w:rsidRPr="00CB63DC" w:rsidRDefault="00596A40" w:rsidP="00596A40">
            <w:pPr>
              <w:spacing w:line="240" w:lineRule="auto"/>
              <w:jc w:val="center"/>
              <w:rPr>
                <w:rFonts w:cs="Times New Roman"/>
                <w:b/>
                <w:color w:val="000000"/>
              </w:rPr>
            </w:pPr>
            <w:r w:rsidRPr="00CB63DC">
              <w:rPr>
                <w:rFonts w:cs="Times New Roman"/>
                <w:b/>
                <w:color w:val="000000"/>
              </w:rPr>
              <w:t>Oct. 2012</w:t>
            </w:r>
          </w:p>
        </w:tc>
        <w:tc>
          <w:tcPr>
            <w:tcW w:w="1060" w:type="dxa"/>
            <w:tcBorders>
              <w:top w:val="nil"/>
              <w:left w:val="nil"/>
              <w:bottom w:val="single" w:sz="8" w:space="0" w:color="auto"/>
              <w:right w:val="nil"/>
            </w:tcBorders>
            <w:shd w:val="clear" w:color="auto" w:fill="auto"/>
            <w:vAlign w:val="bottom"/>
            <w:hideMark/>
          </w:tcPr>
          <w:p w14:paraId="5EADE8FF" w14:textId="77777777" w:rsidR="00596A40" w:rsidRPr="00CB63DC" w:rsidRDefault="00596A40" w:rsidP="00596A40">
            <w:pPr>
              <w:spacing w:line="240" w:lineRule="auto"/>
              <w:jc w:val="center"/>
              <w:rPr>
                <w:rFonts w:cs="Times New Roman"/>
                <w:b/>
                <w:color w:val="000000"/>
              </w:rPr>
            </w:pPr>
            <w:r w:rsidRPr="00CB63DC">
              <w:rPr>
                <w:rFonts w:cs="Times New Roman"/>
                <w:b/>
                <w:color w:val="000000"/>
              </w:rPr>
              <w:t>Aug. 2013</w:t>
            </w:r>
          </w:p>
        </w:tc>
      </w:tr>
      <w:tr w:rsidR="00596A40" w:rsidRPr="00943B0B" w14:paraId="4A5B7479" w14:textId="77777777" w:rsidTr="00794998">
        <w:trPr>
          <w:trHeight w:val="405"/>
        </w:trPr>
        <w:tc>
          <w:tcPr>
            <w:tcW w:w="1183" w:type="dxa"/>
            <w:tcBorders>
              <w:top w:val="nil"/>
              <w:left w:val="nil"/>
              <w:bottom w:val="nil"/>
              <w:right w:val="nil"/>
            </w:tcBorders>
            <w:shd w:val="clear" w:color="auto" w:fill="auto"/>
            <w:noWrap/>
            <w:vAlign w:val="bottom"/>
            <w:hideMark/>
          </w:tcPr>
          <w:p w14:paraId="689EFB49" w14:textId="77777777" w:rsidR="00596A40" w:rsidRPr="00CB63DC" w:rsidRDefault="00596A40" w:rsidP="00596A40">
            <w:pPr>
              <w:spacing w:line="240" w:lineRule="auto"/>
              <w:rPr>
                <w:rFonts w:cs="Times New Roman"/>
                <w:b/>
                <w:color w:val="000000"/>
              </w:rPr>
            </w:pPr>
            <w:r w:rsidRPr="00CB63DC">
              <w:rPr>
                <w:rFonts w:cs="Times New Roman"/>
                <w:b/>
                <w:color w:val="000000"/>
              </w:rPr>
              <w:t>σ</w:t>
            </w:r>
            <w:r w:rsidRPr="00CB63DC">
              <w:rPr>
                <w:rFonts w:cs="Times New Roman"/>
                <w:b/>
                <w:color w:val="000000"/>
                <w:vertAlign w:val="superscript"/>
              </w:rPr>
              <w:t>2</w:t>
            </w:r>
            <w:r w:rsidRPr="00CB63DC">
              <w:rPr>
                <w:rFonts w:cs="Times New Roman"/>
                <w:b/>
                <w:color w:val="000000"/>
                <w:vertAlign w:val="subscript"/>
              </w:rPr>
              <w:t>A</w:t>
            </w:r>
          </w:p>
        </w:tc>
        <w:tc>
          <w:tcPr>
            <w:tcW w:w="1060" w:type="dxa"/>
            <w:tcBorders>
              <w:top w:val="nil"/>
              <w:left w:val="nil"/>
              <w:bottom w:val="nil"/>
              <w:right w:val="nil"/>
            </w:tcBorders>
            <w:shd w:val="clear" w:color="auto" w:fill="auto"/>
            <w:noWrap/>
            <w:vAlign w:val="bottom"/>
            <w:hideMark/>
          </w:tcPr>
          <w:p w14:paraId="361B0E6A" w14:textId="77777777" w:rsidR="00596A40" w:rsidRPr="00943B0B" w:rsidRDefault="00596A40" w:rsidP="00596A40">
            <w:pPr>
              <w:spacing w:line="240" w:lineRule="auto"/>
              <w:jc w:val="center"/>
              <w:rPr>
                <w:rFonts w:cs="Times New Roman"/>
                <w:color w:val="000000"/>
              </w:rPr>
            </w:pPr>
            <w:r w:rsidRPr="00943B0B">
              <w:rPr>
                <w:rFonts w:cs="Times New Roman"/>
                <w:color w:val="000000"/>
              </w:rPr>
              <w:t>1.6</w:t>
            </w:r>
          </w:p>
        </w:tc>
        <w:tc>
          <w:tcPr>
            <w:tcW w:w="1060" w:type="dxa"/>
            <w:tcBorders>
              <w:top w:val="nil"/>
              <w:left w:val="nil"/>
              <w:bottom w:val="nil"/>
              <w:right w:val="nil"/>
            </w:tcBorders>
            <w:shd w:val="clear" w:color="auto" w:fill="auto"/>
            <w:noWrap/>
            <w:vAlign w:val="bottom"/>
            <w:hideMark/>
          </w:tcPr>
          <w:p w14:paraId="4704CBC1" w14:textId="77777777" w:rsidR="00596A40" w:rsidRPr="00943B0B" w:rsidRDefault="00596A40" w:rsidP="00596A40">
            <w:pPr>
              <w:spacing w:line="240" w:lineRule="auto"/>
              <w:jc w:val="center"/>
              <w:rPr>
                <w:rFonts w:cs="Times New Roman"/>
                <w:color w:val="000000"/>
              </w:rPr>
            </w:pPr>
            <w:r w:rsidRPr="00943B0B">
              <w:rPr>
                <w:rFonts w:cs="Times New Roman"/>
                <w:color w:val="000000"/>
              </w:rPr>
              <w:t>2.2</w:t>
            </w:r>
          </w:p>
        </w:tc>
        <w:tc>
          <w:tcPr>
            <w:tcW w:w="1283" w:type="dxa"/>
            <w:tcBorders>
              <w:top w:val="nil"/>
              <w:left w:val="nil"/>
              <w:bottom w:val="nil"/>
              <w:right w:val="nil"/>
            </w:tcBorders>
            <w:shd w:val="clear" w:color="auto" w:fill="auto"/>
            <w:noWrap/>
            <w:vAlign w:val="bottom"/>
            <w:hideMark/>
          </w:tcPr>
          <w:p w14:paraId="1E097D63" w14:textId="77777777" w:rsidR="00596A40" w:rsidRPr="00943B0B" w:rsidRDefault="00596A40" w:rsidP="00596A40">
            <w:pPr>
              <w:spacing w:line="240" w:lineRule="auto"/>
              <w:jc w:val="center"/>
              <w:rPr>
                <w:rFonts w:cs="Times New Roman"/>
                <w:color w:val="000000"/>
              </w:rPr>
            </w:pPr>
            <w:r w:rsidRPr="00943B0B">
              <w:rPr>
                <w:rFonts w:cs="Times New Roman"/>
                <w:color w:val="000000"/>
              </w:rPr>
              <w:t>1.67</w:t>
            </w:r>
          </w:p>
        </w:tc>
        <w:tc>
          <w:tcPr>
            <w:tcW w:w="1060" w:type="dxa"/>
            <w:tcBorders>
              <w:top w:val="nil"/>
              <w:left w:val="nil"/>
              <w:bottom w:val="nil"/>
              <w:right w:val="nil"/>
            </w:tcBorders>
            <w:shd w:val="clear" w:color="auto" w:fill="auto"/>
            <w:noWrap/>
            <w:vAlign w:val="bottom"/>
            <w:hideMark/>
          </w:tcPr>
          <w:p w14:paraId="6D1C035F" w14:textId="77777777" w:rsidR="00596A40" w:rsidRPr="00943B0B" w:rsidRDefault="00596A40" w:rsidP="00596A40">
            <w:pPr>
              <w:spacing w:line="240" w:lineRule="auto"/>
              <w:jc w:val="center"/>
              <w:rPr>
                <w:rFonts w:cs="Times New Roman"/>
                <w:color w:val="000000"/>
              </w:rPr>
            </w:pPr>
            <w:r w:rsidRPr="00943B0B">
              <w:rPr>
                <w:rFonts w:cs="Times New Roman"/>
                <w:color w:val="000000"/>
              </w:rPr>
              <w:t>0.1</w:t>
            </w:r>
          </w:p>
        </w:tc>
        <w:tc>
          <w:tcPr>
            <w:tcW w:w="1060" w:type="dxa"/>
            <w:tcBorders>
              <w:top w:val="nil"/>
              <w:left w:val="nil"/>
              <w:bottom w:val="nil"/>
              <w:right w:val="nil"/>
            </w:tcBorders>
            <w:shd w:val="clear" w:color="auto" w:fill="auto"/>
            <w:noWrap/>
            <w:vAlign w:val="bottom"/>
            <w:hideMark/>
          </w:tcPr>
          <w:p w14:paraId="66BA4D7E" w14:textId="77777777" w:rsidR="00596A40" w:rsidRPr="00943B0B" w:rsidRDefault="00596A40" w:rsidP="00596A40">
            <w:pPr>
              <w:spacing w:line="240" w:lineRule="auto"/>
              <w:jc w:val="center"/>
              <w:rPr>
                <w:rFonts w:cs="Times New Roman"/>
                <w:color w:val="000000"/>
              </w:rPr>
            </w:pPr>
            <w:r w:rsidRPr="00943B0B">
              <w:rPr>
                <w:rFonts w:cs="Times New Roman"/>
                <w:color w:val="000000"/>
              </w:rPr>
              <w:t>0.2</w:t>
            </w:r>
          </w:p>
        </w:tc>
        <w:tc>
          <w:tcPr>
            <w:tcW w:w="1283" w:type="dxa"/>
            <w:tcBorders>
              <w:top w:val="nil"/>
              <w:left w:val="nil"/>
              <w:bottom w:val="nil"/>
              <w:right w:val="nil"/>
            </w:tcBorders>
            <w:shd w:val="clear" w:color="auto" w:fill="auto"/>
            <w:noWrap/>
            <w:vAlign w:val="bottom"/>
            <w:hideMark/>
          </w:tcPr>
          <w:p w14:paraId="143BCFE4" w14:textId="77777777" w:rsidR="00596A40" w:rsidRPr="00943B0B" w:rsidRDefault="00596A40" w:rsidP="00596A40">
            <w:pPr>
              <w:spacing w:line="240" w:lineRule="auto"/>
              <w:jc w:val="center"/>
              <w:rPr>
                <w:rFonts w:cs="Times New Roman"/>
                <w:color w:val="000000"/>
              </w:rPr>
            </w:pPr>
            <w:r w:rsidRPr="00943B0B">
              <w:rPr>
                <w:rFonts w:cs="Times New Roman"/>
                <w:color w:val="000000"/>
              </w:rPr>
              <w:t>0.1</w:t>
            </w:r>
          </w:p>
        </w:tc>
        <w:tc>
          <w:tcPr>
            <w:tcW w:w="1060" w:type="dxa"/>
            <w:tcBorders>
              <w:top w:val="nil"/>
              <w:left w:val="nil"/>
              <w:bottom w:val="nil"/>
              <w:right w:val="nil"/>
            </w:tcBorders>
            <w:shd w:val="clear" w:color="auto" w:fill="auto"/>
            <w:noWrap/>
            <w:vAlign w:val="bottom"/>
            <w:hideMark/>
          </w:tcPr>
          <w:p w14:paraId="55A30DA2" w14:textId="77777777" w:rsidR="00596A40" w:rsidRPr="00943B0B" w:rsidRDefault="00596A40" w:rsidP="00596A40">
            <w:pPr>
              <w:spacing w:line="240" w:lineRule="auto"/>
              <w:jc w:val="center"/>
              <w:rPr>
                <w:rFonts w:cs="Times New Roman"/>
                <w:color w:val="000000"/>
              </w:rPr>
            </w:pPr>
            <w:r w:rsidRPr="00943B0B">
              <w:rPr>
                <w:rFonts w:cs="Times New Roman"/>
                <w:color w:val="000000"/>
              </w:rPr>
              <w:t>5.7</w:t>
            </w:r>
          </w:p>
        </w:tc>
        <w:tc>
          <w:tcPr>
            <w:tcW w:w="1060" w:type="dxa"/>
            <w:tcBorders>
              <w:top w:val="nil"/>
              <w:left w:val="nil"/>
              <w:bottom w:val="nil"/>
              <w:right w:val="nil"/>
            </w:tcBorders>
            <w:shd w:val="clear" w:color="auto" w:fill="auto"/>
            <w:noWrap/>
            <w:vAlign w:val="bottom"/>
            <w:hideMark/>
          </w:tcPr>
          <w:p w14:paraId="6B4ED558" w14:textId="77777777" w:rsidR="00596A40" w:rsidRPr="00943B0B" w:rsidRDefault="00596A40" w:rsidP="00596A40">
            <w:pPr>
              <w:spacing w:line="240" w:lineRule="auto"/>
              <w:jc w:val="center"/>
              <w:rPr>
                <w:rFonts w:cs="Times New Roman"/>
                <w:color w:val="000000"/>
              </w:rPr>
            </w:pPr>
            <w:r w:rsidRPr="00943B0B">
              <w:rPr>
                <w:rFonts w:cs="Times New Roman"/>
                <w:color w:val="000000"/>
              </w:rPr>
              <w:t>1.9</w:t>
            </w:r>
          </w:p>
        </w:tc>
      </w:tr>
      <w:tr w:rsidR="00596A40" w:rsidRPr="00943B0B" w14:paraId="1D3AFD04" w14:textId="77777777" w:rsidTr="00794998">
        <w:trPr>
          <w:trHeight w:val="405"/>
        </w:trPr>
        <w:tc>
          <w:tcPr>
            <w:tcW w:w="1183" w:type="dxa"/>
            <w:tcBorders>
              <w:top w:val="nil"/>
              <w:left w:val="nil"/>
              <w:bottom w:val="nil"/>
              <w:right w:val="nil"/>
            </w:tcBorders>
            <w:shd w:val="clear" w:color="auto" w:fill="auto"/>
            <w:noWrap/>
            <w:vAlign w:val="bottom"/>
            <w:hideMark/>
          </w:tcPr>
          <w:p w14:paraId="31902830" w14:textId="77777777" w:rsidR="00596A40" w:rsidRPr="00CB63DC" w:rsidRDefault="00596A40" w:rsidP="00596A40">
            <w:pPr>
              <w:spacing w:line="240" w:lineRule="auto"/>
              <w:rPr>
                <w:rFonts w:cs="Times New Roman"/>
                <w:b/>
                <w:color w:val="000000"/>
              </w:rPr>
            </w:pPr>
            <w:r w:rsidRPr="00CB63DC">
              <w:rPr>
                <w:rFonts w:cs="Times New Roman"/>
                <w:b/>
                <w:color w:val="000000"/>
              </w:rPr>
              <w:t>σ</w:t>
            </w:r>
            <w:r w:rsidRPr="00CB63DC">
              <w:rPr>
                <w:rFonts w:cs="Times New Roman"/>
                <w:b/>
                <w:color w:val="000000"/>
                <w:vertAlign w:val="superscript"/>
              </w:rPr>
              <w:t>2</w:t>
            </w:r>
            <w:r w:rsidRPr="00CB63DC">
              <w:rPr>
                <w:rFonts w:cs="Times New Roman"/>
                <w:b/>
                <w:color w:val="000000"/>
                <w:vertAlign w:val="subscript"/>
              </w:rPr>
              <w:t>D</w:t>
            </w:r>
          </w:p>
        </w:tc>
        <w:tc>
          <w:tcPr>
            <w:tcW w:w="1060" w:type="dxa"/>
            <w:tcBorders>
              <w:top w:val="nil"/>
              <w:left w:val="nil"/>
              <w:bottom w:val="nil"/>
              <w:right w:val="nil"/>
            </w:tcBorders>
            <w:shd w:val="clear" w:color="auto" w:fill="auto"/>
            <w:noWrap/>
            <w:vAlign w:val="bottom"/>
            <w:hideMark/>
          </w:tcPr>
          <w:p w14:paraId="0262984D" w14:textId="77777777" w:rsidR="00596A40" w:rsidRPr="00943B0B" w:rsidRDefault="00596A40" w:rsidP="00596A40">
            <w:pPr>
              <w:spacing w:line="240" w:lineRule="auto"/>
              <w:jc w:val="center"/>
              <w:rPr>
                <w:rFonts w:cs="Times New Roman"/>
                <w:color w:val="000000"/>
              </w:rPr>
            </w:pPr>
            <w:r w:rsidRPr="00943B0B">
              <w:rPr>
                <w:rFonts w:cs="Times New Roman"/>
                <w:color w:val="000000"/>
              </w:rPr>
              <w:t>1.5</w:t>
            </w:r>
          </w:p>
        </w:tc>
        <w:tc>
          <w:tcPr>
            <w:tcW w:w="1060" w:type="dxa"/>
            <w:tcBorders>
              <w:top w:val="nil"/>
              <w:left w:val="nil"/>
              <w:bottom w:val="nil"/>
              <w:right w:val="nil"/>
            </w:tcBorders>
            <w:shd w:val="clear" w:color="auto" w:fill="auto"/>
            <w:noWrap/>
            <w:vAlign w:val="bottom"/>
            <w:hideMark/>
          </w:tcPr>
          <w:p w14:paraId="1B7973CD" w14:textId="77777777" w:rsidR="00596A40" w:rsidRPr="00943B0B" w:rsidRDefault="00596A40" w:rsidP="00596A40">
            <w:pPr>
              <w:spacing w:line="240" w:lineRule="auto"/>
              <w:jc w:val="center"/>
              <w:rPr>
                <w:rFonts w:cs="Times New Roman"/>
                <w:color w:val="000000"/>
              </w:rPr>
            </w:pPr>
            <w:r w:rsidRPr="00943B0B">
              <w:rPr>
                <w:rFonts w:cs="Times New Roman"/>
                <w:color w:val="000000"/>
              </w:rPr>
              <w:t>2.2</w:t>
            </w:r>
          </w:p>
        </w:tc>
        <w:tc>
          <w:tcPr>
            <w:tcW w:w="1283" w:type="dxa"/>
            <w:tcBorders>
              <w:top w:val="nil"/>
              <w:left w:val="nil"/>
              <w:bottom w:val="nil"/>
              <w:right w:val="nil"/>
            </w:tcBorders>
            <w:shd w:val="clear" w:color="auto" w:fill="auto"/>
            <w:noWrap/>
            <w:vAlign w:val="bottom"/>
            <w:hideMark/>
          </w:tcPr>
          <w:p w14:paraId="1D5C514D" w14:textId="77777777" w:rsidR="00596A40" w:rsidRPr="00943B0B" w:rsidRDefault="00596A40" w:rsidP="00596A40">
            <w:pPr>
              <w:spacing w:line="240" w:lineRule="auto"/>
              <w:jc w:val="center"/>
              <w:rPr>
                <w:rFonts w:cs="Times New Roman"/>
                <w:color w:val="000000"/>
              </w:rPr>
            </w:pPr>
            <w:r w:rsidRPr="00943B0B">
              <w:rPr>
                <w:rFonts w:cs="Times New Roman"/>
                <w:color w:val="000000"/>
              </w:rPr>
              <w:t>1.62</w:t>
            </w:r>
          </w:p>
        </w:tc>
        <w:tc>
          <w:tcPr>
            <w:tcW w:w="1060" w:type="dxa"/>
            <w:tcBorders>
              <w:top w:val="nil"/>
              <w:left w:val="nil"/>
              <w:bottom w:val="nil"/>
              <w:right w:val="nil"/>
            </w:tcBorders>
            <w:shd w:val="clear" w:color="auto" w:fill="auto"/>
            <w:noWrap/>
            <w:vAlign w:val="bottom"/>
            <w:hideMark/>
          </w:tcPr>
          <w:p w14:paraId="79A7A892" w14:textId="77777777" w:rsidR="00596A40" w:rsidRPr="00943B0B" w:rsidRDefault="00596A40" w:rsidP="00596A40">
            <w:pPr>
              <w:spacing w:line="240" w:lineRule="auto"/>
              <w:jc w:val="center"/>
              <w:rPr>
                <w:rFonts w:cs="Times New Roman"/>
                <w:color w:val="000000"/>
              </w:rPr>
            </w:pPr>
            <w:r w:rsidRPr="00943B0B">
              <w:rPr>
                <w:rFonts w:cs="Times New Roman"/>
                <w:color w:val="000000"/>
              </w:rPr>
              <w:t>0.2</w:t>
            </w:r>
          </w:p>
        </w:tc>
        <w:tc>
          <w:tcPr>
            <w:tcW w:w="1060" w:type="dxa"/>
            <w:tcBorders>
              <w:top w:val="nil"/>
              <w:left w:val="nil"/>
              <w:bottom w:val="nil"/>
              <w:right w:val="nil"/>
            </w:tcBorders>
            <w:shd w:val="clear" w:color="auto" w:fill="auto"/>
            <w:noWrap/>
            <w:vAlign w:val="bottom"/>
            <w:hideMark/>
          </w:tcPr>
          <w:p w14:paraId="2FFAF2AF" w14:textId="77777777" w:rsidR="00596A40" w:rsidRPr="00943B0B" w:rsidRDefault="00596A40" w:rsidP="00596A40">
            <w:pPr>
              <w:spacing w:line="240" w:lineRule="auto"/>
              <w:jc w:val="center"/>
              <w:rPr>
                <w:rFonts w:cs="Times New Roman"/>
                <w:color w:val="000000"/>
              </w:rPr>
            </w:pPr>
            <w:r w:rsidRPr="00943B0B">
              <w:rPr>
                <w:rFonts w:cs="Times New Roman"/>
                <w:color w:val="000000"/>
              </w:rPr>
              <w:t>0.3</w:t>
            </w:r>
          </w:p>
        </w:tc>
        <w:tc>
          <w:tcPr>
            <w:tcW w:w="1283" w:type="dxa"/>
            <w:tcBorders>
              <w:top w:val="nil"/>
              <w:left w:val="nil"/>
              <w:bottom w:val="nil"/>
              <w:right w:val="nil"/>
            </w:tcBorders>
            <w:shd w:val="clear" w:color="auto" w:fill="auto"/>
            <w:noWrap/>
            <w:vAlign w:val="bottom"/>
            <w:hideMark/>
          </w:tcPr>
          <w:p w14:paraId="493CF0FA" w14:textId="77777777" w:rsidR="00596A40" w:rsidRPr="00943B0B" w:rsidRDefault="00596A40" w:rsidP="00596A40">
            <w:pPr>
              <w:spacing w:line="240" w:lineRule="auto"/>
              <w:jc w:val="center"/>
              <w:rPr>
                <w:rFonts w:cs="Times New Roman"/>
                <w:color w:val="000000"/>
              </w:rPr>
            </w:pPr>
            <w:r w:rsidRPr="00943B0B">
              <w:rPr>
                <w:rFonts w:cs="Times New Roman"/>
                <w:color w:val="000000"/>
              </w:rPr>
              <w:t>0.3</w:t>
            </w:r>
          </w:p>
        </w:tc>
        <w:tc>
          <w:tcPr>
            <w:tcW w:w="1060" w:type="dxa"/>
            <w:tcBorders>
              <w:top w:val="nil"/>
              <w:left w:val="nil"/>
              <w:bottom w:val="nil"/>
              <w:right w:val="nil"/>
            </w:tcBorders>
            <w:shd w:val="clear" w:color="auto" w:fill="auto"/>
            <w:noWrap/>
            <w:vAlign w:val="bottom"/>
            <w:hideMark/>
          </w:tcPr>
          <w:p w14:paraId="41F572A6" w14:textId="77777777" w:rsidR="00596A40" w:rsidRPr="00943B0B" w:rsidRDefault="00596A40" w:rsidP="00596A40">
            <w:pPr>
              <w:spacing w:line="240" w:lineRule="auto"/>
              <w:jc w:val="center"/>
              <w:rPr>
                <w:rFonts w:cs="Times New Roman"/>
                <w:color w:val="000000"/>
              </w:rPr>
            </w:pPr>
            <w:r w:rsidRPr="00943B0B">
              <w:rPr>
                <w:rFonts w:cs="Times New Roman"/>
                <w:color w:val="000000"/>
              </w:rPr>
              <w:t>2.2</w:t>
            </w:r>
          </w:p>
        </w:tc>
        <w:tc>
          <w:tcPr>
            <w:tcW w:w="1060" w:type="dxa"/>
            <w:tcBorders>
              <w:top w:val="nil"/>
              <w:left w:val="nil"/>
              <w:bottom w:val="nil"/>
              <w:right w:val="nil"/>
            </w:tcBorders>
            <w:shd w:val="clear" w:color="auto" w:fill="auto"/>
            <w:noWrap/>
            <w:vAlign w:val="bottom"/>
            <w:hideMark/>
          </w:tcPr>
          <w:p w14:paraId="003C1D41" w14:textId="77777777" w:rsidR="00596A40" w:rsidRPr="00943B0B" w:rsidRDefault="00596A40" w:rsidP="00596A40">
            <w:pPr>
              <w:spacing w:line="240" w:lineRule="auto"/>
              <w:jc w:val="center"/>
              <w:rPr>
                <w:rFonts w:cs="Times New Roman"/>
                <w:color w:val="000000"/>
              </w:rPr>
            </w:pPr>
            <w:r w:rsidRPr="00943B0B">
              <w:rPr>
                <w:rFonts w:cs="Times New Roman"/>
                <w:color w:val="000000"/>
              </w:rPr>
              <w:t>1.2</w:t>
            </w:r>
          </w:p>
        </w:tc>
      </w:tr>
      <w:tr w:rsidR="00596A40" w:rsidRPr="00943B0B" w14:paraId="70A50595" w14:textId="77777777" w:rsidTr="00794998">
        <w:trPr>
          <w:trHeight w:val="405"/>
        </w:trPr>
        <w:tc>
          <w:tcPr>
            <w:tcW w:w="1183" w:type="dxa"/>
            <w:tcBorders>
              <w:top w:val="nil"/>
              <w:left w:val="nil"/>
              <w:bottom w:val="single" w:sz="4" w:space="0" w:color="auto"/>
              <w:right w:val="nil"/>
            </w:tcBorders>
            <w:shd w:val="clear" w:color="auto" w:fill="auto"/>
            <w:noWrap/>
            <w:vAlign w:val="bottom"/>
            <w:hideMark/>
          </w:tcPr>
          <w:p w14:paraId="7B0930FB" w14:textId="77777777" w:rsidR="00596A40" w:rsidRPr="00CB63DC" w:rsidRDefault="00596A40" w:rsidP="00596A40">
            <w:pPr>
              <w:spacing w:line="240" w:lineRule="auto"/>
              <w:rPr>
                <w:rFonts w:cs="Times New Roman"/>
                <w:b/>
                <w:color w:val="000000"/>
              </w:rPr>
            </w:pPr>
            <w:r w:rsidRPr="00CB63DC">
              <w:rPr>
                <w:rFonts w:cs="Times New Roman"/>
                <w:b/>
                <w:color w:val="000000"/>
              </w:rPr>
              <w:t>σ</w:t>
            </w:r>
            <w:r w:rsidRPr="00CB63DC">
              <w:rPr>
                <w:rFonts w:cs="Times New Roman"/>
                <w:b/>
                <w:color w:val="000000"/>
                <w:vertAlign w:val="superscript"/>
              </w:rPr>
              <w:t>2</w:t>
            </w:r>
            <w:r w:rsidRPr="00CB63DC">
              <w:rPr>
                <w:rFonts w:cs="Times New Roman"/>
                <w:b/>
                <w:color w:val="000000"/>
                <w:vertAlign w:val="subscript"/>
              </w:rPr>
              <w:t>P</w:t>
            </w:r>
          </w:p>
        </w:tc>
        <w:tc>
          <w:tcPr>
            <w:tcW w:w="1060" w:type="dxa"/>
            <w:tcBorders>
              <w:top w:val="nil"/>
              <w:left w:val="nil"/>
              <w:bottom w:val="single" w:sz="4" w:space="0" w:color="auto"/>
              <w:right w:val="nil"/>
            </w:tcBorders>
            <w:shd w:val="clear" w:color="auto" w:fill="auto"/>
            <w:noWrap/>
            <w:vAlign w:val="bottom"/>
            <w:hideMark/>
          </w:tcPr>
          <w:p w14:paraId="2AA9140E" w14:textId="77777777" w:rsidR="00596A40" w:rsidRPr="00943B0B" w:rsidRDefault="00596A40" w:rsidP="00596A40">
            <w:pPr>
              <w:spacing w:line="240" w:lineRule="auto"/>
              <w:jc w:val="center"/>
              <w:rPr>
                <w:rFonts w:cs="Times New Roman"/>
                <w:color w:val="000000"/>
              </w:rPr>
            </w:pPr>
            <w:r w:rsidRPr="00943B0B">
              <w:rPr>
                <w:rFonts w:cs="Times New Roman"/>
                <w:color w:val="000000"/>
              </w:rPr>
              <w:t>7.8</w:t>
            </w:r>
          </w:p>
        </w:tc>
        <w:tc>
          <w:tcPr>
            <w:tcW w:w="1060" w:type="dxa"/>
            <w:tcBorders>
              <w:top w:val="nil"/>
              <w:left w:val="nil"/>
              <w:bottom w:val="single" w:sz="4" w:space="0" w:color="auto"/>
              <w:right w:val="nil"/>
            </w:tcBorders>
            <w:shd w:val="clear" w:color="auto" w:fill="auto"/>
            <w:noWrap/>
            <w:vAlign w:val="bottom"/>
            <w:hideMark/>
          </w:tcPr>
          <w:p w14:paraId="33733521" w14:textId="77777777" w:rsidR="00596A40" w:rsidRPr="00943B0B" w:rsidRDefault="00596A40" w:rsidP="00596A40">
            <w:pPr>
              <w:spacing w:line="240" w:lineRule="auto"/>
              <w:jc w:val="center"/>
              <w:rPr>
                <w:rFonts w:cs="Times New Roman"/>
                <w:color w:val="000000"/>
              </w:rPr>
            </w:pPr>
            <w:r w:rsidRPr="00943B0B">
              <w:rPr>
                <w:rFonts w:cs="Times New Roman"/>
                <w:color w:val="000000"/>
              </w:rPr>
              <w:t>8.9</w:t>
            </w:r>
          </w:p>
        </w:tc>
        <w:tc>
          <w:tcPr>
            <w:tcW w:w="1283" w:type="dxa"/>
            <w:tcBorders>
              <w:top w:val="nil"/>
              <w:left w:val="nil"/>
              <w:bottom w:val="single" w:sz="4" w:space="0" w:color="auto"/>
              <w:right w:val="nil"/>
            </w:tcBorders>
            <w:shd w:val="clear" w:color="auto" w:fill="auto"/>
            <w:noWrap/>
            <w:vAlign w:val="bottom"/>
            <w:hideMark/>
          </w:tcPr>
          <w:p w14:paraId="65C9F6DF" w14:textId="77777777" w:rsidR="00596A40" w:rsidRPr="00943B0B" w:rsidRDefault="00596A40" w:rsidP="00596A40">
            <w:pPr>
              <w:spacing w:line="240" w:lineRule="auto"/>
              <w:jc w:val="center"/>
              <w:rPr>
                <w:rFonts w:cs="Times New Roman"/>
                <w:color w:val="000000"/>
              </w:rPr>
            </w:pPr>
            <w:r w:rsidRPr="00943B0B">
              <w:rPr>
                <w:rFonts w:cs="Times New Roman"/>
                <w:color w:val="000000"/>
              </w:rPr>
              <w:t>7.71</w:t>
            </w:r>
          </w:p>
        </w:tc>
        <w:tc>
          <w:tcPr>
            <w:tcW w:w="1060" w:type="dxa"/>
            <w:tcBorders>
              <w:top w:val="nil"/>
              <w:left w:val="nil"/>
              <w:bottom w:val="single" w:sz="4" w:space="0" w:color="auto"/>
              <w:right w:val="nil"/>
            </w:tcBorders>
            <w:shd w:val="clear" w:color="auto" w:fill="auto"/>
            <w:noWrap/>
            <w:vAlign w:val="bottom"/>
            <w:hideMark/>
          </w:tcPr>
          <w:p w14:paraId="1010B895" w14:textId="77777777" w:rsidR="00596A40" w:rsidRPr="00943B0B" w:rsidRDefault="00596A40" w:rsidP="00596A40">
            <w:pPr>
              <w:spacing w:line="240" w:lineRule="auto"/>
              <w:jc w:val="center"/>
              <w:rPr>
                <w:rFonts w:cs="Times New Roman"/>
                <w:color w:val="000000"/>
              </w:rPr>
            </w:pPr>
            <w:r w:rsidRPr="00943B0B">
              <w:rPr>
                <w:rFonts w:cs="Times New Roman"/>
                <w:color w:val="000000"/>
              </w:rPr>
              <w:t>1.2</w:t>
            </w:r>
          </w:p>
        </w:tc>
        <w:tc>
          <w:tcPr>
            <w:tcW w:w="1060" w:type="dxa"/>
            <w:tcBorders>
              <w:top w:val="nil"/>
              <w:left w:val="nil"/>
              <w:bottom w:val="single" w:sz="4" w:space="0" w:color="auto"/>
              <w:right w:val="nil"/>
            </w:tcBorders>
            <w:shd w:val="clear" w:color="auto" w:fill="auto"/>
            <w:noWrap/>
            <w:vAlign w:val="bottom"/>
            <w:hideMark/>
          </w:tcPr>
          <w:p w14:paraId="6C85F15C" w14:textId="77777777" w:rsidR="00596A40" w:rsidRPr="00943B0B" w:rsidRDefault="00596A40" w:rsidP="00596A40">
            <w:pPr>
              <w:spacing w:line="240" w:lineRule="auto"/>
              <w:jc w:val="center"/>
              <w:rPr>
                <w:rFonts w:cs="Times New Roman"/>
                <w:color w:val="000000"/>
              </w:rPr>
            </w:pPr>
            <w:r w:rsidRPr="00943B0B">
              <w:rPr>
                <w:rFonts w:cs="Times New Roman"/>
                <w:color w:val="000000"/>
              </w:rPr>
              <w:t>1.3</w:t>
            </w:r>
          </w:p>
        </w:tc>
        <w:tc>
          <w:tcPr>
            <w:tcW w:w="1283" w:type="dxa"/>
            <w:tcBorders>
              <w:top w:val="nil"/>
              <w:left w:val="nil"/>
              <w:bottom w:val="single" w:sz="4" w:space="0" w:color="auto"/>
              <w:right w:val="nil"/>
            </w:tcBorders>
            <w:shd w:val="clear" w:color="auto" w:fill="auto"/>
            <w:noWrap/>
            <w:vAlign w:val="bottom"/>
            <w:hideMark/>
          </w:tcPr>
          <w:p w14:paraId="69895054" w14:textId="77777777" w:rsidR="00596A40" w:rsidRPr="00943B0B" w:rsidRDefault="00596A40" w:rsidP="00596A40">
            <w:pPr>
              <w:spacing w:line="240" w:lineRule="auto"/>
              <w:jc w:val="center"/>
              <w:rPr>
                <w:rFonts w:cs="Times New Roman"/>
                <w:color w:val="000000"/>
              </w:rPr>
            </w:pPr>
            <w:r w:rsidRPr="00943B0B">
              <w:rPr>
                <w:rFonts w:cs="Times New Roman"/>
                <w:color w:val="000000"/>
              </w:rPr>
              <w:t>1.2</w:t>
            </w:r>
          </w:p>
        </w:tc>
        <w:tc>
          <w:tcPr>
            <w:tcW w:w="1060" w:type="dxa"/>
            <w:tcBorders>
              <w:top w:val="nil"/>
              <w:left w:val="nil"/>
              <w:bottom w:val="single" w:sz="4" w:space="0" w:color="auto"/>
              <w:right w:val="nil"/>
            </w:tcBorders>
            <w:shd w:val="clear" w:color="auto" w:fill="auto"/>
            <w:noWrap/>
            <w:vAlign w:val="bottom"/>
            <w:hideMark/>
          </w:tcPr>
          <w:p w14:paraId="53DB94BC" w14:textId="77777777" w:rsidR="00596A40" w:rsidRPr="00943B0B" w:rsidRDefault="00596A40" w:rsidP="00596A40">
            <w:pPr>
              <w:spacing w:line="240" w:lineRule="auto"/>
              <w:jc w:val="center"/>
              <w:rPr>
                <w:rFonts w:cs="Times New Roman"/>
                <w:color w:val="000000"/>
              </w:rPr>
            </w:pPr>
            <w:r w:rsidRPr="00943B0B">
              <w:rPr>
                <w:rFonts w:cs="Times New Roman"/>
                <w:color w:val="000000"/>
              </w:rPr>
              <w:t>11.4</w:t>
            </w:r>
          </w:p>
        </w:tc>
        <w:tc>
          <w:tcPr>
            <w:tcW w:w="1060" w:type="dxa"/>
            <w:tcBorders>
              <w:top w:val="nil"/>
              <w:left w:val="nil"/>
              <w:bottom w:val="single" w:sz="4" w:space="0" w:color="auto"/>
              <w:right w:val="nil"/>
            </w:tcBorders>
            <w:shd w:val="clear" w:color="auto" w:fill="auto"/>
            <w:noWrap/>
            <w:vAlign w:val="bottom"/>
            <w:hideMark/>
          </w:tcPr>
          <w:p w14:paraId="29E5D18E" w14:textId="77777777" w:rsidR="00596A40" w:rsidRPr="00943B0B" w:rsidRDefault="00596A40" w:rsidP="00596A40">
            <w:pPr>
              <w:spacing w:line="240" w:lineRule="auto"/>
              <w:jc w:val="center"/>
              <w:rPr>
                <w:rFonts w:cs="Times New Roman"/>
                <w:color w:val="000000"/>
              </w:rPr>
            </w:pPr>
            <w:r w:rsidRPr="00943B0B">
              <w:rPr>
                <w:rFonts w:cs="Times New Roman"/>
                <w:color w:val="000000"/>
              </w:rPr>
              <w:t>5.6</w:t>
            </w:r>
          </w:p>
        </w:tc>
      </w:tr>
      <w:tr w:rsidR="00596A40" w:rsidRPr="00943B0B" w14:paraId="6F7AE8B9" w14:textId="77777777" w:rsidTr="00794998">
        <w:trPr>
          <w:trHeight w:val="405"/>
        </w:trPr>
        <w:tc>
          <w:tcPr>
            <w:tcW w:w="1183" w:type="dxa"/>
            <w:tcBorders>
              <w:top w:val="nil"/>
              <w:left w:val="nil"/>
              <w:bottom w:val="nil"/>
              <w:right w:val="nil"/>
            </w:tcBorders>
            <w:shd w:val="clear" w:color="auto" w:fill="auto"/>
            <w:noWrap/>
            <w:vAlign w:val="bottom"/>
            <w:hideMark/>
          </w:tcPr>
          <w:p w14:paraId="05D40C89" w14:textId="77777777" w:rsidR="00596A40" w:rsidRPr="00CB63DC" w:rsidRDefault="00596A40" w:rsidP="00596A40">
            <w:pPr>
              <w:spacing w:line="240" w:lineRule="auto"/>
              <w:rPr>
                <w:rFonts w:cs="Times New Roman"/>
                <w:b/>
                <w:color w:val="000000"/>
              </w:rPr>
            </w:pPr>
            <w:r w:rsidRPr="00CB63DC">
              <w:rPr>
                <w:rFonts w:cs="Times New Roman"/>
                <w:b/>
                <w:color w:val="000000"/>
              </w:rPr>
              <w:t>h</w:t>
            </w:r>
            <w:r w:rsidRPr="00CB63DC">
              <w:rPr>
                <w:rFonts w:cs="Times New Roman"/>
                <w:b/>
                <w:color w:val="000000"/>
                <w:vertAlign w:val="superscript"/>
              </w:rPr>
              <w:t>2</w:t>
            </w:r>
            <w:r w:rsidRPr="00CB63DC">
              <w:rPr>
                <w:rFonts w:cs="Times New Roman"/>
                <w:b/>
                <w:color w:val="000000"/>
                <w:vertAlign w:val="subscript"/>
              </w:rPr>
              <w:t>i</w:t>
            </w:r>
          </w:p>
        </w:tc>
        <w:tc>
          <w:tcPr>
            <w:tcW w:w="1060" w:type="dxa"/>
            <w:tcBorders>
              <w:top w:val="nil"/>
              <w:left w:val="nil"/>
              <w:bottom w:val="nil"/>
              <w:right w:val="nil"/>
            </w:tcBorders>
            <w:shd w:val="clear" w:color="auto" w:fill="auto"/>
            <w:noWrap/>
            <w:vAlign w:val="bottom"/>
            <w:hideMark/>
          </w:tcPr>
          <w:p w14:paraId="32F18A5C" w14:textId="77777777" w:rsidR="00596A40" w:rsidRPr="00943B0B" w:rsidRDefault="00596A40" w:rsidP="00596A40">
            <w:pPr>
              <w:spacing w:line="240" w:lineRule="auto"/>
              <w:jc w:val="center"/>
              <w:rPr>
                <w:rFonts w:cs="Times New Roman"/>
                <w:color w:val="000000"/>
              </w:rPr>
            </w:pPr>
            <w:r w:rsidRPr="00943B0B">
              <w:rPr>
                <w:rFonts w:cs="Times New Roman"/>
                <w:color w:val="000000"/>
              </w:rPr>
              <w:t>0.20</w:t>
            </w:r>
          </w:p>
        </w:tc>
        <w:tc>
          <w:tcPr>
            <w:tcW w:w="1060" w:type="dxa"/>
            <w:tcBorders>
              <w:top w:val="nil"/>
              <w:left w:val="nil"/>
              <w:bottom w:val="nil"/>
              <w:right w:val="nil"/>
            </w:tcBorders>
            <w:shd w:val="clear" w:color="auto" w:fill="auto"/>
            <w:noWrap/>
            <w:vAlign w:val="bottom"/>
            <w:hideMark/>
          </w:tcPr>
          <w:p w14:paraId="7755B3CD" w14:textId="77777777" w:rsidR="00596A40" w:rsidRPr="00943B0B" w:rsidRDefault="00596A40" w:rsidP="00596A40">
            <w:pPr>
              <w:spacing w:line="240" w:lineRule="auto"/>
              <w:jc w:val="center"/>
              <w:rPr>
                <w:rFonts w:cs="Times New Roman"/>
                <w:color w:val="000000"/>
              </w:rPr>
            </w:pPr>
            <w:r w:rsidRPr="00943B0B">
              <w:rPr>
                <w:rFonts w:cs="Times New Roman"/>
                <w:color w:val="000000"/>
              </w:rPr>
              <w:t>0.25</w:t>
            </w:r>
          </w:p>
        </w:tc>
        <w:tc>
          <w:tcPr>
            <w:tcW w:w="1283" w:type="dxa"/>
            <w:tcBorders>
              <w:top w:val="nil"/>
              <w:left w:val="nil"/>
              <w:bottom w:val="nil"/>
              <w:right w:val="nil"/>
            </w:tcBorders>
            <w:shd w:val="clear" w:color="auto" w:fill="auto"/>
            <w:noWrap/>
            <w:vAlign w:val="bottom"/>
            <w:hideMark/>
          </w:tcPr>
          <w:p w14:paraId="2DDFAB25" w14:textId="77777777" w:rsidR="00596A40" w:rsidRPr="00943B0B" w:rsidRDefault="00596A40" w:rsidP="00596A40">
            <w:pPr>
              <w:spacing w:line="240" w:lineRule="auto"/>
              <w:jc w:val="center"/>
              <w:rPr>
                <w:rFonts w:cs="Times New Roman"/>
                <w:color w:val="000000"/>
              </w:rPr>
            </w:pPr>
            <w:r w:rsidRPr="00943B0B">
              <w:rPr>
                <w:rFonts w:cs="Times New Roman"/>
                <w:color w:val="000000"/>
              </w:rPr>
              <w:t>0.22</w:t>
            </w:r>
          </w:p>
        </w:tc>
        <w:tc>
          <w:tcPr>
            <w:tcW w:w="1060" w:type="dxa"/>
            <w:tcBorders>
              <w:top w:val="nil"/>
              <w:left w:val="nil"/>
              <w:bottom w:val="nil"/>
              <w:right w:val="nil"/>
            </w:tcBorders>
            <w:shd w:val="clear" w:color="auto" w:fill="auto"/>
            <w:noWrap/>
            <w:vAlign w:val="bottom"/>
            <w:hideMark/>
          </w:tcPr>
          <w:p w14:paraId="78B58507" w14:textId="77777777" w:rsidR="00596A40" w:rsidRPr="00943B0B" w:rsidRDefault="00596A40" w:rsidP="00596A40">
            <w:pPr>
              <w:spacing w:line="240" w:lineRule="auto"/>
              <w:jc w:val="center"/>
              <w:rPr>
                <w:rFonts w:cs="Times New Roman"/>
                <w:color w:val="000000"/>
              </w:rPr>
            </w:pPr>
            <w:r w:rsidRPr="00943B0B">
              <w:rPr>
                <w:rFonts w:cs="Times New Roman"/>
                <w:color w:val="000000"/>
              </w:rPr>
              <w:t>0.12</w:t>
            </w:r>
          </w:p>
        </w:tc>
        <w:tc>
          <w:tcPr>
            <w:tcW w:w="1060" w:type="dxa"/>
            <w:tcBorders>
              <w:top w:val="nil"/>
              <w:left w:val="nil"/>
              <w:bottom w:val="nil"/>
              <w:right w:val="nil"/>
            </w:tcBorders>
            <w:shd w:val="clear" w:color="auto" w:fill="auto"/>
            <w:noWrap/>
            <w:vAlign w:val="bottom"/>
            <w:hideMark/>
          </w:tcPr>
          <w:p w14:paraId="66BD4E88" w14:textId="77777777" w:rsidR="00596A40" w:rsidRPr="00943B0B" w:rsidRDefault="00596A40" w:rsidP="00596A40">
            <w:pPr>
              <w:spacing w:line="240" w:lineRule="auto"/>
              <w:jc w:val="center"/>
              <w:rPr>
                <w:rFonts w:cs="Times New Roman"/>
                <w:color w:val="000000"/>
              </w:rPr>
            </w:pPr>
            <w:r w:rsidRPr="00943B0B">
              <w:rPr>
                <w:rFonts w:cs="Times New Roman"/>
                <w:color w:val="000000"/>
              </w:rPr>
              <w:t>0.16</w:t>
            </w:r>
          </w:p>
        </w:tc>
        <w:tc>
          <w:tcPr>
            <w:tcW w:w="1283" w:type="dxa"/>
            <w:tcBorders>
              <w:top w:val="nil"/>
              <w:left w:val="nil"/>
              <w:bottom w:val="nil"/>
              <w:right w:val="nil"/>
            </w:tcBorders>
            <w:shd w:val="clear" w:color="auto" w:fill="auto"/>
            <w:noWrap/>
            <w:vAlign w:val="bottom"/>
            <w:hideMark/>
          </w:tcPr>
          <w:p w14:paraId="077AB451" w14:textId="77777777" w:rsidR="00596A40" w:rsidRPr="00943B0B" w:rsidRDefault="00596A40" w:rsidP="00596A40">
            <w:pPr>
              <w:spacing w:line="240" w:lineRule="auto"/>
              <w:jc w:val="center"/>
              <w:rPr>
                <w:rFonts w:cs="Times New Roman"/>
                <w:color w:val="000000"/>
              </w:rPr>
            </w:pPr>
            <w:r w:rsidRPr="00943B0B">
              <w:rPr>
                <w:rFonts w:cs="Times New Roman"/>
                <w:color w:val="000000"/>
              </w:rPr>
              <w:t>0.13</w:t>
            </w:r>
          </w:p>
        </w:tc>
        <w:tc>
          <w:tcPr>
            <w:tcW w:w="1060" w:type="dxa"/>
            <w:tcBorders>
              <w:top w:val="nil"/>
              <w:left w:val="nil"/>
              <w:bottom w:val="nil"/>
              <w:right w:val="nil"/>
            </w:tcBorders>
            <w:shd w:val="clear" w:color="auto" w:fill="auto"/>
            <w:noWrap/>
            <w:vAlign w:val="bottom"/>
            <w:hideMark/>
          </w:tcPr>
          <w:p w14:paraId="0964330A" w14:textId="77777777" w:rsidR="00596A40" w:rsidRPr="00943B0B" w:rsidRDefault="00596A40" w:rsidP="00596A40">
            <w:pPr>
              <w:spacing w:line="240" w:lineRule="auto"/>
              <w:jc w:val="center"/>
              <w:rPr>
                <w:rFonts w:cs="Times New Roman"/>
                <w:color w:val="000000"/>
              </w:rPr>
            </w:pPr>
            <w:r w:rsidRPr="00943B0B">
              <w:rPr>
                <w:rFonts w:cs="Times New Roman"/>
                <w:color w:val="000000"/>
              </w:rPr>
              <w:t>0.50</w:t>
            </w:r>
          </w:p>
        </w:tc>
        <w:tc>
          <w:tcPr>
            <w:tcW w:w="1060" w:type="dxa"/>
            <w:tcBorders>
              <w:top w:val="nil"/>
              <w:left w:val="nil"/>
              <w:bottom w:val="nil"/>
              <w:right w:val="nil"/>
            </w:tcBorders>
            <w:shd w:val="clear" w:color="auto" w:fill="auto"/>
            <w:noWrap/>
            <w:vAlign w:val="bottom"/>
            <w:hideMark/>
          </w:tcPr>
          <w:p w14:paraId="6406AF2B" w14:textId="77777777" w:rsidR="00596A40" w:rsidRPr="00943B0B" w:rsidRDefault="00596A40" w:rsidP="00596A40">
            <w:pPr>
              <w:spacing w:line="240" w:lineRule="auto"/>
              <w:jc w:val="center"/>
              <w:rPr>
                <w:rFonts w:cs="Times New Roman"/>
                <w:color w:val="000000"/>
              </w:rPr>
            </w:pPr>
            <w:r w:rsidRPr="00943B0B">
              <w:rPr>
                <w:rFonts w:cs="Times New Roman"/>
                <w:color w:val="000000"/>
              </w:rPr>
              <w:t>0.33</w:t>
            </w:r>
          </w:p>
        </w:tc>
      </w:tr>
      <w:tr w:rsidR="00596A40" w:rsidRPr="00943B0B" w14:paraId="3A1CF2BF" w14:textId="77777777" w:rsidTr="00794998">
        <w:trPr>
          <w:trHeight w:val="420"/>
        </w:trPr>
        <w:tc>
          <w:tcPr>
            <w:tcW w:w="1183" w:type="dxa"/>
            <w:tcBorders>
              <w:top w:val="nil"/>
              <w:left w:val="nil"/>
              <w:bottom w:val="single" w:sz="8" w:space="0" w:color="auto"/>
              <w:right w:val="nil"/>
            </w:tcBorders>
            <w:shd w:val="clear" w:color="auto" w:fill="auto"/>
            <w:noWrap/>
            <w:vAlign w:val="bottom"/>
            <w:hideMark/>
          </w:tcPr>
          <w:p w14:paraId="593EF4D2" w14:textId="77777777" w:rsidR="00596A40" w:rsidRPr="00CB63DC" w:rsidRDefault="00596A40" w:rsidP="00596A40">
            <w:pPr>
              <w:spacing w:line="240" w:lineRule="auto"/>
              <w:rPr>
                <w:rFonts w:cs="Times New Roman"/>
                <w:b/>
                <w:color w:val="000000"/>
              </w:rPr>
            </w:pPr>
            <w:r w:rsidRPr="00CB63DC">
              <w:rPr>
                <w:rFonts w:cs="Times New Roman"/>
                <w:b/>
                <w:color w:val="000000"/>
              </w:rPr>
              <w:t>H</w:t>
            </w:r>
            <w:r w:rsidRPr="00CB63DC">
              <w:rPr>
                <w:rFonts w:cs="Times New Roman"/>
                <w:b/>
                <w:color w:val="000000"/>
                <w:vertAlign w:val="superscript"/>
              </w:rPr>
              <w:t>2</w:t>
            </w:r>
            <w:r w:rsidRPr="00CB63DC">
              <w:rPr>
                <w:rFonts w:cs="Times New Roman"/>
                <w:b/>
                <w:color w:val="000000"/>
                <w:vertAlign w:val="subscript"/>
              </w:rPr>
              <w:t>i</w:t>
            </w:r>
          </w:p>
        </w:tc>
        <w:tc>
          <w:tcPr>
            <w:tcW w:w="1060" w:type="dxa"/>
            <w:tcBorders>
              <w:top w:val="nil"/>
              <w:left w:val="nil"/>
              <w:bottom w:val="single" w:sz="8" w:space="0" w:color="auto"/>
              <w:right w:val="nil"/>
            </w:tcBorders>
            <w:shd w:val="clear" w:color="auto" w:fill="auto"/>
            <w:noWrap/>
            <w:vAlign w:val="bottom"/>
            <w:hideMark/>
          </w:tcPr>
          <w:p w14:paraId="5F43009E" w14:textId="77777777" w:rsidR="00596A40" w:rsidRPr="00943B0B" w:rsidRDefault="00596A40" w:rsidP="00596A40">
            <w:pPr>
              <w:spacing w:line="240" w:lineRule="auto"/>
              <w:jc w:val="center"/>
              <w:rPr>
                <w:rFonts w:cs="Times New Roman"/>
                <w:color w:val="000000"/>
              </w:rPr>
            </w:pPr>
            <w:r w:rsidRPr="00943B0B">
              <w:rPr>
                <w:rFonts w:cs="Times New Roman"/>
                <w:color w:val="000000"/>
              </w:rPr>
              <w:t>0.40</w:t>
            </w:r>
          </w:p>
        </w:tc>
        <w:tc>
          <w:tcPr>
            <w:tcW w:w="1060" w:type="dxa"/>
            <w:tcBorders>
              <w:top w:val="nil"/>
              <w:left w:val="nil"/>
              <w:bottom w:val="single" w:sz="8" w:space="0" w:color="auto"/>
              <w:right w:val="nil"/>
            </w:tcBorders>
            <w:shd w:val="clear" w:color="auto" w:fill="auto"/>
            <w:noWrap/>
            <w:vAlign w:val="bottom"/>
            <w:hideMark/>
          </w:tcPr>
          <w:p w14:paraId="287B8F8E" w14:textId="77777777" w:rsidR="00596A40" w:rsidRPr="00943B0B" w:rsidRDefault="00596A40" w:rsidP="00596A40">
            <w:pPr>
              <w:spacing w:line="240" w:lineRule="auto"/>
              <w:jc w:val="center"/>
              <w:rPr>
                <w:rFonts w:cs="Times New Roman"/>
                <w:color w:val="000000"/>
              </w:rPr>
            </w:pPr>
            <w:r w:rsidRPr="00943B0B">
              <w:rPr>
                <w:rFonts w:cs="Times New Roman"/>
                <w:color w:val="000000"/>
              </w:rPr>
              <w:t>0.49</w:t>
            </w:r>
          </w:p>
        </w:tc>
        <w:tc>
          <w:tcPr>
            <w:tcW w:w="1283" w:type="dxa"/>
            <w:tcBorders>
              <w:top w:val="nil"/>
              <w:left w:val="nil"/>
              <w:bottom w:val="single" w:sz="8" w:space="0" w:color="auto"/>
              <w:right w:val="nil"/>
            </w:tcBorders>
            <w:shd w:val="clear" w:color="auto" w:fill="auto"/>
            <w:noWrap/>
            <w:vAlign w:val="bottom"/>
            <w:hideMark/>
          </w:tcPr>
          <w:p w14:paraId="273F127B" w14:textId="77777777" w:rsidR="00596A40" w:rsidRPr="00943B0B" w:rsidRDefault="00596A40" w:rsidP="00596A40">
            <w:pPr>
              <w:spacing w:line="240" w:lineRule="auto"/>
              <w:jc w:val="center"/>
              <w:rPr>
                <w:rFonts w:cs="Times New Roman"/>
                <w:color w:val="000000"/>
              </w:rPr>
            </w:pPr>
            <w:r w:rsidRPr="00943B0B">
              <w:rPr>
                <w:rFonts w:cs="Times New Roman"/>
                <w:color w:val="000000"/>
              </w:rPr>
              <w:t>0.43</w:t>
            </w:r>
          </w:p>
        </w:tc>
        <w:tc>
          <w:tcPr>
            <w:tcW w:w="1060" w:type="dxa"/>
            <w:tcBorders>
              <w:top w:val="nil"/>
              <w:left w:val="nil"/>
              <w:bottom w:val="single" w:sz="8" w:space="0" w:color="auto"/>
              <w:right w:val="nil"/>
            </w:tcBorders>
            <w:shd w:val="clear" w:color="auto" w:fill="auto"/>
            <w:noWrap/>
            <w:vAlign w:val="bottom"/>
            <w:hideMark/>
          </w:tcPr>
          <w:p w14:paraId="39B4AEA2" w14:textId="77777777" w:rsidR="00596A40" w:rsidRPr="00943B0B" w:rsidRDefault="00596A40" w:rsidP="00596A40">
            <w:pPr>
              <w:spacing w:line="240" w:lineRule="auto"/>
              <w:jc w:val="center"/>
              <w:rPr>
                <w:rFonts w:cs="Times New Roman"/>
                <w:color w:val="000000"/>
              </w:rPr>
            </w:pPr>
            <w:r w:rsidRPr="00943B0B">
              <w:rPr>
                <w:rFonts w:cs="Times New Roman"/>
                <w:color w:val="000000"/>
              </w:rPr>
              <w:t>0.27</w:t>
            </w:r>
          </w:p>
        </w:tc>
        <w:tc>
          <w:tcPr>
            <w:tcW w:w="1060" w:type="dxa"/>
            <w:tcBorders>
              <w:top w:val="nil"/>
              <w:left w:val="nil"/>
              <w:bottom w:val="single" w:sz="8" w:space="0" w:color="auto"/>
              <w:right w:val="nil"/>
            </w:tcBorders>
            <w:shd w:val="clear" w:color="auto" w:fill="auto"/>
            <w:noWrap/>
            <w:vAlign w:val="bottom"/>
            <w:hideMark/>
          </w:tcPr>
          <w:p w14:paraId="639C4E4C" w14:textId="77777777" w:rsidR="00596A40" w:rsidRPr="00943B0B" w:rsidRDefault="00596A40" w:rsidP="00596A40">
            <w:pPr>
              <w:spacing w:line="240" w:lineRule="auto"/>
              <w:jc w:val="center"/>
              <w:rPr>
                <w:rFonts w:cs="Times New Roman"/>
                <w:color w:val="000000"/>
              </w:rPr>
            </w:pPr>
            <w:r w:rsidRPr="00943B0B">
              <w:rPr>
                <w:rFonts w:cs="Times New Roman"/>
                <w:color w:val="000000"/>
              </w:rPr>
              <w:t>0.40</w:t>
            </w:r>
          </w:p>
        </w:tc>
        <w:tc>
          <w:tcPr>
            <w:tcW w:w="1283" w:type="dxa"/>
            <w:tcBorders>
              <w:top w:val="nil"/>
              <w:left w:val="nil"/>
              <w:bottom w:val="single" w:sz="8" w:space="0" w:color="auto"/>
              <w:right w:val="nil"/>
            </w:tcBorders>
            <w:shd w:val="clear" w:color="auto" w:fill="auto"/>
            <w:noWrap/>
            <w:vAlign w:val="bottom"/>
            <w:hideMark/>
          </w:tcPr>
          <w:p w14:paraId="7E74A474" w14:textId="77777777" w:rsidR="00596A40" w:rsidRPr="00943B0B" w:rsidRDefault="00596A40" w:rsidP="00596A40">
            <w:pPr>
              <w:spacing w:line="240" w:lineRule="auto"/>
              <w:jc w:val="center"/>
              <w:rPr>
                <w:rFonts w:cs="Times New Roman"/>
                <w:color w:val="000000"/>
              </w:rPr>
            </w:pPr>
            <w:r w:rsidRPr="00943B0B">
              <w:rPr>
                <w:rFonts w:cs="Times New Roman"/>
                <w:color w:val="000000"/>
              </w:rPr>
              <w:t>0.34</w:t>
            </w:r>
          </w:p>
        </w:tc>
        <w:tc>
          <w:tcPr>
            <w:tcW w:w="1060" w:type="dxa"/>
            <w:tcBorders>
              <w:top w:val="nil"/>
              <w:left w:val="nil"/>
              <w:bottom w:val="single" w:sz="8" w:space="0" w:color="auto"/>
              <w:right w:val="nil"/>
            </w:tcBorders>
            <w:shd w:val="clear" w:color="auto" w:fill="auto"/>
            <w:noWrap/>
            <w:vAlign w:val="bottom"/>
            <w:hideMark/>
          </w:tcPr>
          <w:p w14:paraId="5BD5F717" w14:textId="77777777" w:rsidR="00596A40" w:rsidRPr="00943B0B" w:rsidRDefault="00596A40" w:rsidP="00596A40">
            <w:pPr>
              <w:spacing w:line="240" w:lineRule="auto"/>
              <w:jc w:val="center"/>
              <w:rPr>
                <w:rFonts w:cs="Times New Roman"/>
                <w:color w:val="000000"/>
              </w:rPr>
            </w:pPr>
            <w:r w:rsidRPr="00943B0B">
              <w:rPr>
                <w:rFonts w:cs="Times New Roman"/>
                <w:color w:val="000000"/>
              </w:rPr>
              <w:t>0.70</w:t>
            </w:r>
          </w:p>
        </w:tc>
        <w:tc>
          <w:tcPr>
            <w:tcW w:w="1060" w:type="dxa"/>
            <w:tcBorders>
              <w:top w:val="nil"/>
              <w:left w:val="nil"/>
              <w:bottom w:val="single" w:sz="8" w:space="0" w:color="auto"/>
              <w:right w:val="nil"/>
            </w:tcBorders>
            <w:shd w:val="clear" w:color="auto" w:fill="auto"/>
            <w:noWrap/>
            <w:vAlign w:val="bottom"/>
            <w:hideMark/>
          </w:tcPr>
          <w:p w14:paraId="3A751E6C" w14:textId="77777777" w:rsidR="00596A40" w:rsidRPr="00943B0B" w:rsidRDefault="00596A40" w:rsidP="00596A40">
            <w:pPr>
              <w:spacing w:line="240" w:lineRule="auto"/>
              <w:jc w:val="center"/>
              <w:rPr>
                <w:rFonts w:cs="Times New Roman"/>
                <w:color w:val="000000"/>
              </w:rPr>
            </w:pPr>
            <w:r w:rsidRPr="00943B0B">
              <w:rPr>
                <w:rFonts w:cs="Times New Roman"/>
                <w:color w:val="000000"/>
              </w:rPr>
              <w:t>0.55</w:t>
            </w:r>
          </w:p>
        </w:tc>
      </w:tr>
    </w:tbl>
    <w:p w14:paraId="17340C03" w14:textId="77777777" w:rsidR="00596A40" w:rsidRDefault="00596A40" w:rsidP="00596A40">
      <w:pPr>
        <w:rPr>
          <w:rFonts w:eastAsiaTheme="minorHAnsi"/>
        </w:rPr>
      </w:pPr>
    </w:p>
    <w:p w14:paraId="42BD98AB" w14:textId="77777777" w:rsidR="00967E31" w:rsidRDefault="00596A40" w:rsidP="00596A40">
      <w:pPr>
        <w:rPr>
          <w:rFonts w:cs="Times New Roman"/>
        </w:rPr>
        <w:sectPr w:rsidR="00967E31" w:rsidSect="00794998">
          <w:pgSz w:w="15840" w:h="12240" w:orient="landscape"/>
          <w:pgMar w:top="1440" w:right="1440" w:bottom="1440" w:left="1440" w:header="720" w:footer="720" w:gutter="0"/>
          <w:cols w:space="720"/>
          <w:docGrid w:linePitch="360"/>
        </w:sectPr>
      </w:pPr>
      <w:r>
        <w:rPr>
          <w:rFonts w:cs="Times New Roman"/>
        </w:rPr>
        <w:br w:type="page"/>
      </w:r>
    </w:p>
    <w:p w14:paraId="116BEDBA" w14:textId="77777777" w:rsidR="00E7669F" w:rsidRDefault="00E7669F" w:rsidP="00E7669F"/>
    <w:p w14:paraId="748BBF60" w14:textId="77777777" w:rsidR="00E7669F" w:rsidRDefault="00E7669F" w:rsidP="00E7669F"/>
    <w:p w14:paraId="3039B8AB" w14:textId="77777777" w:rsidR="00E7669F" w:rsidRDefault="00E7669F" w:rsidP="00E7669F"/>
    <w:p w14:paraId="316E3617" w14:textId="77777777" w:rsidR="00E7669F" w:rsidRDefault="00E7669F" w:rsidP="00E7669F"/>
    <w:p w14:paraId="7E96C031" w14:textId="2BA77CE0" w:rsidR="004D0EB7" w:rsidRDefault="00967E31" w:rsidP="00EC28CD">
      <w:pPr>
        <w:pStyle w:val="Heading4"/>
      </w:pPr>
      <w:bookmarkStart w:id="82" w:name="_Toc404070387"/>
      <w:r>
        <w:t>Figure 2-</w:t>
      </w:r>
      <w:r w:rsidR="00225E0A">
        <w:t>2</w:t>
      </w:r>
      <w:r w:rsidR="00596A40" w:rsidRPr="00596A40">
        <w:t xml:space="preserve">. </w:t>
      </w:r>
      <w:r>
        <w:t>Estimates of g</w:t>
      </w:r>
      <w:r w:rsidR="00596A40" w:rsidRPr="00596A40">
        <w:t>enera</w:t>
      </w:r>
      <w:r>
        <w:t>l combining ability (GCA) of eight lowland switchgrass parents based on evaluation of F1 populations derived from a full diallel cross. Traits evaluated include</w:t>
      </w:r>
      <w:r w:rsidR="00596A40" w:rsidRPr="00596A40">
        <w:t xml:space="preserve"> biomass yield</w:t>
      </w:r>
      <w:r w:rsidR="004D0EB7">
        <w:t xml:space="preserve"> (A)</w:t>
      </w:r>
      <w:r w:rsidR="00596A40" w:rsidRPr="00596A40">
        <w:t>, predi</w:t>
      </w:r>
      <w:r>
        <w:t>cted ethanol yield</w:t>
      </w:r>
      <w:r w:rsidR="004D0EB7">
        <w:t xml:space="preserve"> (B)</w:t>
      </w:r>
      <w:r>
        <w:t>,</w:t>
      </w:r>
      <w:r w:rsidR="00596A40" w:rsidRPr="00596A40">
        <w:t xml:space="preserve"> fall height</w:t>
      </w:r>
      <w:r w:rsidR="004D0EB7">
        <w:t xml:space="preserve"> (C)</w:t>
      </w:r>
      <w:r w:rsidR="00596A40" w:rsidRPr="00596A40">
        <w:t>, spring height</w:t>
      </w:r>
      <w:r w:rsidR="004D0EB7">
        <w:t xml:space="preserve"> (D)</w:t>
      </w:r>
      <w:r w:rsidR="00596A40" w:rsidRPr="00596A40">
        <w:t>, tiller number</w:t>
      </w:r>
      <w:r w:rsidR="004D0EB7">
        <w:t xml:space="preserve"> (E), tiller diameter (F), </w:t>
      </w:r>
      <w:r w:rsidR="00B8390A">
        <w:t>leaf width</w:t>
      </w:r>
      <w:r w:rsidR="004D0EB7">
        <w:t xml:space="preserve"> (G), </w:t>
      </w:r>
      <w:r w:rsidR="00DA675F">
        <w:t>canopy density</w:t>
      </w:r>
      <w:r w:rsidR="004D0EB7">
        <w:t xml:space="preserve"> (H), and </w:t>
      </w:r>
      <w:r w:rsidR="009C1A48">
        <w:t>rust severity</w:t>
      </w:r>
      <w:r w:rsidR="005F4434">
        <w:t xml:space="preserve"> in Oct. 2012 (I) and Aug. 2013 (J</w:t>
      </w:r>
      <w:r w:rsidR="004D0EB7">
        <w:t>).</w:t>
      </w:r>
      <w:r w:rsidR="00F20A4A">
        <w:t xml:space="preserve"> </w:t>
      </w:r>
      <w:r w:rsidR="009C1A48">
        <w:t>Rust severity</w:t>
      </w:r>
      <w:r w:rsidR="00F20A4A">
        <w:t xml:space="preserve"> GCA values are shown for each year due to differences in seasonal timing of ratings. For all other traits, GCA values are given for the population mean combined across year and location. </w:t>
      </w:r>
      <w:r w:rsidR="004D0EB7">
        <w:t xml:space="preserve">The population mean </w:t>
      </w:r>
      <w:r w:rsidR="00F20A4A">
        <w:t xml:space="preserve">for each trait </w:t>
      </w:r>
      <w:r w:rsidR="004D0EB7">
        <w:t xml:space="preserve">is indicated </w:t>
      </w:r>
      <w:r w:rsidR="001B0472">
        <w:t>in the title for the y-</w:t>
      </w:r>
      <w:r w:rsidR="004D0EB7">
        <w:t>axis. GCA values</w:t>
      </w:r>
      <w:r w:rsidR="001B0472">
        <w:t xml:space="preserve"> on the y-axis</w:t>
      </w:r>
      <w:r w:rsidR="004D0EB7">
        <w:t xml:space="preserve"> indicate deviation from that mean.</w:t>
      </w:r>
      <w:r w:rsidR="004D0EB7" w:rsidRPr="00596A40">
        <w:t xml:space="preserve"> Asterisks indicate GCA values</w:t>
      </w:r>
      <w:r w:rsidR="004D0EB7">
        <w:t xml:space="preserve"> that differ significantly from zero</w:t>
      </w:r>
      <w:r w:rsidR="004D0EB7" w:rsidRPr="00596A40">
        <w:t xml:space="preserve"> (* </w:t>
      </w:r>
      <w:r w:rsidR="00B7572A">
        <w:t xml:space="preserve">P </w:t>
      </w:r>
      <w:r w:rsidR="009021A8">
        <w:t xml:space="preserve">&lt; </w:t>
      </w:r>
      <w:r w:rsidR="004D0EB7" w:rsidRPr="00596A40">
        <w:t>0.05, **</w:t>
      </w:r>
      <w:r w:rsidR="00B7572A">
        <w:t xml:space="preserve">P </w:t>
      </w:r>
      <w:r w:rsidR="009021A8">
        <w:t xml:space="preserve">&lt; </w:t>
      </w:r>
      <w:r w:rsidR="004D0EB7" w:rsidRPr="00596A40">
        <w:t>0.01, ***</w:t>
      </w:r>
      <w:r w:rsidR="00B7572A">
        <w:t xml:space="preserve">P </w:t>
      </w:r>
      <w:r w:rsidR="009021A8">
        <w:t xml:space="preserve">&lt; </w:t>
      </w:r>
      <w:r w:rsidR="004D0EB7" w:rsidRPr="00596A40">
        <w:t>0.001 respectively).</w:t>
      </w:r>
      <w:bookmarkEnd w:id="82"/>
      <w:r w:rsidR="004D0EB7">
        <w:t xml:space="preserve"> </w:t>
      </w:r>
    </w:p>
    <w:p w14:paraId="78582377" w14:textId="77777777" w:rsidR="004D0EB7" w:rsidRDefault="004D0EB7">
      <w:pPr>
        <w:spacing w:line="240" w:lineRule="auto"/>
        <w:rPr>
          <w:rFonts w:eastAsiaTheme="majorEastAsia" w:cstheme="majorBidi"/>
          <w:b/>
          <w:bCs/>
          <w:iCs/>
        </w:rPr>
      </w:pPr>
      <w:r>
        <w:br w:type="page"/>
      </w:r>
    </w:p>
    <w:p w14:paraId="68557C3F" w14:textId="77777777" w:rsidR="004D0EB7" w:rsidRDefault="004D0EB7" w:rsidP="00225E0A">
      <w:pPr>
        <w:jc w:val="center"/>
      </w:pPr>
      <w:r>
        <w:rPr>
          <w:noProof/>
        </w:rPr>
        <w:lastRenderedPageBreak/>
        <w:drawing>
          <wp:inline distT="0" distB="0" distL="0" distR="0" wp14:anchorId="48FBC333" wp14:editId="7D7C5357">
            <wp:extent cx="2971800" cy="186798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71800" cy="1867988"/>
                    </a:xfrm>
                    <a:prstGeom prst="rect">
                      <a:avLst/>
                    </a:prstGeom>
                    <a:noFill/>
                  </pic:spPr>
                </pic:pic>
              </a:graphicData>
            </a:graphic>
          </wp:inline>
        </w:drawing>
      </w:r>
      <w:r>
        <w:rPr>
          <w:noProof/>
        </w:rPr>
        <w:drawing>
          <wp:inline distT="0" distB="0" distL="0" distR="0" wp14:anchorId="25962C50" wp14:editId="0D2ECEB5">
            <wp:extent cx="2971800" cy="1874520"/>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71800" cy="1874520"/>
                    </a:xfrm>
                    <a:prstGeom prst="rect">
                      <a:avLst/>
                    </a:prstGeom>
                    <a:noFill/>
                  </pic:spPr>
                </pic:pic>
              </a:graphicData>
            </a:graphic>
          </wp:inline>
        </w:drawing>
      </w:r>
    </w:p>
    <w:p w14:paraId="328C6C02" w14:textId="178DD5D7" w:rsidR="00225E0A" w:rsidRDefault="00225E0A" w:rsidP="00225E0A">
      <w:pPr>
        <w:jc w:val="center"/>
      </w:pPr>
      <w:r>
        <w:t>Figure 2-2 A</w:t>
      </w:r>
      <w:r w:rsidR="00954DB7">
        <w:t xml:space="preserve">. </w:t>
      </w:r>
      <w:r>
        <w:t xml:space="preserve">                                                     Figure 2-2 B.</w:t>
      </w:r>
    </w:p>
    <w:p w14:paraId="50184A83" w14:textId="77777777" w:rsidR="00225E0A" w:rsidRDefault="00225E0A" w:rsidP="00225E0A">
      <w:pPr>
        <w:spacing w:line="240" w:lineRule="auto"/>
        <w:jc w:val="center"/>
      </w:pPr>
    </w:p>
    <w:p w14:paraId="4EEF6FDC" w14:textId="77777777" w:rsidR="004D0EB7" w:rsidRDefault="00BD4830" w:rsidP="00225E0A">
      <w:pPr>
        <w:jc w:val="center"/>
      </w:pPr>
      <w:r>
        <w:rPr>
          <w:noProof/>
        </w:rPr>
        <w:drawing>
          <wp:inline distT="0" distB="0" distL="0" distR="0" wp14:anchorId="57BCC0D5" wp14:editId="7F3E855D">
            <wp:extent cx="2971800" cy="187169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71800" cy="1871698"/>
                    </a:xfrm>
                    <a:prstGeom prst="rect">
                      <a:avLst/>
                    </a:prstGeom>
                    <a:noFill/>
                  </pic:spPr>
                </pic:pic>
              </a:graphicData>
            </a:graphic>
          </wp:inline>
        </w:drawing>
      </w:r>
      <w:r w:rsidR="004D0EB7">
        <w:rPr>
          <w:noProof/>
        </w:rPr>
        <w:drawing>
          <wp:inline distT="0" distB="0" distL="0" distR="0" wp14:anchorId="1C8F46C2" wp14:editId="3F9A51A0">
            <wp:extent cx="2971800" cy="187169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71800" cy="1871698"/>
                    </a:xfrm>
                    <a:prstGeom prst="rect">
                      <a:avLst/>
                    </a:prstGeom>
                    <a:noFill/>
                  </pic:spPr>
                </pic:pic>
              </a:graphicData>
            </a:graphic>
          </wp:inline>
        </w:drawing>
      </w:r>
    </w:p>
    <w:p w14:paraId="52A336D1" w14:textId="4760A5DE" w:rsidR="00225E0A" w:rsidRDefault="00225E0A" w:rsidP="00225E0A">
      <w:pPr>
        <w:jc w:val="center"/>
      </w:pPr>
      <w:r>
        <w:t>Figure 2-2 C</w:t>
      </w:r>
      <w:r w:rsidR="00954DB7">
        <w:t xml:space="preserve">. </w:t>
      </w:r>
      <w:r>
        <w:t xml:space="preserve">                                                     Figure 2-2 D.</w:t>
      </w:r>
    </w:p>
    <w:p w14:paraId="5A7ADF58" w14:textId="77777777" w:rsidR="00225E0A" w:rsidRDefault="00225E0A" w:rsidP="004D0EB7"/>
    <w:p w14:paraId="36D710A1" w14:textId="58DC5FA6" w:rsidR="004D0EB7" w:rsidRDefault="00BA712C" w:rsidP="004D0EB7">
      <w:r>
        <w:rPr>
          <w:noProof/>
        </w:rPr>
        <w:drawing>
          <wp:inline distT="0" distB="0" distL="0" distR="0" wp14:anchorId="49C441F8" wp14:editId="6C60E585">
            <wp:extent cx="2971800" cy="187032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71800" cy="1870323"/>
                    </a:xfrm>
                    <a:prstGeom prst="rect">
                      <a:avLst/>
                    </a:prstGeom>
                    <a:noFill/>
                  </pic:spPr>
                </pic:pic>
              </a:graphicData>
            </a:graphic>
          </wp:inline>
        </w:drawing>
      </w:r>
      <w:r w:rsidR="004D0EB7">
        <w:rPr>
          <w:noProof/>
        </w:rPr>
        <w:drawing>
          <wp:inline distT="0" distB="0" distL="0" distR="0" wp14:anchorId="68EEEFA9" wp14:editId="49A4E2D8">
            <wp:extent cx="2971800" cy="187403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71800" cy="1874037"/>
                    </a:xfrm>
                    <a:prstGeom prst="rect">
                      <a:avLst/>
                    </a:prstGeom>
                    <a:noFill/>
                  </pic:spPr>
                </pic:pic>
              </a:graphicData>
            </a:graphic>
          </wp:inline>
        </w:drawing>
      </w:r>
    </w:p>
    <w:p w14:paraId="73A5CC46" w14:textId="51CACE4F" w:rsidR="00225E0A" w:rsidRDefault="00225E0A" w:rsidP="00225E0A">
      <w:pPr>
        <w:jc w:val="center"/>
      </w:pPr>
      <w:r>
        <w:t>Figure 2-2 E</w:t>
      </w:r>
      <w:r w:rsidR="00954DB7">
        <w:t xml:space="preserve">. </w:t>
      </w:r>
      <w:r>
        <w:t xml:space="preserve">                                                     Figure 2-2 F.</w:t>
      </w:r>
    </w:p>
    <w:p w14:paraId="3A9A86D3" w14:textId="77777777" w:rsidR="00225E0A" w:rsidRDefault="00225E0A" w:rsidP="004D0EB7"/>
    <w:p w14:paraId="55332DFC" w14:textId="45487225" w:rsidR="00F20A4A" w:rsidRDefault="00B8390A" w:rsidP="00225E0A">
      <w:pPr>
        <w:jc w:val="center"/>
      </w:pPr>
      <w:r>
        <w:rPr>
          <w:noProof/>
        </w:rPr>
        <w:lastRenderedPageBreak/>
        <w:drawing>
          <wp:inline distT="0" distB="0" distL="0" distR="0" wp14:anchorId="48864833" wp14:editId="18FB6F6C">
            <wp:extent cx="2971800" cy="18740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71800" cy="1874037"/>
                    </a:xfrm>
                    <a:prstGeom prst="rect">
                      <a:avLst/>
                    </a:prstGeom>
                    <a:noFill/>
                  </pic:spPr>
                </pic:pic>
              </a:graphicData>
            </a:graphic>
          </wp:inline>
        </w:drawing>
      </w:r>
      <w:r w:rsidR="00F20A4A">
        <w:rPr>
          <w:noProof/>
        </w:rPr>
        <w:drawing>
          <wp:inline distT="0" distB="0" distL="0" distR="0" wp14:anchorId="51DE39F8" wp14:editId="102D6FF1">
            <wp:extent cx="2971800" cy="1870323"/>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71800" cy="1870323"/>
                    </a:xfrm>
                    <a:prstGeom prst="rect">
                      <a:avLst/>
                    </a:prstGeom>
                    <a:noFill/>
                  </pic:spPr>
                </pic:pic>
              </a:graphicData>
            </a:graphic>
          </wp:inline>
        </w:drawing>
      </w:r>
    </w:p>
    <w:p w14:paraId="2777F484" w14:textId="406BBABD" w:rsidR="00225E0A" w:rsidRDefault="00225E0A" w:rsidP="00225E0A">
      <w:pPr>
        <w:jc w:val="center"/>
      </w:pPr>
      <w:r>
        <w:t>Figure 2-2 G</w:t>
      </w:r>
      <w:r w:rsidR="00954DB7">
        <w:t xml:space="preserve">. </w:t>
      </w:r>
      <w:r>
        <w:t xml:space="preserve">                                                     Figure 2-2 H.</w:t>
      </w:r>
    </w:p>
    <w:p w14:paraId="3FEC28DF" w14:textId="77777777" w:rsidR="00225E0A" w:rsidRDefault="00225E0A" w:rsidP="00225E0A">
      <w:pPr>
        <w:jc w:val="center"/>
      </w:pPr>
    </w:p>
    <w:p w14:paraId="61E8C056" w14:textId="77777777" w:rsidR="00F20A4A" w:rsidRDefault="00F20A4A" w:rsidP="00F20A4A">
      <w:r>
        <w:rPr>
          <w:noProof/>
        </w:rPr>
        <w:drawing>
          <wp:inline distT="0" distB="0" distL="0" distR="0" wp14:anchorId="49BEDF14" wp14:editId="3A80E459">
            <wp:extent cx="2971800" cy="1874037"/>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71800" cy="1874037"/>
                    </a:xfrm>
                    <a:prstGeom prst="rect">
                      <a:avLst/>
                    </a:prstGeom>
                    <a:noFill/>
                  </pic:spPr>
                </pic:pic>
              </a:graphicData>
            </a:graphic>
          </wp:inline>
        </w:drawing>
      </w:r>
      <w:r>
        <w:rPr>
          <w:noProof/>
        </w:rPr>
        <w:drawing>
          <wp:inline distT="0" distB="0" distL="0" distR="0" wp14:anchorId="7DC4FB40" wp14:editId="08E7CD0D">
            <wp:extent cx="2971800" cy="187403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71800" cy="1874037"/>
                    </a:xfrm>
                    <a:prstGeom prst="rect">
                      <a:avLst/>
                    </a:prstGeom>
                    <a:noFill/>
                  </pic:spPr>
                </pic:pic>
              </a:graphicData>
            </a:graphic>
          </wp:inline>
        </w:drawing>
      </w:r>
    </w:p>
    <w:p w14:paraId="39278E77" w14:textId="76FD17C2" w:rsidR="00225E0A" w:rsidRDefault="00225E0A" w:rsidP="00225E0A">
      <w:pPr>
        <w:jc w:val="center"/>
      </w:pPr>
      <w:r>
        <w:t>Figure 2-2 I</w:t>
      </w:r>
      <w:r w:rsidR="00954DB7">
        <w:t xml:space="preserve">. </w:t>
      </w:r>
      <w:r>
        <w:t xml:space="preserve">                                                     Figure 2-2 J.</w:t>
      </w:r>
    </w:p>
    <w:p w14:paraId="3D91424C" w14:textId="77777777" w:rsidR="00225E0A" w:rsidRDefault="00225E0A" w:rsidP="00F20A4A"/>
    <w:p w14:paraId="08A93A00" w14:textId="77777777" w:rsidR="003D2B24" w:rsidRDefault="003D2B24" w:rsidP="004D0EB7">
      <w:pPr>
        <w:sectPr w:rsidR="003D2B24" w:rsidSect="00967E31">
          <w:pgSz w:w="12240" w:h="15840"/>
          <w:pgMar w:top="1440" w:right="1440" w:bottom="1440" w:left="1440" w:header="720" w:footer="720" w:gutter="0"/>
          <w:cols w:space="720"/>
          <w:docGrid w:linePitch="360"/>
        </w:sectPr>
      </w:pPr>
    </w:p>
    <w:p w14:paraId="3423CC7A" w14:textId="77777777" w:rsidR="00E7669F" w:rsidRDefault="00E7669F" w:rsidP="00E7669F"/>
    <w:p w14:paraId="5F22C40D" w14:textId="25831858" w:rsidR="00596A40" w:rsidRDefault="00967E31" w:rsidP="00EC28CD">
      <w:pPr>
        <w:pStyle w:val="Heading4"/>
      </w:pPr>
      <w:bookmarkStart w:id="83" w:name="_Toc404070388"/>
      <w:r>
        <w:t>Figure 2-</w:t>
      </w:r>
      <w:r w:rsidR="00225E0A">
        <w:t>3</w:t>
      </w:r>
      <w:r w:rsidR="00596A40">
        <w:t xml:space="preserve">. </w:t>
      </w:r>
      <w:r w:rsidR="005F4434">
        <w:t>Estimates of specific combining ability (SCA) of eight lowland switchgrass parents based on evaluation of F1 populations derived from a full diallel cross. Traits evaluated include</w:t>
      </w:r>
      <w:r w:rsidR="005F4434" w:rsidRPr="00596A40">
        <w:t xml:space="preserve"> biomass yield</w:t>
      </w:r>
      <w:r w:rsidR="005F4434">
        <w:t xml:space="preserve"> (A-B)</w:t>
      </w:r>
      <w:r w:rsidR="005F4434" w:rsidRPr="00596A40">
        <w:t>, predi</w:t>
      </w:r>
      <w:r w:rsidR="005F4434">
        <w:t>cted ethanol yield (C-D),</w:t>
      </w:r>
      <w:r w:rsidR="005F4434" w:rsidRPr="00596A40">
        <w:t xml:space="preserve"> fall height</w:t>
      </w:r>
      <w:r w:rsidR="005F4434">
        <w:t xml:space="preserve"> (E)</w:t>
      </w:r>
      <w:r w:rsidR="005F4434" w:rsidRPr="00596A40">
        <w:t>, spring height</w:t>
      </w:r>
      <w:r w:rsidR="005F4434">
        <w:t xml:space="preserve"> (F)</w:t>
      </w:r>
      <w:r w:rsidR="005F4434" w:rsidRPr="00596A40">
        <w:t>, tiller number</w:t>
      </w:r>
      <w:r w:rsidR="005F4434">
        <w:t xml:space="preserve"> (G), tiller diameter (H), </w:t>
      </w:r>
      <w:r w:rsidR="00B8390A">
        <w:t>leaf width</w:t>
      </w:r>
      <w:r w:rsidR="005F4434">
        <w:t xml:space="preserve"> (I), </w:t>
      </w:r>
      <w:r w:rsidR="00DA675F">
        <w:t>canopy density</w:t>
      </w:r>
      <w:r w:rsidR="005F4434">
        <w:t xml:space="preserve"> (J), and </w:t>
      </w:r>
      <w:r w:rsidR="009C1A48">
        <w:t>rust severity</w:t>
      </w:r>
      <w:r w:rsidR="005F4434">
        <w:t xml:space="preserve"> in Oct. 2012 (K) and Aug. 2013 (L). </w:t>
      </w:r>
      <w:r w:rsidR="00596A40">
        <w:t xml:space="preserve">Biomass yield and predicted ethanol yield values are shown for 2012 and 2013 because of a significant SCA by year interaction effect in the model. </w:t>
      </w:r>
      <w:r w:rsidR="009C1A48">
        <w:t>Rust severity</w:t>
      </w:r>
      <w:r w:rsidR="005F4434">
        <w:t xml:space="preserve"> SCA values are shown for each year due to differences in seasonal timing of ratings. </w:t>
      </w:r>
      <w:r w:rsidR="00596A40">
        <w:t xml:space="preserve">For the remaining traits, the mean SCA value across both years and locations is shown. </w:t>
      </w:r>
      <w:r w:rsidR="001B0472">
        <w:t xml:space="preserve">The population mean is listed in the title for the x-axis. SCA values along the x-axis indicate deviation from that mean. </w:t>
      </w:r>
      <w:r w:rsidR="00596A40">
        <w:t>Each cross is listed on the y axis of the graph. A cross is the first occurrence of a parental combination. The SCA value for that cross is represented by a grey diamond. The reciprocal of that cross is represented by a black circle. The line connecting these two values shows the mean maternal effect, i.e. the mean difference in trait value between the cross and its reciprocal. Significant maternal effects are indicated by an asterisk to the left of the cross on the y axis</w:t>
      </w:r>
      <w:r w:rsidR="00954DB7">
        <w:t xml:space="preserve">. </w:t>
      </w:r>
      <w:r w:rsidR="00596A40">
        <w:t>Significant SCA values are indicated by an asterisk to right or left of the SCA data point (</w:t>
      </w:r>
      <w:r w:rsidR="00596A40" w:rsidRPr="00203E93">
        <w:rPr>
          <w:rFonts w:cs="Times New Roman"/>
          <w:color w:val="000000"/>
        </w:rPr>
        <w:t xml:space="preserve">* </w:t>
      </w:r>
      <w:r w:rsidR="00B7572A">
        <w:rPr>
          <w:rFonts w:cs="Times New Roman"/>
          <w:color w:val="000000"/>
        </w:rPr>
        <w:t xml:space="preserve">P </w:t>
      </w:r>
      <w:r w:rsidR="009021A8">
        <w:rPr>
          <w:rFonts w:cs="Times New Roman"/>
          <w:color w:val="000000"/>
        </w:rPr>
        <w:t xml:space="preserve">&lt; </w:t>
      </w:r>
      <w:r w:rsidR="00596A40" w:rsidRPr="00203E93">
        <w:rPr>
          <w:rFonts w:cs="Times New Roman"/>
          <w:color w:val="000000"/>
        </w:rPr>
        <w:t>0.05, **</w:t>
      </w:r>
      <w:r w:rsidR="00B7572A">
        <w:rPr>
          <w:rFonts w:cs="Times New Roman"/>
          <w:color w:val="000000"/>
        </w:rPr>
        <w:t xml:space="preserve">P </w:t>
      </w:r>
      <w:r w:rsidR="009021A8">
        <w:rPr>
          <w:rFonts w:cs="Times New Roman"/>
          <w:color w:val="000000"/>
        </w:rPr>
        <w:t xml:space="preserve">&lt; </w:t>
      </w:r>
      <w:r w:rsidR="00596A40" w:rsidRPr="00203E93">
        <w:rPr>
          <w:rFonts w:cs="Times New Roman"/>
          <w:color w:val="000000"/>
        </w:rPr>
        <w:t>0.01, ***</w:t>
      </w:r>
      <w:r w:rsidR="00B7572A">
        <w:rPr>
          <w:rFonts w:cs="Times New Roman"/>
          <w:color w:val="000000"/>
        </w:rPr>
        <w:t xml:space="preserve">P </w:t>
      </w:r>
      <w:r w:rsidR="009021A8">
        <w:rPr>
          <w:rFonts w:cs="Times New Roman"/>
          <w:color w:val="000000"/>
        </w:rPr>
        <w:t xml:space="preserve">&lt; </w:t>
      </w:r>
      <w:r w:rsidR="00596A40" w:rsidRPr="00203E93">
        <w:rPr>
          <w:rFonts w:cs="Times New Roman"/>
          <w:color w:val="000000"/>
        </w:rPr>
        <w:t>0.001 respectively</w:t>
      </w:r>
      <w:r w:rsidR="00596A40">
        <w:rPr>
          <w:rFonts w:cs="Times New Roman"/>
          <w:color w:val="000000"/>
        </w:rPr>
        <w:t>)</w:t>
      </w:r>
      <w:r w:rsidR="00596A40">
        <w:t>.</w:t>
      </w:r>
      <w:bookmarkEnd w:id="83"/>
    </w:p>
    <w:p w14:paraId="53C80D73" w14:textId="77777777" w:rsidR="00596A40" w:rsidRDefault="00596A40" w:rsidP="00596A40">
      <w:pPr>
        <w:spacing w:line="240" w:lineRule="auto"/>
      </w:pPr>
      <w:r>
        <w:br w:type="page"/>
      </w:r>
    </w:p>
    <w:p w14:paraId="3CB8CFBE" w14:textId="5CA6FB5A" w:rsidR="00596A40" w:rsidRDefault="00432385" w:rsidP="003D2B24">
      <w:pPr>
        <w:jc w:val="center"/>
      </w:pPr>
      <w:r>
        <w:rPr>
          <w:noProof/>
        </w:rPr>
        <w:lastRenderedPageBreak/>
        <w:drawing>
          <wp:inline distT="0" distB="0" distL="0" distR="0" wp14:anchorId="193EC4A0" wp14:editId="5C222529">
            <wp:extent cx="4114769" cy="3581400"/>
            <wp:effectExtent l="0" t="0" r="63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b="1433"/>
                    <a:stretch/>
                  </pic:blipFill>
                  <pic:spPr bwMode="auto">
                    <a:xfrm>
                      <a:off x="0" y="0"/>
                      <a:ext cx="4114800" cy="3581427"/>
                    </a:xfrm>
                    <a:prstGeom prst="rect">
                      <a:avLst/>
                    </a:prstGeom>
                    <a:ln>
                      <a:noFill/>
                    </a:ln>
                    <a:extLst>
                      <a:ext uri="{53640926-AAD7-44D8-BBD7-CCE9431645EC}">
                        <a14:shadowObscured xmlns:a14="http://schemas.microsoft.com/office/drawing/2010/main"/>
                      </a:ext>
                    </a:extLst>
                  </pic:spPr>
                </pic:pic>
              </a:graphicData>
            </a:graphic>
          </wp:inline>
        </w:drawing>
      </w:r>
      <w:r w:rsidR="00E24A82">
        <w:rPr>
          <w:noProof/>
        </w:rPr>
        <w:drawing>
          <wp:inline distT="0" distB="0" distL="0" distR="0" wp14:anchorId="0D059054" wp14:editId="02A997AF">
            <wp:extent cx="4114800" cy="35877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114800" cy="3587781"/>
                    </a:xfrm>
                    <a:prstGeom prst="rect">
                      <a:avLst/>
                    </a:prstGeom>
                  </pic:spPr>
                </pic:pic>
              </a:graphicData>
            </a:graphic>
          </wp:inline>
        </w:drawing>
      </w:r>
    </w:p>
    <w:p w14:paraId="19067322" w14:textId="77777777" w:rsidR="00225E0A" w:rsidRDefault="00225E0A" w:rsidP="00225E0A">
      <w:pPr>
        <w:spacing w:line="240" w:lineRule="auto"/>
        <w:jc w:val="center"/>
      </w:pPr>
    </w:p>
    <w:p w14:paraId="277BA14A" w14:textId="11061D19" w:rsidR="00225E0A" w:rsidRDefault="003D2B24" w:rsidP="00225E0A">
      <w:pPr>
        <w:spacing w:line="240" w:lineRule="auto"/>
        <w:jc w:val="center"/>
      </w:pPr>
      <w:r>
        <w:t>Figure 2-3 A</w:t>
      </w:r>
      <w:r w:rsidR="00954DB7">
        <w:t xml:space="preserve">. </w:t>
      </w:r>
      <w:r>
        <w:t xml:space="preserve">                                                                                   </w:t>
      </w:r>
      <w:r w:rsidR="00225E0A">
        <w:t>Figure 2-3 B.</w:t>
      </w:r>
    </w:p>
    <w:p w14:paraId="4CE767BA" w14:textId="77777777" w:rsidR="00225E0A" w:rsidRDefault="003D2B24" w:rsidP="005F4434">
      <w:pPr>
        <w:spacing w:line="240" w:lineRule="auto"/>
        <w:jc w:val="center"/>
      </w:pPr>
      <w:r>
        <w:t xml:space="preserve">  </w:t>
      </w:r>
    </w:p>
    <w:p w14:paraId="64832E39" w14:textId="61783026" w:rsidR="003C0206" w:rsidRDefault="00257115" w:rsidP="00225E0A">
      <w:pPr>
        <w:jc w:val="center"/>
      </w:pPr>
      <w:r>
        <w:rPr>
          <w:noProof/>
        </w:rPr>
        <w:lastRenderedPageBreak/>
        <w:drawing>
          <wp:inline distT="0" distB="0" distL="0" distR="0" wp14:anchorId="1615BDBC" wp14:editId="1CA112AE">
            <wp:extent cx="4114800" cy="3612333"/>
            <wp:effectExtent l="0" t="0" r="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114800" cy="3612333"/>
                    </a:xfrm>
                    <a:prstGeom prst="rect">
                      <a:avLst/>
                    </a:prstGeom>
                  </pic:spPr>
                </pic:pic>
              </a:graphicData>
            </a:graphic>
          </wp:inline>
        </w:drawing>
      </w:r>
      <w:r>
        <w:rPr>
          <w:noProof/>
        </w:rPr>
        <w:drawing>
          <wp:inline distT="0" distB="0" distL="0" distR="0" wp14:anchorId="5ADC174A" wp14:editId="1D229292">
            <wp:extent cx="4114800" cy="3612333"/>
            <wp:effectExtent l="0" t="0" r="0" b="7620"/>
            <wp:docPr id="1984" name="Picture 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114800" cy="3612333"/>
                    </a:xfrm>
                    <a:prstGeom prst="rect">
                      <a:avLst/>
                    </a:prstGeom>
                  </pic:spPr>
                </pic:pic>
              </a:graphicData>
            </a:graphic>
          </wp:inline>
        </w:drawing>
      </w:r>
    </w:p>
    <w:p w14:paraId="179130E1" w14:textId="6700BA51" w:rsidR="003D2B24" w:rsidRDefault="003D2B24" w:rsidP="003D2B24">
      <w:pPr>
        <w:spacing w:line="240" w:lineRule="auto"/>
        <w:jc w:val="center"/>
      </w:pPr>
      <w:r>
        <w:t>Figure 2-3 C</w:t>
      </w:r>
      <w:r w:rsidR="00954DB7">
        <w:t xml:space="preserve">. </w:t>
      </w:r>
      <w:r>
        <w:t xml:space="preserve">                                                                                   Figure 2-3 D.</w:t>
      </w:r>
    </w:p>
    <w:p w14:paraId="380CD7FE" w14:textId="0F3BBBD5" w:rsidR="003C0206" w:rsidRDefault="00257115" w:rsidP="003D2B24">
      <w:pPr>
        <w:jc w:val="center"/>
      </w:pPr>
      <w:r>
        <w:rPr>
          <w:noProof/>
        </w:rPr>
        <w:lastRenderedPageBreak/>
        <w:drawing>
          <wp:inline distT="0" distB="0" distL="0" distR="0" wp14:anchorId="027A0D2B" wp14:editId="44B7918E">
            <wp:extent cx="4114800" cy="3636335"/>
            <wp:effectExtent l="0" t="0" r="0" b="2540"/>
            <wp:docPr id="1999" name="Picture 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114800" cy="3636335"/>
                    </a:xfrm>
                    <a:prstGeom prst="rect">
                      <a:avLst/>
                    </a:prstGeom>
                  </pic:spPr>
                </pic:pic>
              </a:graphicData>
            </a:graphic>
          </wp:inline>
        </w:drawing>
      </w:r>
      <w:r>
        <w:rPr>
          <w:noProof/>
        </w:rPr>
        <w:drawing>
          <wp:inline distT="0" distB="0" distL="0" distR="0" wp14:anchorId="01A18BFC" wp14:editId="72354F4F">
            <wp:extent cx="4114800" cy="3588645"/>
            <wp:effectExtent l="0" t="0" r="0" b="0"/>
            <wp:docPr id="2000" name="Picture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114800" cy="3588645"/>
                    </a:xfrm>
                    <a:prstGeom prst="rect">
                      <a:avLst/>
                    </a:prstGeom>
                  </pic:spPr>
                </pic:pic>
              </a:graphicData>
            </a:graphic>
          </wp:inline>
        </w:drawing>
      </w:r>
    </w:p>
    <w:p w14:paraId="5FC70436" w14:textId="58520D3A" w:rsidR="003D2B24" w:rsidRDefault="003D2B24" w:rsidP="003D2B24">
      <w:pPr>
        <w:spacing w:line="240" w:lineRule="auto"/>
        <w:jc w:val="center"/>
      </w:pPr>
      <w:r>
        <w:t>Figure 2-3 E</w:t>
      </w:r>
      <w:r w:rsidR="00954DB7">
        <w:t xml:space="preserve">. </w:t>
      </w:r>
      <w:r>
        <w:t xml:space="preserve">                                                                                   Figure 2-3 F.</w:t>
      </w:r>
    </w:p>
    <w:p w14:paraId="70F97CC2" w14:textId="69E4925A" w:rsidR="003C0206" w:rsidRDefault="00E24A82" w:rsidP="003D2B24">
      <w:pPr>
        <w:jc w:val="center"/>
      </w:pPr>
      <w:r>
        <w:rPr>
          <w:noProof/>
        </w:rPr>
        <w:lastRenderedPageBreak/>
        <w:drawing>
          <wp:inline distT="0" distB="0" distL="0" distR="0" wp14:anchorId="11CF0CF4" wp14:editId="3376D530">
            <wp:extent cx="4114800" cy="3633134"/>
            <wp:effectExtent l="0" t="0" r="0" b="5715"/>
            <wp:docPr id="2010" name="Picture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114800" cy="3633134"/>
                    </a:xfrm>
                    <a:prstGeom prst="rect">
                      <a:avLst/>
                    </a:prstGeom>
                  </pic:spPr>
                </pic:pic>
              </a:graphicData>
            </a:graphic>
          </wp:inline>
        </w:drawing>
      </w:r>
      <w:r>
        <w:rPr>
          <w:noProof/>
        </w:rPr>
        <w:drawing>
          <wp:inline distT="0" distB="0" distL="0" distR="0" wp14:anchorId="00CF6DBA" wp14:editId="77668AA2">
            <wp:extent cx="4114800" cy="3662925"/>
            <wp:effectExtent l="0" t="0" r="0" b="0"/>
            <wp:docPr id="2011" name="Picture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114800" cy="3662925"/>
                    </a:xfrm>
                    <a:prstGeom prst="rect">
                      <a:avLst/>
                    </a:prstGeom>
                  </pic:spPr>
                </pic:pic>
              </a:graphicData>
            </a:graphic>
          </wp:inline>
        </w:drawing>
      </w:r>
    </w:p>
    <w:p w14:paraId="2E3402F5" w14:textId="44C8E4B4" w:rsidR="003D2B24" w:rsidRDefault="003D2B24" w:rsidP="003D2B24">
      <w:pPr>
        <w:spacing w:line="240" w:lineRule="auto"/>
        <w:jc w:val="center"/>
      </w:pPr>
      <w:r>
        <w:t>Figure 2-3 G</w:t>
      </w:r>
      <w:r w:rsidR="00954DB7">
        <w:t xml:space="preserve">. </w:t>
      </w:r>
      <w:r>
        <w:t xml:space="preserve">                                                                                   Figure 2-3 H.</w:t>
      </w:r>
    </w:p>
    <w:p w14:paraId="1C623AD0" w14:textId="77777777" w:rsidR="00225E0A" w:rsidRDefault="00225E0A" w:rsidP="00235C84">
      <w:pPr>
        <w:jc w:val="center"/>
      </w:pPr>
    </w:p>
    <w:p w14:paraId="7F76EDD0" w14:textId="59CA4A60" w:rsidR="003C0206" w:rsidRDefault="00FA4834" w:rsidP="00235C84">
      <w:pPr>
        <w:jc w:val="center"/>
      </w:pPr>
      <w:r>
        <w:rPr>
          <w:noProof/>
        </w:rPr>
        <w:lastRenderedPageBreak/>
        <w:drawing>
          <wp:inline distT="0" distB="0" distL="0" distR="0" wp14:anchorId="40943019" wp14:editId="0C45E195">
            <wp:extent cx="4114800" cy="3559066"/>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114800" cy="3559066"/>
                    </a:xfrm>
                    <a:prstGeom prst="rect">
                      <a:avLst/>
                    </a:prstGeom>
                  </pic:spPr>
                </pic:pic>
              </a:graphicData>
            </a:graphic>
          </wp:inline>
        </w:drawing>
      </w:r>
    </w:p>
    <w:p w14:paraId="108E43DE" w14:textId="77777777" w:rsidR="00225E0A" w:rsidRDefault="00225E0A" w:rsidP="00225E0A">
      <w:pPr>
        <w:jc w:val="center"/>
      </w:pPr>
      <w:r>
        <w:t>Figure 2-3 I.</w:t>
      </w:r>
    </w:p>
    <w:p w14:paraId="3CCE6681" w14:textId="77777777" w:rsidR="00225E0A" w:rsidRDefault="00225E0A" w:rsidP="00235C84">
      <w:pPr>
        <w:jc w:val="center"/>
      </w:pPr>
    </w:p>
    <w:p w14:paraId="553F27F2" w14:textId="77777777" w:rsidR="003C0206" w:rsidRDefault="003C0206" w:rsidP="00235C84">
      <w:pPr>
        <w:jc w:val="center"/>
      </w:pPr>
    </w:p>
    <w:p w14:paraId="72EC5AE2" w14:textId="77777777" w:rsidR="00596A40" w:rsidRDefault="00596A40" w:rsidP="00596A40">
      <w:pPr>
        <w:spacing w:line="240" w:lineRule="auto"/>
      </w:pPr>
    </w:p>
    <w:p w14:paraId="7067867C" w14:textId="77777777" w:rsidR="00596A40" w:rsidRDefault="00596A40" w:rsidP="00235C84">
      <w:pPr>
        <w:jc w:val="center"/>
      </w:pPr>
    </w:p>
    <w:p w14:paraId="592FD26E" w14:textId="77777777" w:rsidR="003D2B24" w:rsidRDefault="003D2B24" w:rsidP="00091121">
      <w:pPr>
        <w:sectPr w:rsidR="003D2B24" w:rsidSect="003D2B24">
          <w:pgSz w:w="15840" w:h="12240" w:orient="landscape"/>
          <w:pgMar w:top="1440" w:right="1440" w:bottom="1440" w:left="1440" w:header="720" w:footer="720" w:gutter="0"/>
          <w:cols w:space="720"/>
          <w:docGrid w:linePitch="360"/>
        </w:sectPr>
      </w:pPr>
    </w:p>
    <w:p w14:paraId="0526682F" w14:textId="77777777" w:rsidR="00B04352" w:rsidRDefault="00B04352" w:rsidP="00B04352"/>
    <w:p w14:paraId="2D777B76" w14:textId="77777777" w:rsidR="00B04352" w:rsidRDefault="00B04352" w:rsidP="00B04352"/>
    <w:p w14:paraId="5BC83409" w14:textId="77777777" w:rsidR="00B04352" w:rsidRDefault="00B04352" w:rsidP="00B04352"/>
    <w:p w14:paraId="34B9A658" w14:textId="77777777" w:rsidR="00B04352" w:rsidRDefault="00B04352" w:rsidP="00B04352"/>
    <w:p w14:paraId="1AA8B4EF" w14:textId="15D270BD" w:rsidR="00872F01" w:rsidRPr="00872F01" w:rsidRDefault="00137A35" w:rsidP="00EC28CD">
      <w:pPr>
        <w:pStyle w:val="Heading4"/>
      </w:pPr>
      <w:bookmarkStart w:id="84" w:name="_Toc404070389"/>
      <w:r>
        <w:t>F</w:t>
      </w:r>
      <w:r w:rsidR="00D35BB1">
        <w:t>igure 2-4</w:t>
      </w:r>
      <w:r>
        <w:t xml:space="preserve">. </w:t>
      </w:r>
      <w:r w:rsidR="00872F01">
        <w:t xml:space="preserve">Box plots by year of </w:t>
      </w:r>
      <w:r>
        <w:t xml:space="preserve">F1 populations </w:t>
      </w:r>
      <w:r w:rsidR="00872F01">
        <w:t>exhibiting high parent heterosis for predicted ethanol yield (</w:t>
      </w:r>
      <w:r w:rsidR="002209EF">
        <w:t>A</w:t>
      </w:r>
      <w:r w:rsidR="00872F01">
        <w:t>-</w:t>
      </w:r>
      <w:r w:rsidR="002209EF">
        <w:t>B</w:t>
      </w:r>
      <w:r w:rsidR="00A5049E">
        <w:t xml:space="preserve">) and </w:t>
      </w:r>
      <w:r w:rsidR="00872F01">
        <w:t>fall height (</w:t>
      </w:r>
      <w:r w:rsidR="002209EF">
        <w:t>C</w:t>
      </w:r>
      <w:r w:rsidR="00872F01">
        <w:t>-</w:t>
      </w:r>
      <w:r w:rsidR="002209EF">
        <w:t>D</w:t>
      </w:r>
      <w:r w:rsidR="00872F01">
        <w:t>) in 2012 and 2013 and spring height (</w:t>
      </w:r>
      <w:r w:rsidR="002209EF">
        <w:t>E</w:t>
      </w:r>
      <w:r w:rsidR="00872F01">
        <w:t>-</w:t>
      </w:r>
      <w:r w:rsidR="002209EF">
        <w:t>F</w:t>
      </w:r>
      <w:r w:rsidR="00872F01">
        <w:t>), tiller number (</w:t>
      </w:r>
      <w:r w:rsidR="002209EF">
        <w:t>G</w:t>
      </w:r>
      <w:r w:rsidR="00872F01">
        <w:t>-</w:t>
      </w:r>
      <w:r w:rsidR="002209EF">
        <w:t>H</w:t>
      </w:r>
      <w:r w:rsidR="00872F01">
        <w:t>), tiller diameter (</w:t>
      </w:r>
      <w:r w:rsidR="002209EF">
        <w:t>I</w:t>
      </w:r>
      <w:r w:rsidR="00872F01">
        <w:t>-</w:t>
      </w:r>
      <w:r w:rsidR="002209EF">
        <w:t>J</w:t>
      </w:r>
      <w:r>
        <w:t xml:space="preserve">), </w:t>
      </w:r>
      <w:r w:rsidR="000B7ED3">
        <w:t>and</w:t>
      </w:r>
      <w:r w:rsidR="00872F01">
        <w:t xml:space="preserve"> </w:t>
      </w:r>
      <w:r w:rsidR="00B8390A">
        <w:t>leaf width</w:t>
      </w:r>
      <w:r w:rsidR="00872F01">
        <w:t xml:space="preserve"> (</w:t>
      </w:r>
      <w:r w:rsidR="002209EF">
        <w:t>K</w:t>
      </w:r>
      <w:r w:rsidR="00872F01">
        <w:t>-</w:t>
      </w:r>
      <w:r w:rsidR="002209EF">
        <w:t>L</w:t>
      </w:r>
      <w:r>
        <w:t>)</w:t>
      </w:r>
      <w:r w:rsidR="00872F01">
        <w:t xml:space="preserve"> in 2013 and 2014</w:t>
      </w:r>
      <w:r w:rsidR="00954DB7">
        <w:t xml:space="preserve">. </w:t>
      </w:r>
      <w:r w:rsidR="00872F01" w:rsidRPr="00872F01">
        <w:t xml:space="preserve">Whiskers indicate data within 1.5 times the inter-quartile range of the box edge. Mild outliers (data points within 1.5 and 3 times the inter-quartile range of the box edge) are indicated by a </w:t>
      </w:r>
      <w:r w:rsidR="00872F01">
        <w:t xml:space="preserve">grey </w:t>
      </w:r>
      <w:r w:rsidR="00872F01" w:rsidRPr="00872F01">
        <w:t xml:space="preserve">circle and severe outliers (data points greater than 3 times the inter-quartile range of the box edge) are indicated by a </w:t>
      </w:r>
      <w:r w:rsidR="00872F01">
        <w:t xml:space="preserve">black </w:t>
      </w:r>
      <w:r w:rsidR="00872F01" w:rsidRPr="00872F01">
        <w:t>diamond.</w:t>
      </w:r>
      <w:r w:rsidR="00872F01">
        <w:t xml:space="preserve"> Populations not exhibiting high parent heterosis in either evaluation year are excluded from each figure. Populations exhibiting high parent heterosis only in one year are indicated as “NS” in the opposing year</w:t>
      </w:r>
      <w:r w:rsidR="00954DB7">
        <w:t>.</w:t>
      </w:r>
      <w:bookmarkEnd w:id="84"/>
      <w:r w:rsidR="00954DB7">
        <w:t xml:space="preserve"> </w:t>
      </w:r>
      <w:r w:rsidR="00872F01" w:rsidRPr="00872F01">
        <w:t xml:space="preserve">  </w:t>
      </w:r>
    </w:p>
    <w:p w14:paraId="5531E8AC" w14:textId="77777777" w:rsidR="00FA7F43" w:rsidRDefault="00FA7F43" w:rsidP="002938C9"/>
    <w:p w14:paraId="76B802FF" w14:textId="77777777" w:rsidR="00FA7F43" w:rsidRDefault="00FA7F43" w:rsidP="002938C9"/>
    <w:p w14:paraId="0C57DBCA" w14:textId="77777777" w:rsidR="00FA7F43" w:rsidRDefault="00FA7F43" w:rsidP="002938C9"/>
    <w:p w14:paraId="21977E45" w14:textId="77777777" w:rsidR="00FA7F43" w:rsidRDefault="00FA7F43" w:rsidP="002938C9"/>
    <w:p w14:paraId="4BD3E526" w14:textId="77777777" w:rsidR="00FA7F43" w:rsidRDefault="00FA7F43" w:rsidP="002938C9"/>
    <w:p w14:paraId="3ED0D7A7" w14:textId="6251C5A2" w:rsidR="00872F01" w:rsidRDefault="00137A35" w:rsidP="00332CAB">
      <w:pPr>
        <w:spacing w:line="240" w:lineRule="auto"/>
        <w:jc w:val="center"/>
      </w:pPr>
      <w:r>
        <w:br w:type="page"/>
      </w:r>
      <w:r w:rsidR="00B04352">
        <w:rPr>
          <w:noProof/>
        </w:rPr>
        <w:lastRenderedPageBreak/>
        <w:drawing>
          <wp:inline distT="0" distB="0" distL="0" distR="0" wp14:anchorId="7617B549" wp14:editId="537FCCB2">
            <wp:extent cx="4114800" cy="3958936"/>
            <wp:effectExtent l="0" t="0" r="0" b="3810"/>
            <wp:docPr id="2038" name="Picture 2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114800" cy="3958936"/>
                    </a:xfrm>
                    <a:prstGeom prst="rect">
                      <a:avLst/>
                    </a:prstGeom>
                  </pic:spPr>
                </pic:pic>
              </a:graphicData>
            </a:graphic>
          </wp:inline>
        </w:drawing>
      </w:r>
      <w:r w:rsidR="00B04352">
        <w:rPr>
          <w:noProof/>
        </w:rPr>
        <w:drawing>
          <wp:inline distT="0" distB="0" distL="0" distR="0" wp14:anchorId="537AA44F" wp14:editId="2CFD997F">
            <wp:extent cx="4114800" cy="4004441"/>
            <wp:effectExtent l="0" t="0" r="0" b="0"/>
            <wp:docPr id="2037" name="Picture 2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114800" cy="4004441"/>
                    </a:xfrm>
                    <a:prstGeom prst="rect">
                      <a:avLst/>
                    </a:prstGeom>
                  </pic:spPr>
                </pic:pic>
              </a:graphicData>
            </a:graphic>
          </wp:inline>
        </w:drawing>
      </w:r>
    </w:p>
    <w:p w14:paraId="6CEDF8F5" w14:textId="77777777" w:rsidR="00781D33" w:rsidRDefault="00781D33">
      <w:pPr>
        <w:spacing w:line="240" w:lineRule="auto"/>
      </w:pPr>
    </w:p>
    <w:p w14:paraId="0074C04D" w14:textId="77777777" w:rsidR="00781D33" w:rsidRDefault="00781D33">
      <w:pPr>
        <w:spacing w:line="240" w:lineRule="auto"/>
      </w:pPr>
    </w:p>
    <w:p w14:paraId="1A01EFAA" w14:textId="77777777" w:rsidR="00FA7F43" w:rsidRDefault="00FA7F43" w:rsidP="00332CAB">
      <w:pPr>
        <w:jc w:val="center"/>
      </w:pPr>
      <w:r>
        <w:t>Figure 2-</w:t>
      </w:r>
      <w:r w:rsidR="00332CAB">
        <w:t>4</w:t>
      </w:r>
      <w:r>
        <w:t xml:space="preserve"> </w:t>
      </w:r>
      <w:r w:rsidR="001E46A0">
        <w:t>A</w:t>
      </w:r>
      <w:r>
        <w:t xml:space="preserve">                                                                                        Figure 2-</w:t>
      </w:r>
      <w:r w:rsidR="00332CAB">
        <w:t>4</w:t>
      </w:r>
      <w:r>
        <w:t xml:space="preserve"> </w:t>
      </w:r>
      <w:r w:rsidR="001E46A0">
        <w:t>B</w:t>
      </w:r>
    </w:p>
    <w:p w14:paraId="57540E3F" w14:textId="77777777" w:rsidR="00FA7F43" w:rsidRDefault="00FA7F43">
      <w:pPr>
        <w:spacing w:line="240" w:lineRule="auto"/>
      </w:pPr>
    </w:p>
    <w:p w14:paraId="4EB362C9" w14:textId="53EA4EC4" w:rsidR="00781D33" w:rsidRDefault="003D7EE8" w:rsidP="00332CAB">
      <w:pPr>
        <w:spacing w:line="240" w:lineRule="auto"/>
        <w:jc w:val="center"/>
      </w:pPr>
      <w:r>
        <w:rPr>
          <w:noProof/>
        </w:rPr>
        <w:lastRenderedPageBreak/>
        <w:drawing>
          <wp:inline distT="0" distB="0" distL="0" distR="0" wp14:anchorId="2D6C0B47" wp14:editId="26C2CAAA">
            <wp:extent cx="4114800" cy="3880561"/>
            <wp:effectExtent l="0" t="0" r="0" b="5715"/>
            <wp:docPr id="2042" name="Picture 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114800" cy="3880561"/>
                    </a:xfrm>
                    <a:prstGeom prst="rect">
                      <a:avLst/>
                    </a:prstGeom>
                  </pic:spPr>
                </pic:pic>
              </a:graphicData>
            </a:graphic>
          </wp:inline>
        </w:drawing>
      </w:r>
      <w:r>
        <w:rPr>
          <w:noProof/>
        </w:rPr>
        <w:drawing>
          <wp:inline distT="0" distB="0" distL="0" distR="0" wp14:anchorId="20CB1E3F" wp14:editId="37F93B00">
            <wp:extent cx="4114800" cy="3877122"/>
            <wp:effectExtent l="0" t="0" r="0" b="9525"/>
            <wp:docPr id="2043" name="Picture 2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114800" cy="3877122"/>
                    </a:xfrm>
                    <a:prstGeom prst="rect">
                      <a:avLst/>
                    </a:prstGeom>
                  </pic:spPr>
                </pic:pic>
              </a:graphicData>
            </a:graphic>
          </wp:inline>
        </w:drawing>
      </w:r>
    </w:p>
    <w:p w14:paraId="52E19DB9" w14:textId="77777777" w:rsidR="00781D33" w:rsidRDefault="00781D33">
      <w:pPr>
        <w:spacing w:line="240" w:lineRule="auto"/>
      </w:pPr>
    </w:p>
    <w:p w14:paraId="346CA0D8" w14:textId="77777777" w:rsidR="00FA7F43" w:rsidRDefault="00FA7F43" w:rsidP="00332CAB">
      <w:pPr>
        <w:jc w:val="center"/>
      </w:pPr>
      <w:r>
        <w:t>Figure 2-</w:t>
      </w:r>
      <w:r w:rsidR="00332CAB">
        <w:t>4</w:t>
      </w:r>
      <w:r>
        <w:t xml:space="preserve"> </w:t>
      </w:r>
      <w:r w:rsidR="001E46A0">
        <w:t>C</w:t>
      </w:r>
      <w:r>
        <w:t xml:space="preserve">                                                                                        Figure 2-</w:t>
      </w:r>
      <w:r w:rsidR="00332CAB">
        <w:t>4</w:t>
      </w:r>
      <w:r>
        <w:t xml:space="preserve"> </w:t>
      </w:r>
      <w:r w:rsidR="001E46A0">
        <w:t>D</w:t>
      </w:r>
    </w:p>
    <w:p w14:paraId="466341C1" w14:textId="77777777" w:rsidR="00FA7F43" w:rsidRDefault="00FA7F43">
      <w:pPr>
        <w:spacing w:line="240" w:lineRule="auto"/>
      </w:pPr>
    </w:p>
    <w:p w14:paraId="68DE674C" w14:textId="1F0978C0" w:rsidR="00FA7F43" w:rsidRDefault="003D7EE8">
      <w:pPr>
        <w:spacing w:line="240" w:lineRule="auto"/>
      </w:pPr>
      <w:r>
        <w:rPr>
          <w:noProof/>
        </w:rPr>
        <w:lastRenderedPageBreak/>
        <w:drawing>
          <wp:inline distT="0" distB="0" distL="0" distR="0" wp14:anchorId="4D2CA72D" wp14:editId="22121551">
            <wp:extent cx="4114477" cy="4029075"/>
            <wp:effectExtent l="0" t="0" r="635" b="0"/>
            <wp:docPr id="2040" name="Picture 2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t="-1" b="952"/>
                    <a:stretch/>
                  </pic:blipFill>
                  <pic:spPr bwMode="auto">
                    <a:xfrm>
                      <a:off x="0" y="0"/>
                      <a:ext cx="4114800" cy="4029391"/>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96A175F" wp14:editId="5FB80B2A">
            <wp:extent cx="4114800" cy="4069080"/>
            <wp:effectExtent l="0" t="0" r="0" b="7620"/>
            <wp:docPr id="2041" name="Picture 20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114800" cy="4069080"/>
                    </a:xfrm>
                    <a:prstGeom prst="rect">
                      <a:avLst/>
                    </a:prstGeom>
                  </pic:spPr>
                </pic:pic>
              </a:graphicData>
            </a:graphic>
          </wp:inline>
        </w:drawing>
      </w:r>
    </w:p>
    <w:p w14:paraId="372DB4D0" w14:textId="77777777" w:rsidR="00FA7F43" w:rsidRDefault="00FA7F43">
      <w:pPr>
        <w:spacing w:line="240" w:lineRule="auto"/>
      </w:pPr>
    </w:p>
    <w:p w14:paraId="6F7E601C" w14:textId="77777777" w:rsidR="00FA7F43" w:rsidRDefault="00FA7F43" w:rsidP="00332CAB">
      <w:pPr>
        <w:jc w:val="center"/>
      </w:pPr>
      <w:r>
        <w:t>Figure 2-</w:t>
      </w:r>
      <w:r w:rsidR="00332CAB">
        <w:t>4</w:t>
      </w:r>
      <w:r>
        <w:t xml:space="preserve"> </w:t>
      </w:r>
      <w:r w:rsidR="001E46A0">
        <w:t>E</w:t>
      </w:r>
      <w:r>
        <w:t xml:space="preserve">                                                                                        Figure 2-</w:t>
      </w:r>
      <w:r w:rsidR="00332CAB">
        <w:t>4</w:t>
      </w:r>
      <w:r>
        <w:t xml:space="preserve"> </w:t>
      </w:r>
      <w:r w:rsidR="001E46A0">
        <w:t>F</w:t>
      </w:r>
    </w:p>
    <w:p w14:paraId="5E39F620" w14:textId="77777777" w:rsidR="00FA7F43" w:rsidRDefault="00FA7F43">
      <w:pPr>
        <w:spacing w:line="240" w:lineRule="auto"/>
      </w:pPr>
    </w:p>
    <w:p w14:paraId="70A40F73" w14:textId="77777777" w:rsidR="00FA7F43" w:rsidRDefault="00FA7F43">
      <w:pPr>
        <w:spacing w:line="240" w:lineRule="auto"/>
      </w:pPr>
    </w:p>
    <w:p w14:paraId="60F1A935" w14:textId="33F50F40" w:rsidR="00FA7F43" w:rsidRDefault="003D7EE8">
      <w:pPr>
        <w:spacing w:line="240" w:lineRule="auto"/>
      </w:pPr>
      <w:r>
        <w:rPr>
          <w:noProof/>
        </w:rPr>
        <w:lastRenderedPageBreak/>
        <w:drawing>
          <wp:inline distT="0" distB="0" distL="0" distR="0" wp14:anchorId="409C8C79" wp14:editId="50CFF42D">
            <wp:extent cx="4114800" cy="3826997"/>
            <wp:effectExtent l="0" t="0" r="0" b="2540"/>
            <wp:docPr id="2044" name="Picture 2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114800" cy="3826997"/>
                    </a:xfrm>
                    <a:prstGeom prst="rect">
                      <a:avLst/>
                    </a:prstGeom>
                  </pic:spPr>
                </pic:pic>
              </a:graphicData>
            </a:graphic>
          </wp:inline>
        </w:drawing>
      </w:r>
      <w:r w:rsidR="00FA7F43">
        <w:rPr>
          <w:noProof/>
        </w:rPr>
        <w:drawing>
          <wp:inline distT="0" distB="0" distL="0" distR="0" wp14:anchorId="3AA3896A" wp14:editId="66A36F5A">
            <wp:extent cx="4114675" cy="3790950"/>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print"/>
                    <a:srcRect b="1501"/>
                    <a:stretch/>
                  </pic:blipFill>
                  <pic:spPr bwMode="auto">
                    <a:xfrm>
                      <a:off x="0" y="0"/>
                      <a:ext cx="4114800" cy="3791065"/>
                    </a:xfrm>
                    <a:prstGeom prst="rect">
                      <a:avLst/>
                    </a:prstGeom>
                    <a:ln>
                      <a:noFill/>
                    </a:ln>
                    <a:extLst>
                      <a:ext uri="{53640926-AAD7-44D8-BBD7-CCE9431645EC}">
                        <a14:shadowObscured xmlns:a14="http://schemas.microsoft.com/office/drawing/2010/main"/>
                      </a:ext>
                    </a:extLst>
                  </pic:spPr>
                </pic:pic>
              </a:graphicData>
            </a:graphic>
          </wp:inline>
        </w:drawing>
      </w:r>
    </w:p>
    <w:p w14:paraId="31F54EF7" w14:textId="77777777" w:rsidR="00FA7F43" w:rsidRDefault="00FA7F43">
      <w:pPr>
        <w:spacing w:line="240" w:lineRule="auto"/>
      </w:pPr>
    </w:p>
    <w:p w14:paraId="2AE3251C" w14:textId="77777777" w:rsidR="00FA7F43" w:rsidRDefault="00FA7F43" w:rsidP="00332CAB">
      <w:pPr>
        <w:jc w:val="center"/>
      </w:pPr>
      <w:r>
        <w:t>Figure 2-</w:t>
      </w:r>
      <w:r w:rsidR="00332CAB">
        <w:t>4</w:t>
      </w:r>
      <w:r>
        <w:t xml:space="preserve"> </w:t>
      </w:r>
      <w:r w:rsidR="001E46A0">
        <w:t>G</w:t>
      </w:r>
      <w:r>
        <w:t xml:space="preserve">                                                                                        Figure 2-</w:t>
      </w:r>
      <w:r w:rsidR="00332CAB">
        <w:t>4</w:t>
      </w:r>
      <w:r>
        <w:t xml:space="preserve"> </w:t>
      </w:r>
      <w:r w:rsidR="001E46A0">
        <w:t>H</w:t>
      </w:r>
    </w:p>
    <w:p w14:paraId="671372AB" w14:textId="77777777" w:rsidR="00FA7F43" w:rsidRDefault="00FA7F43">
      <w:pPr>
        <w:spacing w:line="240" w:lineRule="auto"/>
      </w:pPr>
    </w:p>
    <w:p w14:paraId="7022FF9B" w14:textId="537B9C75" w:rsidR="00FA7F43" w:rsidRDefault="00584B5D">
      <w:pPr>
        <w:spacing w:line="240" w:lineRule="auto"/>
      </w:pPr>
      <w:r>
        <w:rPr>
          <w:noProof/>
        </w:rPr>
        <w:lastRenderedPageBreak/>
        <w:drawing>
          <wp:inline distT="0" distB="0" distL="0" distR="0" wp14:anchorId="45C27E9E" wp14:editId="5E34A4D3">
            <wp:extent cx="4114800" cy="3879669"/>
            <wp:effectExtent l="0" t="0" r="0" b="6985"/>
            <wp:docPr id="2047" name="Picture 2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114800" cy="3879669"/>
                    </a:xfrm>
                    <a:prstGeom prst="rect">
                      <a:avLst/>
                    </a:prstGeom>
                  </pic:spPr>
                </pic:pic>
              </a:graphicData>
            </a:graphic>
          </wp:inline>
        </w:drawing>
      </w:r>
      <w:r>
        <w:rPr>
          <w:noProof/>
        </w:rPr>
        <w:drawing>
          <wp:inline distT="0" distB="0" distL="0" distR="0" wp14:anchorId="482E0BF2" wp14:editId="423B4379">
            <wp:extent cx="4114613" cy="3819525"/>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b="971"/>
                    <a:stretch/>
                  </pic:blipFill>
                  <pic:spPr bwMode="auto">
                    <a:xfrm>
                      <a:off x="0" y="0"/>
                      <a:ext cx="4114800" cy="3819698"/>
                    </a:xfrm>
                    <a:prstGeom prst="rect">
                      <a:avLst/>
                    </a:prstGeom>
                    <a:ln>
                      <a:noFill/>
                    </a:ln>
                    <a:extLst>
                      <a:ext uri="{53640926-AAD7-44D8-BBD7-CCE9431645EC}">
                        <a14:shadowObscured xmlns:a14="http://schemas.microsoft.com/office/drawing/2010/main"/>
                      </a:ext>
                    </a:extLst>
                  </pic:spPr>
                </pic:pic>
              </a:graphicData>
            </a:graphic>
          </wp:inline>
        </w:drawing>
      </w:r>
    </w:p>
    <w:p w14:paraId="09B4D652" w14:textId="77777777" w:rsidR="00FA7F43" w:rsidRDefault="00FA7F43">
      <w:pPr>
        <w:spacing w:line="240" w:lineRule="auto"/>
      </w:pPr>
    </w:p>
    <w:p w14:paraId="798EC8C0" w14:textId="77777777" w:rsidR="00FA7F43" w:rsidRDefault="00FA7F43" w:rsidP="00332CAB">
      <w:pPr>
        <w:jc w:val="center"/>
      </w:pPr>
      <w:r>
        <w:t>Figure 2-</w:t>
      </w:r>
      <w:r w:rsidR="00332CAB">
        <w:t>4</w:t>
      </w:r>
      <w:r>
        <w:t xml:space="preserve"> </w:t>
      </w:r>
      <w:r w:rsidR="001E46A0">
        <w:t>I</w:t>
      </w:r>
      <w:r>
        <w:t xml:space="preserve">                                                                                        Figure 2-</w:t>
      </w:r>
      <w:r w:rsidR="00332CAB">
        <w:t>4</w:t>
      </w:r>
      <w:r>
        <w:t xml:space="preserve"> </w:t>
      </w:r>
      <w:r w:rsidR="001E46A0">
        <w:t>J</w:t>
      </w:r>
    </w:p>
    <w:p w14:paraId="75B85A18" w14:textId="77777777" w:rsidR="00FA7F43" w:rsidRDefault="00FA7F43">
      <w:pPr>
        <w:spacing w:line="240" w:lineRule="auto"/>
      </w:pPr>
    </w:p>
    <w:p w14:paraId="3C653DBC" w14:textId="13F202B5" w:rsidR="00FA7F43" w:rsidRDefault="00FA4834">
      <w:pPr>
        <w:spacing w:line="240" w:lineRule="auto"/>
      </w:pPr>
      <w:r>
        <w:rPr>
          <w:noProof/>
        </w:rPr>
        <w:lastRenderedPageBreak/>
        <w:drawing>
          <wp:inline distT="0" distB="0" distL="0" distR="0" wp14:anchorId="0191069A" wp14:editId="31B12CF0">
            <wp:extent cx="4114800" cy="364528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114800" cy="3645283"/>
                    </a:xfrm>
                    <a:prstGeom prst="rect">
                      <a:avLst/>
                    </a:prstGeom>
                  </pic:spPr>
                </pic:pic>
              </a:graphicData>
            </a:graphic>
          </wp:inline>
        </w:drawing>
      </w:r>
      <w:r w:rsidRPr="00FA4834">
        <w:rPr>
          <w:noProof/>
        </w:rPr>
        <w:t xml:space="preserve"> </w:t>
      </w:r>
      <w:r>
        <w:rPr>
          <w:noProof/>
        </w:rPr>
        <w:drawing>
          <wp:inline distT="0" distB="0" distL="0" distR="0" wp14:anchorId="440524E7" wp14:editId="4605DE67">
            <wp:extent cx="3907266" cy="3657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907266" cy="3657600"/>
                    </a:xfrm>
                    <a:prstGeom prst="rect">
                      <a:avLst/>
                    </a:prstGeom>
                  </pic:spPr>
                </pic:pic>
              </a:graphicData>
            </a:graphic>
          </wp:inline>
        </w:drawing>
      </w:r>
    </w:p>
    <w:p w14:paraId="12FE283F" w14:textId="77777777" w:rsidR="00FA7F43" w:rsidRDefault="00FA7F43">
      <w:pPr>
        <w:spacing w:line="240" w:lineRule="auto"/>
      </w:pPr>
    </w:p>
    <w:p w14:paraId="3B5AAF49" w14:textId="77777777" w:rsidR="00FA7F43" w:rsidRDefault="00FA7F43" w:rsidP="00332CAB">
      <w:pPr>
        <w:jc w:val="center"/>
      </w:pPr>
      <w:r>
        <w:t>Figure 2-</w:t>
      </w:r>
      <w:r w:rsidR="00332CAB">
        <w:t>4</w:t>
      </w:r>
      <w:r>
        <w:t xml:space="preserve"> </w:t>
      </w:r>
      <w:r w:rsidR="001E46A0">
        <w:t>K</w:t>
      </w:r>
      <w:r>
        <w:t xml:space="preserve">                                                                                       Figure 2-</w:t>
      </w:r>
      <w:r w:rsidR="00332CAB">
        <w:t>4</w:t>
      </w:r>
      <w:r>
        <w:t xml:space="preserve"> </w:t>
      </w:r>
      <w:r w:rsidR="001E46A0">
        <w:t>L</w:t>
      </w:r>
    </w:p>
    <w:p w14:paraId="2103586A" w14:textId="77777777" w:rsidR="00FA7F43" w:rsidRDefault="00FA7F43">
      <w:pPr>
        <w:spacing w:line="240" w:lineRule="auto"/>
        <w:sectPr w:rsidR="00FA7F43" w:rsidSect="00872F01">
          <w:pgSz w:w="15840" w:h="12240" w:orient="landscape"/>
          <w:pgMar w:top="1440" w:right="1440" w:bottom="1440" w:left="1440" w:header="720" w:footer="720" w:gutter="0"/>
          <w:cols w:space="720"/>
          <w:docGrid w:linePitch="360"/>
        </w:sectPr>
      </w:pPr>
    </w:p>
    <w:p w14:paraId="1863ACA2" w14:textId="6EC51D8F" w:rsidR="009F46A0" w:rsidRPr="0042088F" w:rsidRDefault="009F46A0" w:rsidP="0042088F">
      <w:r w:rsidRPr="0042088F">
        <w:lastRenderedPageBreak/>
        <w:t xml:space="preserve">                   A</w:t>
      </w:r>
      <w:r w:rsidR="00954DB7">
        <w:t xml:space="preserve">. </w:t>
      </w:r>
      <w:r w:rsidRPr="0042088F">
        <w:t xml:space="preserve">                                                                                              B. </w:t>
      </w:r>
    </w:p>
    <w:p w14:paraId="42E27953" w14:textId="77777777" w:rsidR="00596A40" w:rsidRDefault="000D0449" w:rsidP="006B3C46">
      <w:pPr>
        <w:spacing w:line="240" w:lineRule="auto"/>
        <w:jc w:val="center"/>
      </w:pPr>
      <w:r>
        <w:rPr>
          <w:noProof/>
        </w:rPr>
        <w:drawing>
          <wp:inline distT="0" distB="0" distL="0" distR="0" wp14:anchorId="6B90763D" wp14:editId="2014F028">
            <wp:extent cx="3657600" cy="1828800"/>
            <wp:effectExtent l="0" t="0" r="0" b="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Pr="000D0449">
        <w:rPr>
          <w:noProof/>
        </w:rPr>
        <w:t xml:space="preserve"> </w:t>
      </w:r>
      <w:r>
        <w:rPr>
          <w:noProof/>
        </w:rPr>
        <w:drawing>
          <wp:inline distT="0" distB="0" distL="0" distR="0" wp14:anchorId="5E4DFAE2" wp14:editId="709E8D76">
            <wp:extent cx="3657600" cy="1828800"/>
            <wp:effectExtent l="0" t="0" r="0" b="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05554105" w14:textId="3593DF3A" w:rsidR="009F46A0" w:rsidRPr="00323595" w:rsidRDefault="009F46A0" w:rsidP="006B3C46">
      <w:pPr>
        <w:spacing w:line="240" w:lineRule="auto"/>
      </w:pPr>
      <w:r>
        <w:t xml:space="preserve">                  C</w:t>
      </w:r>
      <w:r w:rsidR="00954DB7">
        <w:t xml:space="preserve">. </w:t>
      </w:r>
      <w:r>
        <w:t xml:space="preserve">                                                                                             D. </w:t>
      </w:r>
    </w:p>
    <w:p w14:paraId="32AC0474" w14:textId="655B6EA4" w:rsidR="00806CA8" w:rsidRDefault="0042088F" w:rsidP="00806CA8">
      <w:pPr>
        <w:jc w:val="center"/>
        <w:rPr>
          <w:noProof/>
        </w:rPr>
      </w:pPr>
      <w:r>
        <w:rPr>
          <w:noProof/>
        </w:rPr>
        <w:drawing>
          <wp:inline distT="0" distB="0" distL="0" distR="0" wp14:anchorId="0DA5CE26" wp14:editId="2CE23909">
            <wp:extent cx="3657600" cy="1828800"/>
            <wp:effectExtent l="0" t="0" r="0" b="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r w:rsidR="000D0449" w:rsidRPr="000D0449">
        <w:rPr>
          <w:noProof/>
        </w:rPr>
        <w:t xml:space="preserve"> </w:t>
      </w:r>
      <w:r w:rsidR="006B3C46">
        <w:rPr>
          <w:noProof/>
        </w:rPr>
        <w:drawing>
          <wp:inline distT="0" distB="0" distL="0" distR="0" wp14:anchorId="7FB0692F" wp14:editId="3864187A">
            <wp:extent cx="3657600" cy="18288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0C33B35B" w14:textId="6EE6527D" w:rsidR="00806CA8" w:rsidRDefault="00806CA8" w:rsidP="00EC28CD">
      <w:pPr>
        <w:pStyle w:val="Heading4"/>
        <w:sectPr w:rsidR="00806CA8" w:rsidSect="00794998">
          <w:pgSz w:w="15840" w:h="12240" w:orient="landscape"/>
          <w:pgMar w:top="1440" w:right="1440" w:bottom="1440" w:left="1440" w:header="720" w:footer="720" w:gutter="0"/>
          <w:cols w:space="720"/>
          <w:docGrid w:linePitch="360"/>
        </w:sectPr>
      </w:pPr>
      <w:bookmarkStart w:id="85" w:name="_Toc404070390"/>
      <w:r w:rsidRPr="0042088F">
        <w:t>Figure 2-</w:t>
      </w:r>
      <w:r w:rsidR="00332CAB">
        <w:t>5</w:t>
      </w:r>
      <w:r w:rsidRPr="0042088F">
        <w:t>: Mean</w:t>
      </w:r>
      <w:r w:rsidR="00A5049E">
        <w:t>s</w:t>
      </w:r>
      <w:r w:rsidRPr="0042088F">
        <w:t xml:space="preserve"> of F1 populations by parental line for </w:t>
      </w:r>
      <w:r w:rsidR="006B3C46">
        <w:t>biomass yield (g) at 8 weeks (A) and at harvest in 2012 (B) and 2013 (C</w:t>
      </w:r>
      <w:r w:rsidRPr="0042088F">
        <w:t>)</w:t>
      </w:r>
      <w:r w:rsidR="006B3C46">
        <w:t>.</w:t>
      </w:r>
      <w:r w:rsidRPr="0042088F">
        <w:t xml:space="preserve"> Mean</w:t>
      </w:r>
      <w:r w:rsidR="00A5049E">
        <w:t>s</w:t>
      </w:r>
      <w:r w:rsidRPr="0042088F">
        <w:t xml:space="preserve"> of F1 populations by parental lines for predicted ethanol yield (mg g</w:t>
      </w:r>
      <w:r w:rsidRPr="0042088F">
        <w:rPr>
          <w:vertAlign w:val="superscript"/>
        </w:rPr>
        <w:t>-1</w:t>
      </w:r>
      <w:r w:rsidR="006B3C46">
        <w:t>) in 2012 and 2013 (D</w:t>
      </w:r>
      <w:r w:rsidRPr="0042088F">
        <w:t>) Populations are ordered from lowest to highest based on</w:t>
      </w:r>
      <w:r>
        <w:t xml:space="preserve"> ranking of</w:t>
      </w:r>
      <w:r w:rsidRPr="0042088F">
        <w:t xml:space="preserve"> 2013 biomas</w:t>
      </w:r>
      <w:r w:rsidR="00624B67">
        <w:t>s</w:t>
      </w:r>
      <w:r>
        <w:t xml:space="preserve"> </w:t>
      </w:r>
      <w:r w:rsidR="006B3C46">
        <w:t xml:space="preserve">or ethanol </w:t>
      </w:r>
      <w:r>
        <w:t>yields</w:t>
      </w:r>
      <w:r w:rsidRPr="0042088F">
        <w:t xml:space="preserve">. Means were separated </w:t>
      </w:r>
      <w:r w:rsidR="00BA712C">
        <w:t xml:space="preserve">within years </w:t>
      </w:r>
      <w:r w:rsidRPr="0042088F">
        <w:t>using Tukey’s HSD (</w:t>
      </w:r>
      <w:r w:rsidR="00192790">
        <w:rPr>
          <w:rFonts w:cs="Times New Roman"/>
        </w:rPr>
        <w:t xml:space="preserve">P &lt; </w:t>
      </w:r>
      <w:r w:rsidRPr="0042088F">
        <w:t>0.05).</w:t>
      </w:r>
      <w:bookmarkEnd w:id="85"/>
      <w:r w:rsidRPr="0042088F">
        <w:t xml:space="preserve"> </w:t>
      </w:r>
    </w:p>
    <w:p w14:paraId="36745C09" w14:textId="3F08BA2D" w:rsidR="00596A40" w:rsidRPr="00323595" w:rsidRDefault="00596A40" w:rsidP="00596A40">
      <w:r>
        <w:lastRenderedPageBreak/>
        <w:t>A</w:t>
      </w:r>
      <w:r w:rsidR="00954DB7">
        <w:t xml:space="preserve">. </w:t>
      </w:r>
      <w:r>
        <w:t xml:space="preserve">                                                                                              B. </w:t>
      </w:r>
    </w:p>
    <w:p w14:paraId="28FBA508" w14:textId="77777777" w:rsidR="00596A40" w:rsidRDefault="00806CA8" w:rsidP="00596A40">
      <w:pPr>
        <w:spacing w:line="240" w:lineRule="auto"/>
        <w:rPr>
          <w:rFonts w:cs="Times New Roman"/>
        </w:rPr>
      </w:pPr>
      <w:r>
        <w:rPr>
          <w:noProof/>
        </w:rPr>
        <w:drawing>
          <wp:inline distT="0" distB="0" distL="0" distR="0" wp14:anchorId="4E4F3DFF" wp14:editId="34CCFD03">
            <wp:extent cx="3657600" cy="1828800"/>
            <wp:effectExtent l="0" t="0" r="0" b="0"/>
            <wp:docPr id="1985" name="Chart 1985"/>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sidRPr="00806CA8">
        <w:rPr>
          <w:noProof/>
        </w:rPr>
        <w:t xml:space="preserve"> </w:t>
      </w:r>
      <w:r>
        <w:rPr>
          <w:noProof/>
        </w:rPr>
        <w:drawing>
          <wp:inline distT="0" distB="0" distL="0" distR="0" wp14:anchorId="1390495D" wp14:editId="77E935F4">
            <wp:extent cx="3657600" cy="1828800"/>
            <wp:effectExtent l="0" t="0" r="0" b="0"/>
            <wp:docPr id="1986" name="Chart 1986"/>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58F6DCA0" w14:textId="77777777" w:rsidR="009F46A0" w:rsidRDefault="009F46A0" w:rsidP="00596A40">
      <w:pPr>
        <w:spacing w:line="240" w:lineRule="auto"/>
        <w:rPr>
          <w:rFonts w:cs="Times New Roman"/>
        </w:rPr>
      </w:pPr>
    </w:p>
    <w:p w14:paraId="117AD339" w14:textId="2BD138E1" w:rsidR="009F46A0" w:rsidRDefault="009F46A0" w:rsidP="00EC28CD">
      <w:pPr>
        <w:pStyle w:val="Heading4"/>
      </w:pPr>
      <w:bookmarkStart w:id="86" w:name="_Toc404070391"/>
      <w:r>
        <w:t>Figure 2-</w:t>
      </w:r>
      <w:r w:rsidR="00332CAB">
        <w:t>6</w:t>
      </w:r>
      <w:r w:rsidRPr="00BB185F">
        <w:t>:</w:t>
      </w:r>
      <w:r w:rsidR="00806CA8">
        <w:t xml:space="preserve"> The top 3</w:t>
      </w:r>
      <w:r>
        <w:t>0% of progeny were selected within each year. Selections were then matched to the value from evaluation at maturity in 2013. The graphs below compare the mean</w:t>
      </w:r>
      <w:r w:rsidR="00A5049E">
        <w:t>s</w:t>
      </w:r>
      <w:r>
        <w:t xml:space="preserve"> </w:t>
      </w:r>
      <w:r w:rsidR="00A5049E">
        <w:t>between</w:t>
      </w:r>
      <w:r>
        <w:t xml:space="preserve"> each set of selections at maturity for biomass yield (g plant</w:t>
      </w:r>
      <w:r>
        <w:softHyphen/>
      </w:r>
      <w:r>
        <w:rPr>
          <w:vertAlign w:val="superscript"/>
        </w:rPr>
        <w:t>-1</w:t>
      </w:r>
      <w:r>
        <w:t xml:space="preserve">) (A.) and </w:t>
      </w:r>
      <w:r w:rsidR="0095454C">
        <w:t>predicted ethanol yield</w:t>
      </w:r>
      <w:r>
        <w:t xml:space="preserve"> (mg g</w:t>
      </w:r>
      <w:r>
        <w:softHyphen/>
      </w:r>
      <w:r>
        <w:rPr>
          <w:vertAlign w:val="superscript"/>
        </w:rPr>
        <w:t>-1</w:t>
      </w:r>
      <w:r>
        <w:t xml:space="preserve">) (B.). Both means and standard errors for each set of selections are indicated. </w:t>
      </w:r>
      <w:r w:rsidR="00192790" w:rsidRPr="0042088F">
        <w:t>Means were separated using Tukey’s HSD (</w:t>
      </w:r>
      <w:r w:rsidR="00192790">
        <w:rPr>
          <w:rFonts w:cs="Times New Roman"/>
        </w:rPr>
        <w:t xml:space="preserve">P &lt; </w:t>
      </w:r>
      <w:r w:rsidR="00192790" w:rsidRPr="0042088F">
        <w:t>0.05).</w:t>
      </w:r>
      <w:bookmarkEnd w:id="86"/>
    </w:p>
    <w:p w14:paraId="3005F72B" w14:textId="77777777" w:rsidR="004E14EB" w:rsidRDefault="004E14EB">
      <w:pPr>
        <w:spacing w:line="240" w:lineRule="auto"/>
        <w:rPr>
          <w:rFonts w:cs="Times New Roman"/>
        </w:rPr>
        <w:sectPr w:rsidR="004E14EB" w:rsidSect="00794998">
          <w:pgSz w:w="15840" w:h="12240" w:orient="landscape"/>
          <w:pgMar w:top="1440" w:right="1440" w:bottom="1440" w:left="1440" w:header="720" w:footer="720" w:gutter="0"/>
          <w:cols w:space="720"/>
          <w:docGrid w:linePitch="360"/>
        </w:sectPr>
      </w:pPr>
      <w:r>
        <w:rPr>
          <w:rFonts w:cs="Times New Roman"/>
        </w:rPr>
        <w:br w:type="page"/>
      </w:r>
    </w:p>
    <w:p w14:paraId="6FE7EEB5" w14:textId="77777777" w:rsidR="004E14EB" w:rsidRPr="004E14EB" w:rsidRDefault="004E14EB" w:rsidP="004E14EB">
      <w:pPr>
        <w:pStyle w:val="Heading1"/>
        <w:rPr>
          <w:rFonts w:eastAsiaTheme="majorEastAsia"/>
        </w:rPr>
      </w:pPr>
      <w:bookmarkStart w:id="87" w:name="_Toc404069849"/>
      <w:r w:rsidRPr="004E14EB">
        <w:rPr>
          <w:rFonts w:eastAsiaTheme="majorEastAsia"/>
        </w:rPr>
        <w:lastRenderedPageBreak/>
        <w:t xml:space="preserve">CHAPTER 3 - COMPARISON OF SPACE AND SWARD PLANTED SWITCHGRASS FOR ESTIMATES OF GENETIC PARAMETERS AND RANKING OF BIOMASS AND </w:t>
      </w:r>
      <w:r w:rsidR="00043399">
        <w:rPr>
          <w:rFonts w:eastAsiaTheme="majorEastAsia"/>
        </w:rPr>
        <w:t xml:space="preserve">PREDICTED </w:t>
      </w:r>
      <w:r w:rsidRPr="004E14EB">
        <w:rPr>
          <w:rFonts w:eastAsiaTheme="majorEastAsia"/>
        </w:rPr>
        <w:t>ETHANOL YIELD</w:t>
      </w:r>
      <w:bookmarkEnd w:id="87"/>
    </w:p>
    <w:p w14:paraId="2FBD7789" w14:textId="77777777" w:rsidR="004E14EB" w:rsidRDefault="004E14EB">
      <w:pPr>
        <w:spacing w:line="240" w:lineRule="auto"/>
        <w:rPr>
          <w:rFonts w:eastAsiaTheme="majorEastAsia"/>
          <w:b/>
          <w:bCs/>
          <w:caps/>
          <w:sz w:val="28"/>
        </w:rPr>
      </w:pPr>
      <w:r>
        <w:rPr>
          <w:rFonts w:eastAsiaTheme="majorEastAsia"/>
          <w:b/>
          <w:bCs/>
          <w:caps/>
          <w:sz w:val="28"/>
        </w:rPr>
        <w:br w:type="page"/>
      </w:r>
    </w:p>
    <w:p w14:paraId="129F9E43" w14:textId="77777777" w:rsidR="00043399" w:rsidRPr="00903462" w:rsidRDefault="00043399" w:rsidP="00043399">
      <w:pPr>
        <w:pStyle w:val="Heading2"/>
      </w:pPr>
      <w:bookmarkStart w:id="88" w:name="_Toc404069850"/>
      <w:r w:rsidRPr="00903462">
        <w:lastRenderedPageBreak/>
        <w:t>Abstract</w:t>
      </w:r>
      <w:bookmarkEnd w:id="88"/>
      <w:r w:rsidRPr="00903462">
        <w:tab/>
      </w:r>
    </w:p>
    <w:p w14:paraId="10871B80" w14:textId="129E0D09" w:rsidR="00043399" w:rsidRPr="00374367" w:rsidRDefault="00043399" w:rsidP="00043399">
      <w:pPr>
        <w:ind w:firstLine="720"/>
        <w:rPr>
          <w:rFonts w:cs="Times New Roman"/>
        </w:rPr>
      </w:pPr>
      <w:r w:rsidRPr="00374367">
        <w:rPr>
          <w:rFonts w:cs="Times New Roman"/>
        </w:rPr>
        <w:t>Switchgrass (</w:t>
      </w:r>
      <w:r w:rsidRPr="00374367">
        <w:rPr>
          <w:rFonts w:cs="Times New Roman"/>
          <w:i/>
        </w:rPr>
        <w:t>Panicum virgatum</w:t>
      </w:r>
      <w:r w:rsidRPr="00374367">
        <w:rPr>
          <w:rFonts w:cs="Times New Roman"/>
        </w:rPr>
        <w:t xml:space="preserve"> L.) is an important potential biofuel crop. Switchgrass breeding nurseries are typically space-planted; however, production is in dense swards. This disconnect may impact selection. The objectives of this research are to compare space- and sward-planted switchgrass biomass and </w:t>
      </w:r>
      <w:r>
        <w:rPr>
          <w:rFonts w:cs="Times New Roman"/>
        </w:rPr>
        <w:t>predicted ethanol yield</w:t>
      </w:r>
      <w:r w:rsidRPr="00374367">
        <w:rPr>
          <w:rFonts w:cs="Times New Roman"/>
        </w:rPr>
        <w:t xml:space="preserve"> for </w:t>
      </w:r>
      <w:proofErr w:type="spellStart"/>
      <w:r w:rsidR="0090563D" w:rsidRPr="00374367">
        <w:rPr>
          <w:rFonts w:cs="Times New Roman"/>
        </w:rPr>
        <w:t>i</w:t>
      </w:r>
      <w:proofErr w:type="spellEnd"/>
      <w:r w:rsidR="0090563D" w:rsidRPr="00374367">
        <w:rPr>
          <w:rFonts w:cs="Times New Roman"/>
        </w:rPr>
        <w:t xml:space="preserve">.) </w:t>
      </w:r>
      <w:proofErr w:type="gramStart"/>
      <w:r w:rsidR="0090563D">
        <w:rPr>
          <w:rFonts w:cs="Times New Roman"/>
        </w:rPr>
        <w:t>c</w:t>
      </w:r>
      <w:r w:rsidR="0090563D" w:rsidRPr="00374367">
        <w:rPr>
          <w:rFonts w:cs="Times New Roman"/>
        </w:rPr>
        <w:t>orrelations</w:t>
      </w:r>
      <w:proofErr w:type="gramEnd"/>
      <w:r w:rsidR="0090563D" w:rsidRPr="00374367">
        <w:rPr>
          <w:rFonts w:cs="Times New Roman"/>
        </w:rPr>
        <w:t xml:space="preserve"> </w:t>
      </w:r>
      <w:r w:rsidR="0090563D">
        <w:rPr>
          <w:rFonts w:cs="Times New Roman"/>
        </w:rPr>
        <w:t>of</w:t>
      </w:r>
      <w:r w:rsidR="0090563D" w:rsidRPr="00374367">
        <w:rPr>
          <w:rFonts w:cs="Times New Roman"/>
        </w:rPr>
        <w:t xml:space="preserve"> morphological traits</w:t>
      </w:r>
      <w:r w:rsidR="0090563D">
        <w:rPr>
          <w:rFonts w:cs="Times New Roman"/>
        </w:rPr>
        <w:t xml:space="preserve"> within and between nurseries</w:t>
      </w:r>
      <w:r w:rsidR="0090563D" w:rsidRPr="00374367">
        <w:rPr>
          <w:rFonts w:cs="Times New Roman"/>
        </w:rPr>
        <w:t xml:space="preserve">, ii.) </w:t>
      </w:r>
      <w:proofErr w:type="gramStart"/>
      <w:r w:rsidR="0090563D">
        <w:rPr>
          <w:rFonts w:cs="Times New Roman"/>
        </w:rPr>
        <w:t>e</w:t>
      </w:r>
      <w:r w:rsidR="0090563D" w:rsidRPr="00374367">
        <w:rPr>
          <w:rFonts w:cs="Times New Roman"/>
        </w:rPr>
        <w:t>stimates</w:t>
      </w:r>
      <w:proofErr w:type="gramEnd"/>
      <w:r w:rsidR="0090563D" w:rsidRPr="00374367">
        <w:rPr>
          <w:rFonts w:cs="Times New Roman"/>
        </w:rPr>
        <w:t xml:space="preserve"> of general and specif</w:t>
      </w:r>
      <w:r w:rsidR="0090563D">
        <w:rPr>
          <w:rFonts w:cs="Times New Roman"/>
        </w:rPr>
        <w:t xml:space="preserve">ic combining ability (GCA, SCA), </w:t>
      </w:r>
      <w:r w:rsidR="0090563D" w:rsidRPr="00374367">
        <w:rPr>
          <w:rFonts w:cs="Times New Roman"/>
        </w:rPr>
        <w:t xml:space="preserve">heritability, </w:t>
      </w:r>
      <w:r w:rsidR="0090563D">
        <w:rPr>
          <w:rFonts w:cs="Times New Roman"/>
        </w:rPr>
        <w:t xml:space="preserve">and heterosis, </w:t>
      </w:r>
      <w:r w:rsidR="0090563D" w:rsidRPr="00374367">
        <w:rPr>
          <w:rFonts w:cs="Times New Roman"/>
        </w:rPr>
        <w:t xml:space="preserve">iii.) </w:t>
      </w:r>
      <w:proofErr w:type="gramStart"/>
      <w:r w:rsidR="0090563D">
        <w:rPr>
          <w:rFonts w:cs="Times New Roman"/>
        </w:rPr>
        <w:t>efficacy</w:t>
      </w:r>
      <w:proofErr w:type="gramEnd"/>
      <w:r w:rsidR="0090563D">
        <w:rPr>
          <w:rFonts w:cs="Times New Roman"/>
        </w:rPr>
        <w:t xml:space="preserve"> of selection under space planted conditions</w:t>
      </w:r>
      <w:r w:rsidRPr="00374367">
        <w:rPr>
          <w:rFonts w:cs="Times New Roman"/>
        </w:rPr>
        <w:t xml:space="preserve">. Eight parents selected from the varieties </w:t>
      </w:r>
      <w:r w:rsidRPr="00374367">
        <w:rPr>
          <w:rFonts w:cs="Times New Roman"/>
          <w:i/>
        </w:rPr>
        <w:t>Kanlow</w:t>
      </w:r>
      <w:r w:rsidRPr="00374367">
        <w:rPr>
          <w:rFonts w:cs="Times New Roman"/>
        </w:rPr>
        <w:t xml:space="preserve"> (2 selections), </w:t>
      </w:r>
      <w:r w:rsidRPr="00374367">
        <w:rPr>
          <w:rFonts w:cs="Times New Roman"/>
          <w:i/>
        </w:rPr>
        <w:t>Alamo</w:t>
      </w:r>
      <w:r w:rsidRPr="00374367">
        <w:rPr>
          <w:rFonts w:cs="Times New Roman"/>
        </w:rPr>
        <w:t xml:space="preserve"> (4 selections) and </w:t>
      </w:r>
      <w:r w:rsidRPr="00374367">
        <w:rPr>
          <w:rFonts w:cs="Times New Roman"/>
          <w:i/>
        </w:rPr>
        <w:t>Miami</w:t>
      </w:r>
      <w:r w:rsidRPr="00374367">
        <w:rPr>
          <w:rFonts w:cs="Times New Roman"/>
        </w:rPr>
        <w:t xml:space="preserve"> (1 selection) were crossed in a complete diallel design. In 2012, </w:t>
      </w:r>
      <w:r w:rsidR="004E5D14">
        <w:rPr>
          <w:rFonts w:cs="Times New Roman"/>
        </w:rPr>
        <w:t>F1 populations</w:t>
      </w:r>
      <w:r w:rsidRPr="00374367">
        <w:rPr>
          <w:rFonts w:cs="Times New Roman"/>
        </w:rPr>
        <w:t xml:space="preserve"> were divided into two clonal propagules and planted in adjacent nurseries in Knoxville, TN. </w:t>
      </w:r>
      <w:r w:rsidR="004E5D14">
        <w:rPr>
          <w:rFonts w:cs="Times New Roman"/>
        </w:rPr>
        <w:t xml:space="preserve">Clonal propagules of each parent line were also placed in both nurseries. </w:t>
      </w:r>
      <w:r w:rsidRPr="00374367">
        <w:rPr>
          <w:rFonts w:cs="Times New Roman"/>
        </w:rPr>
        <w:t xml:space="preserve">Each nursery was arranged in a randomized complete block design containing </w:t>
      </w:r>
      <w:r w:rsidR="0090563D">
        <w:rPr>
          <w:rFonts w:cs="Times New Roman"/>
        </w:rPr>
        <w:t>20</w:t>
      </w:r>
      <w:r w:rsidRPr="00374367">
        <w:rPr>
          <w:rFonts w:cs="Times New Roman"/>
        </w:rPr>
        <w:t xml:space="preserve"> replications of each cross. The space-planted nursery (HSP) </w:t>
      </w:r>
      <w:r w:rsidR="004E5D14">
        <w:rPr>
          <w:rFonts w:cs="Times New Roman"/>
        </w:rPr>
        <w:t>consisted of</w:t>
      </w:r>
      <w:r w:rsidRPr="00374367">
        <w:rPr>
          <w:rFonts w:cs="Times New Roman"/>
        </w:rPr>
        <w:t xml:space="preserve"> single-plant plots on 1 m centers. The sward-planted nursery (HSW) </w:t>
      </w:r>
      <w:r w:rsidR="004E5D14">
        <w:rPr>
          <w:rFonts w:cs="Times New Roman"/>
        </w:rPr>
        <w:t>consisted of</w:t>
      </w:r>
      <w:r w:rsidRPr="00374367">
        <w:rPr>
          <w:rFonts w:cs="Times New Roman"/>
        </w:rPr>
        <w:t xml:space="preserve"> plots of 4x7 plants on .33 m centers with 1 m alleys. Spring evaluations (2013</w:t>
      </w:r>
      <w:r w:rsidR="00CB6B98">
        <w:rPr>
          <w:rFonts w:cs="Times New Roman"/>
        </w:rPr>
        <w:t>, 2014</w:t>
      </w:r>
      <w:r w:rsidRPr="00374367">
        <w:rPr>
          <w:rFonts w:cs="Times New Roman"/>
        </w:rPr>
        <w:t xml:space="preserve">) included height, tiller number, tiller diameter, </w:t>
      </w:r>
      <w:r w:rsidR="00B8390A">
        <w:rPr>
          <w:rFonts w:cs="Times New Roman"/>
        </w:rPr>
        <w:t>leaf width</w:t>
      </w:r>
      <w:r w:rsidRPr="00374367">
        <w:rPr>
          <w:rFonts w:cs="Times New Roman"/>
        </w:rPr>
        <w:t xml:space="preserve">, leaf angle, and </w:t>
      </w:r>
      <w:r w:rsidR="00DB61CB">
        <w:rPr>
          <w:rFonts w:cs="Times New Roman"/>
        </w:rPr>
        <w:t>plant color</w:t>
      </w:r>
      <w:r w:rsidRPr="00374367">
        <w:rPr>
          <w:rFonts w:cs="Times New Roman"/>
        </w:rPr>
        <w:t xml:space="preserve">. Fall evaluations (2012, 2013) included </w:t>
      </w:r>
      <w:r w:rsidR="009C1A48">
        <w:rPr>
          <w:rFonts w:cs="Times New Roman"/>
        </w:rPr>
        <w:t>rust severity</w:t>
      </w:r>
      <w:r w:rsidR="00CB6B98">
        <w:rPr>
          <w:rFonts w:cs="Times New Roman"/>
        </w:rPr>
        <w:t xml:space="preserve">, height, </w:t>
      </w:r>
      <w:r w:rsidRPr="00374367">
        <w:rPr>
          <w:rFonts w:cs="Times New Roman"/>
        </w:rPr>
        <w:t>biomass yield</w:t>
      </w:r>
      <w:r w:rsidR="00CB6B98">
        <w:rPr>
          <w:rFonts w:cs="Times New Roman"/>
        </w:rPr>
        <w:t>, and predicted ethanol yield</w:t>
      </w:r>
      <w:r w:rsidRPr="00374367">
        <w:rPr>
          <w:rFonts w:cs="Times New Roman"/>
        </w:rPr>
        <w:t xml:space="preserve">. </w:t>
      </w:r>
      <w:r w:rsidR="004E5D14">
        <w:rPr>
          <w:rFonts w:cs="Times New Roman"/>
        </w:rPr>
        <w:t>Signific</w:t>
      </w:r>
      <w:r w:rsidR="0090563D">
        <w:rPr>
          <w:rFonts w:cs="Times New Roman"/>
        </w:rPr>
        <w:t>ant correlations between nurseries</w:t>
      </w:r>
      <w:r w:rsidR="004E5D14">
        <w:rPr>
          <w:rFonts w:cs="Times New Roman"/>
        </w:rPr>
        <w:t xml:space="preserve"> were observed with </w:t>
      </w:r>
      <w:r w:rsidR="00CB6B98">
        <w:rPr>
          <w:rFonts w:cs="Times New Roman"/>
        </w:rPr>
        <w:t xml:space="preserve">moderate to </w:t>
      </w:r>
      <w:r w:rsidR="004E5D14">
        <w:rPr>
          <w:rFonts w:cs="Times New Roman"/>
        </w:rPr>
        <w:t>strong correlations</w:t>
      </w:r>
      <w:r w:rsidRPr="00374367">
        <w:rPr>
          <w:rFonts w:cs="Times New Roman"/>
        </w:rPr>
        <w:t xml:space="preserve"> for </w:t>
      </w:r>
      <w:r w:rsidR="00CB6B98">
        <w:rPr>
          <w:rFonts w:cs="Times New Roman"/>
        </w:rPr>
        <w:t xml:space="preserve">all traits. GCA was not significant in either nursery </w:t>
      </w:r>
      <w:r w:rsidR="0004102B">
        <w:rPr>
          <w:rFonts w:cs="Times New Roman"/>
        </w:rPr>
        <w:t xml:space="preserve">for </w:t>
      </w:r>
      <w:r w:rsidR="0090563D">
        <w:rPr>
          <w:rFonts w:cs="Times New Roman"/>
        </w:rPr>
        <w:t>biomass or ethanol yield</w:t>
      </w:r>
      <w:r w:rsidR="0004102B">
        <w:rPr>
          <w:rFonts w:cs="Times New Roman"/>
        </w:rPr>
        <w:t xml:space="preserve">. </w:t>
      </w:r>
      <w:r w:rsidR="0090563D">
        <w:rPr>
          <w:rFonts w:cs="Times New Roman"/>
        </w:rPr>
        <w:t xml:space="preserve">For biomass yield, </w:t>
      </w:r>
      <w:r w:rsidR="00CB6B98">
        <w:rPr>
          <w:rFonts w:cs="Times New Roman"/>
        </w:rPr>
        <w:t>SCA</w:t>
      </w:r>
      <w:r w:rsidR="0004102B">
        <w:rPr>
          <w:rFonts w:cs="Times New Roman"/>
        </w:rPr>
        <w:t xml:space="preserve"> was </w:t>
      </w:r>
      <w:r w:rsidR="0090563D">
        <w:rPr>
          <w:rFonts w:cs="Times New Roman"/>
        </w:rPr>
        <w:t>significant</w:t>
      </w:r>
      <w:r w:rsidR="0004102B">
        <w:rPr>
          <w:rFonts w:cs="Times New Roman"/>
        </w:rPr>
        <w:t xml:space="preserve"> in </w:t>
      </w:r>
      <w:r w:rsidR="0090563D">
        <w:rPr>
          <w:rFonts w:cs="Times New Roman"/>
        </w:rPr>
        <w:t>HSW</w:t>
      </w:r>
      <w:r w:rsidR="0004102B">
        <w:rPr>
          <w:rFonts w:cs="Times New Roman"/>
        </w:rPr>
        <w:t xml:space="preserve"> </w:t>
      </w:r>
      <w:r w:rsidR="0090563D">
        <w:rPr>
          <w:rFonts w:cs="Times New Roman"/>
        </w:rPr>
        <w:t>but not in HSP</w:t>
      </w:r>
      <w:r w:rsidR="0004102B">
        <w:rPr>
          <w:rFonts w:cs="Times New Roman"/>
        </w:rPr>
        <w:t xml:space="preserve">. Significant SCA was observed for ethanol yield only in </w:t>
      </w:r>
      <w:r w:rsidR="0090563D">
        <w:rPr>
          <w:rFonts w:cs="Times New Roman"/>
        </w:rPr>
        <w:t>HSP</w:t>
      </w:r>
      <w:r w:rsidR="0004102B">
        <w:rPr>
          <w:rFonts w:cs="Times New Roman"/>
        </w:rPr>
        <w:t xml:space="preserve">. </w:t>
      </w:r>
      <w:r w:rsidRPr="00374367">
        <w:rPr>
          <w:rFonts w:cs="Times New Roman"/>
        </w:rPr>
        <w:t>Heritability estimates for biomass yield were similar between nurseries (HSP:</w:t>
      </w:r>
      <w:r w:rsidR="00F322BE">
        <w:rPr>
          <w:rFonts w:cs="Times New Roman"/>
        </w:rPr>
        <w:t xml:space="preserve"> </w:t>
      </w:r>
      <w:r w:rsidRPr="00374367">
        <w:rPr>
          <w:rFonts w:cs="Times New Roman"/>
        </w:rPr>
        <w:t>h</w:t>
      </w:r>
      <w:r w:rsidRPr="00374367">
        <w:rPr>
          <w:rFonts w:cs="Times New Roman"/>
          <w:vertAlign w:val="superscript"/>
        </w:rPr>
        <w:t>2</w:t>
      </w:r>
      <w:r w:rsidRPr="00374367">
        <w:rPr>
          <w:rFonts w:cs="Times New Roman"/>
        </w:rPr>
        <w:t>=0.05, H</w:t>
      </w:r>
      <w:r w:rsidRPr="00374367">
        <w:rPr>
          <w:rFonts w:cs="Times New Roman"/>
          <w:vertAlign w:val="superscript"/>
        </w:rPr>
        <w:t>2</w:t>
      </w:r>
      <w:r w:rsidRPr="00374367">
        <w:rPr>
          <w:rFonts w:cs="Times New Roman"/>
        </w:rPr>
        <w:t>=0.19</w:t>
      </w:r>
      <w:r w:rsidR="001A4C42">
        <w:rPr>
          <w:rFonts w:cs="Times New Roman"/>
        </w:rPr>
        <w:t>;</w:t>
      </w:r>
      <w:r w:rsidRPr="00374367">
        <w:rPr>
          <w:rFonts w:cs="Times New Roman"/>
        </w:rPr>
        <w:t xml:space="preserve"> HSW:</w:t>
      </w:r>
      <w:r w:rsidR="00F322BE">
        <w:rPr>
          <w:rFonts w:cs="Times New Roman"/>
        </w:rPr>
        <w:t xml:space="preserve"> </w:t>
      </w:r>
      <w:r w:rsidRPr="00374367">
        <w:rPr>
          <w:rFonts w:cs="Times New Roman"/>
        </w:rPr>
        <w:t>h</w:t>
      </w:r>
      <w:r w:rsidRPr="00374367">
        <w:rPr>
          <w:rFonts w:cs="Times New Roman"/>
          <w:vertAlign w:val="superscript"/>
        </w:rPr>
        <w:t>2</w:t>
      </w:r>
      <w:r w:rsidRPr="00374367">
        <w:rPr>
          <w:rFonts w:cs="Times New Roman"/>
        </w:rPr>
        <w:t>=0.02, H</w:t>
      </w:r>
      <w:r w:rsidRPr="00374367">
        <w:rPr>
          <w:rFonts w:cs="Times New Roman"/>
          <w:vertAlign w:val="superscript"/>
        </w:rPr>
        <w:t>2</w:t>
      </w:r>
      <w:r w:rsidRPr="00374367">
        <w:rPr>
          <w:rFonts w:cs="Times New Roman"/>
        </w:rPr>
        <w:t>=0.</w:t>
      </w:r>
      <w:r w:rsidR="0004102B">
        <w:rPr>
          <w:rFonts w:cs="Times New Roman"/>
        </w:rPr>
        <w:t>17</w:t>
      </w:r>
      <w:r w:rsidRPr="00374367">
        <w:rPr>
          <w:rFonts w:cs="Times New Roman"/>
        </w:rPr>
        <w:t>)</w:t>
      </w:r>
      <w:r w:rsidR="009D15AB">
        <w:rPr>
          <w:rFonts w:cs="Times New Roman"/>
        </w:rPr>
        <w:t xml:space="preserve"> while heritability estimated for </w:t>
      </w:r>
      <w:r>
        <w:rPr>
          <w:rFonts w:cs="Times New Roman"/>
        </w:rPr>
        <w:t>predicted ethanol yield</w:t>
      </w:r>
      <w:r w:rsidRPr="00374367">
        <w:rPr>
          <w:rFonts w:cs="Times New Roman"/>
        </w:rPr>
        <w:t xml:space="preserve"> </w:t>
      </w:r>
      <w:r w:rsidR="009D15AB">
        <w:rPr>
          <w:rFonts w:cs="Times New Roman"/>
        </w:rPr>
        <w:t>were less similar</w:t>
      </w:r>
      <w:r w:rsidRPr="00374367">
        <w:rPr>
          <w:rFonts w:cs="Times New Roman"/>
        </w:rPr>
        <w:t xml:space="preserve"> (HSP:</w:t>
      </w:r>
      <w:r w:rsidR="00F322BE">
        <w:rPr>
          <w:rFonts w:cs="Times New Roman"/>
        </w:rPr>
        <w:t xml:space="preserve"> </w:t>
      </w:r>
      <w:r w:rsidRPr="00374367">
        <w:rPr>
          <w:rFonts w:cs="Times New Roman"/>
        </w:rPr>
        <w:t>h</w:t>
      </w:r>
      <w:r w:rsidRPr="00374367">
        <w:rPr>
          <w:rFonts w:cs="Times New Roman"/>
          <w:vertAlign w:val="superscript"/>
        </w:rPr>
        <w:t>2</w:t>
      </w:r>
      <w:r w:rsidR="0004102B">
        <w:rPr>
          <w:rFonts w:cs="Times New Roman"/>
        </w:rPr>
        <w:t>=0.02</w:t>
      </w:r>
      <w:r w:rsidRPr="00374367">
        <w:rPr>
          <w:rFonts w:cs="Times New Roman"/>
        </w:rPr>
        <w:t>, H</w:t>
      </w:r>
      <w:r w:rsidRPr="00374367">
        <w:rPr>
          <w:rFonts w:cs="Times New Roman"/>
          <w:vertAlign w:val="superscript"/>
        </w:rPr>
        <w:t>2</w:t>
      </w:r>
      <w:r w:rsidR="0004102B">
        <w:rPr>
          <w:rFonts w:cs="Times New Roman"/>
        </w:rPr>
        <w:t>=0.2</w:t>
      </w:r>
      <w:r w:rsidRPr="00374367">
        <w:rPr>
          <w:rFonts w:cs="Times New Roman"/>
        </w:rPr>
        <w:t>3</w:t>
      </w:r>
      <w:r w:rsidR="001A4C42">
        <w:rPr>
          <w:rFonts w:cs="Times New Roman"/>
        </w:rPr>
        <w:t>;</w:t>
      </w:r>
      <w:r w:rsidRPr="00374367">
        <w:rPr>
          <w:rFonts w:cs="Times New Roman"/>
        </w:rPr>
        <w:t xml:space="preserve"> HSW:</w:t>
      </w:r>
      <w:r w:rsidR="00F322BE">
        <w:rPr>
          <w:rFonts w:cs="Times New Roman"/>
        </w:rPr>
        <w:t xml:space="preserve"> </w:t>
      </w:r>
      <w:r w:rsidRPr="00374367">
        <w:rPr>
          <w:rFonts w:cs="Times New Roman"/>
        </w:rPr>
        <w:t>h</w:t>
      </w:r>
      <w:r w:rsidRPr="00374367">
        <w:rPr>
          <w:rFonts w:cs="Times New Roman"/>
          <w:vertAlign w:val="superscript"/>
        </w:rPr>
        <w:t>2</w:t>
      </w:r>
      <w:r w:rsidR="0004102B">
        <w:rPr>
          <w:rFonts w:cs="Times New Roman"/>
        </w:rPr>
        <w:t>=0.10</w:t>
      </w:r>
      <w:r w:rsidRPr="00374367">
        <w:rPr>
          <w:rFonts w:cs="Times New Roman"/>
        </w:rPr>
        <w:t>, H</w:t>
      </w:r>
      <w:r w:rsidRPr="00374367">
        <w:rPr>
          <w:rFonts w:cs="Times New Roman"/>
          <w:vertAlign w:val="superscript"/>
        </w:rPr>
        <w:t>2</w:t>
      </w:r>
      <w:r w:rsidR="0004102B">
        <w:rPr>
          <w:rFonts w:cs="Times New Roman"/>
        </w:rPr>
        <w:t>=0.30</w:t>
      </w:r>
      <w:r w:rsidRPr="00374367">
        <w:rPr>
          <w:rFonts w:cs="Times New Roman"/>
        </w:rPr>
        <w:t xml:space="preserve">). </w:t>
      </w:r>
      <w:r w:rsidR="0004102B">
        <w:rPr>
          <w:rFonts w:cs="Times New Roman"/>
        </w:rPr>
        <w:t xml:space="preserve">Significant high parent heterosis for biomass yield was observed in </w:t>
      </w:r>
      <w:r w:rsidR="0004102B">
        <w:rPr>
          <w:rFonts w:cs="Times New Roman"/>
        </w:rPr>
        <w:lastRenderedPageBreak/>
        <w:t xml:space="preserve">both nurseries, but for ethanol yield, was only observed in </w:t>
      </w:r>
      <w:r w:rsidR="0090563D">
        <w:rPr>
          <w:rFonts w:cs="Times New Roman"/>
        </w:rPr>
        <w:t>HSP</w:t>
      </w:r>
      <w:r w:rsidR="0004102B">
        <w:rPr>
          <w:rFonts w:cs="Times New Roman"/>
        </w:rPr>
        <w:t xml:space="preserve">. </w:t>
      </w:r>
      <w:r w:rsidR="0004102B">
        <w:rPr>
          <w:rFonts w:eastAsiaTheme="minorHAnsi"/>
        </w:rPr>
        <w:t>Comparing F1 populations selected within each year and nursery for high biomass yield, 12% of selections from HSP 2012, 18% of selections from HSP 2013, and 41% of selections from HSW 2012 matched crosses selected in the 2013 sward planted nursery</w:t>
      </w:r>
      <w:r w:rsidR="00954DB7">
        <w:rPr>
          <w:rFonts w:eastAsiaTheme="minorHAnsi"/>
        </w:rPr>
        <w:t xml:space="preserve">. </w:t>
      </w:r>
      <w:r w:rsidR="0004102B">
        <w:rPr>
          <w:rFonts w:eastAsiaTheme="minorHAnsi"/>
        </w:rPr>
        <w:t xml:space="preserve">Selections were more similar for predicted ethanol yield with 44% of selections from HSP 2012, 44% of selections </w:t>
      </w:r>
      <w:r w:rsidR="00F322BE">
        <w:rPr>
          <w:rFonts w:eastAsiaTheme="minorHAnsi"/>
        </w:rPr>
        <w:t xml:space="preserve">from </w:t>
      </w:r>
      <w:r w:rsidR="0004102B">
        <w:rPr>
          <w:rFonts w:eastAsiaTheme="minorHAnsi"/>
        </w:rPr>
        <w:t xml:space="preserve">HSP 2013, and 65% of selections from HSW 2012 matching crosses selected for high predicted ethanol yield in the 2013 sward planted nursery. </w:t>
      </w:r>
      <w:r w:rsidRPr="00374367">
        <w:rPr>
          <w:rFonts w:cs="Times New Roman"/>
        </w:rPr>
        <w:t xml:space="preserve">Results indicate selection in an evaluation environment different from the production environment may impact </w:t>
      </w:r>
      <w:r w:rsidR="0004102B">
        <w:rPr>
          <w:rFonts w:cs="Times New Roman"/>
        </w:rPr>
        <w:t xml:space="preserve">estimates of genetic parameters and </w:t>
      </w:r>
      <w:r w:rsidRPr="00374367">
        <w:rPr>
          <w:rFonts w:cs="Times New Roman"/>
        </w:rPr>
        <w:t xml:space="preserve">selection and rate of crop improvement. </w:t>
      </w:r>
    </w:p>
    <w:p w14:paraId="2A36C8F4" w14:textId="77777777" w:rsidR="00043399" w:rsidRDefault="00043399" w:rsidP="00043399">
      <w:pPr>
        <w:pStyle w:val="Heading2"/>
      </w:pPr>
      <w:bookmarkStart w:id="89" w:name="_Toc404069851"/>
      <w:r>
        <w:t>Introduction</w:t>
      </w:r>
      <w:bookmarkEnd w:id="89"/>
    </w:p>
    <w:p w14:paraId="12C80F1C" w14:textId="16C2C00C" w:rsidR="00043399" w:rsidRDefault="00043399" w:rsidP="00043399">
      <w:pPr>
        <w:ind w:firstLine="720"/>
        <w:rPr>
          <w:rFonts w:eastAsiaTheme="minorHAnsi" w:cstheme="minorBidi"/>
          <w:szCs w:val="22"/>
        </w:rPr>
      </w:pPr>
      <w:r w:rsidRPr="00EF1FEB">
        <w:rPr>
          <w:rFonts w:eastAsiaTheme="minorHAnsi" w:cstheme="minorBidi"/>
          <w:szCs w:val="22"/>
        </w:rPr>
        <w:t>Switchgrass</w:t>
      </w:r>
      <w:r w:rsidR="004E5D14">
        <w:rPr>
          <w:rFonts w:eastAsiaTheme="minorHAnsi" w:cstheme="minorBidi"/>
          <w:szCs w:val="22"/>
        </w:rPr>
        <w:t xml:space="preserve"> </w:t>
      </w:r>
      <w:r w:rsidRPr="00EF1FEB">
        <w:rPr>
          <w:rFonts w:eastAsiaTheme="minorHAnsi" w:cstheme="minorBidi"/>
          <w:szCs w:val="22"/>
        </w:rPr>
        <w:t xml:space="preserve">is a warm season perennial grass, native to North American prairie lands </w:t>
      </w:r>
      <w:r w:rsidR="00301182">
        <w:rPr>
          <w:rFonts w:eastAsiaTheme="minorHAnsi" w:cstheme="minorBidi"/>
          <w:szCs w:val="22"/>
        </w:rPr>
        <w:fldChar w:fldCharType="begin"/>
      </w:r>
      <w:r>
        <w:rPr>
          <w:rFonts w:eastAsiaTheme="minorHAnsi" w:cstheme="minorBidi"/>
          <w:szCs w:val="22"/>
        </w:rPr>
        <w:instrText xml:space="preserve"> ADDIN EN.CITE &lt;EndNote&gt;&lt;Cite&gt;&lt;Author&gt;Newell&lt;/Author&gt;&lt;Year&gt;1961&lt;/Year&gt;&lt;RecNum&gt;244&lt;/RecNum&gt;&lt;DisplayText&gt;(Newell and Eberhart, 1961)&lt;/DisplayText&gt;&lt;record&gt;&lt;rec-number&gt;244&lt;/rec-number&gt;&lt;foreign-keys&gt;&lt;key app="EN" db-id="9zfxt259rawwvce0pfa5efeuatdw0pz5va5z" timestamp="1323887729"&gt;244&lt;/key&gt;&lt;/foreign-keys&gt;&lt;ref-type name="Journal Article"&gt;17&lt;/ref-type&gt;&lt;contributors&gt;&lt;authors&gt;&lt;author&gt;Newell, L.C.&lt;/author&gt;&lt;author&gt;Eberhart, S.A.&lt;/author&gt;&lt;/authors&gt;&lt;/contributors&gt;&lt;titles&gt;&lt;title&gt;&lt;style face="normal" font="default" size="100%"&gt;Clone and progeny evaluation in the improvement of switchgrass, &lt;/style&gt;&lt;style face="italic" font="default" size="100%"&gt;Panicum virgatum &lt;/style&gt;&lt;style face="normal" font="default" size="100%"&gt;L.&lt;/style&gt;&lt;/title&gt;&lt;secondary-title&gt;Crop Sci.&lt;/secondary-title&gt;&lt;/titles&gt;&lt;periodical&gt;&lt;full-title&gt;Crop Sci.&lt;/full-title&gt;&lt;/periodical&gt;&lt;pages&gt;117-121&lt;/pages&gt;&lt;volume&gt;1&lt;/volume&gt;&lt;section&gt;117&lt;/section&gt;&lt;dates&gt;&lt;year&gt;1961&lt;/year&gt;&lt;/dates&gt;&lt;urls&gt;&lt;/urls&gt;&lt;/record&gt;&lt;/Cite&gt;&lt;/EndNote&gt;</w:instrText>
      </w:r>
      <w:r w:rsidR="00301182">
        <w:rPr>
          <w:rFonts w:eastAsiaTheme="minorHAnsi" w:cstheme="minorBidi"/>
          <w:szCs w:val="22"/>
        </w:rPr>
        <w:fldChar w:fldCharType="separate"/>
      </w:r>
      <w:r>
        <w:rPr>
          <w:rFonts w:eastAsiaTheme="minorHAnsi" w:cstheme="minorBidi"/>
          <w:noProof/>
          <w:szCs w:val="22"/>
        </w:rPr>
        <w:t>(</w:t>
      </w:r>
      <w:hyperlink w:anchor="_ENREF_73" w:tooltip="Newell, 1961 #244" w:history="1">
        <w:r w:rsidR="00FB5014">
          <w:rPr>
            <w:rFonts w:eastAsiaTheme="minorHAnsi" w:cstheme="minorBidi"/>
            <w:noProof/>
            <w:szCs w:val="22"/>
          </w:rPr>
          <w:t>Newell and Eberhart, 1961</w:t>
        </w:r>
      </w:hyperlink>
      <w:r>
        <w:rPr>
          <w:rFonts w:eastAsiaTheme="minorHAnsi" w:cstheme="minorBidi"/>
          <w:noProof/>
          <w:szCs w:val="22"/>
        </w:rPr>
        <w:t>)</w:t>
      </w:r>
      <w:r w:rsidR="00301182">
        <w:rPr>
          <w:rFonts w:eastAsiaTheme="minorHAnsi" w:cstheme="minorBidi"/>
          <w:szCs w:val="22"/>
        </w:rPr>
        <w:fldChar w:fldCharType="end"/>
      </w:r>
      <w:r w:rsidR="00954DB7">
        <w:rPr>
          <w:rFonts w:eastAsiaTheme="minorHAnsi" w:cstheme="minorBidi"/>
          <w:szCs w:val="22"/>
        </w:rPr>
        <w:t xml:space="preserve">. </w:t>
      </w:r>
      <w:r>
        <w:rPr>
          <w:rFonts w:eastAsiaTheme="minorHAnsi" w:cstheme="minorBidi"/>
          <w:szCs w:val="22"/>
        </w:rPr>
        <w:t>Like most grasses, switchgrass is grown in a sward, an uninterrupted expanse of grass, rather than in rows or as single</w:t>
      </w:r>
      <w:r w:rsidR="00F322BE">
        <w:rPr>
          <w:rFonts w:eastAsiaTheme="minorHAnsi" w:cstheme="minorBidi"/>
          <w:szCs w:val="22"/>
        </w:rPr>
        <w:t xml:space="preserve"> plants. For breeding purposes,</w:t>
      </w:r>
      <w:r>
        <w:rPr>
          <w:rFonts w:eastAsiaTheme="minorHAnsi" w:cstheme="minorBidi"/>
          <w:szCs w:val="22"/>
        </w:rPr>
        <w:t xml:space="preserve"> s</w:t>
      </w:r>
      <w:r w:rsidRPr="00EF1FEB">
        <w:rPr>
          <w:rFonts w:eastAsiaTheme="minorHAnsi" w:cstheme="minorBidi"/>
          <w:szCs w:val="22"/>
        </w:rPr>
        <w:t xml:space="preserve">witchgrass evaluations are </w:t>
      </w:r>
      <w:r>
        <w:rPr>
          <w:rFonts w:eastAsiaTheme="minorHAnsi" w:cstheme="minorBidi"/>
          <w:szCs w:val="22"/>
        </w:rPr>
        <w:t xml:space="preserve">typically </w:t>
      </w:r>
      <w:r w:rsidRPr="00EF1FEB">
        <w:rPr>
          <w:rFonts w:eastAsiaTheme="minorHAnsi" w:cstheme="minorBidi"/>
          <w:szCs w:val="22"/>
        </w:rPr>
        <w:t xml:space="preserve">performed on </w:t>
      </w:r>
      <w:r>
        <w:rPr>
          <w:rFonts w:eastAsiaTheme="minorHAnsi" w:cstheme="minorBidi"/>
          <w:szCs w:val="22"/>
        </w:rPr>
        <w:t xml:space="preserve">single plants grown at a distance large enough to allow a breeder to walk through the nursery and evaluate each individual plant. These nurseries are referred to as </w:t>
      </w:r>
      <w:r w:rsidRPr="00EF1FEB">
        <w:rPr>
          <w:rFonts w:eastAsiaTheme="minorHAnsi" w:cstheme="minorBidi"/>
          <w:szCs w:val="22"/>
        </w:rPr>
        <w:t>space planted nurseries</w:t>
      </w:r>
      <w:r>
        <w:rPr>
          <w:rFonts w:eastAsiaTheme="minorHAnsi" w:cstheme="minorBidi"/>
          <w:szCs w:val="22"/>
        </w:rPr>
        <w:t>. The</w:t>
      </w:r>
      <w:r w:rsidRPr="00EF1FEB">
        <w:rPr>
          <w:rFonts w:eastAsiaTheme="minorHAnsi" w:cstheme="minorBidi"/>
          <w:szCs w:val="22"/>
        </w:rPr>
        <w:t xml:space="preserve"> discrepancy in evaluation and selection planting conditions versus production planting conditions may lead to less effective or ineffective selection due to differences in plant performance under varying degrees of competition. In switchgrass, </w:t>
      </w:r>
      <w:r>
        <w:rPr>
          <w:rFonts w:eastAsiaTheme="minorHAnsi" w:cstheme="minorBidi"/>
          <w:szCs w:val="22"/>
        </w:rPr>
        <w:t>this has only been examin</w:t>
      </w:r>
      <w:r w:rsidR="004E5D14">
        <w:rPr>
          <w:rFonts w:eastAsiaTheme="minorHAnsi" w:cstheme="minorBidi"/>
          <w:szCs w:val="22"/>
        </w:rPr>
        <w:t>ed for differences in heterosis;</w:t>
      </w:r>
      <w:r>
        <w:rPr>
          <w:rFonts w:eastAsiaTheme="minorHAnsi" w:cstheme="minorBidi"/>
          <w:szCs w:val="22"/>
        </w:rPr>
        <w:t xml:space="preserve"> however, differences between space and sward planted evaluations have been noted for a large number of grass and forage species. </w:t>
      </w:r>
    </w:p>
    <w:p w14:paraId="1FF8702D" w14:textId="6CEBB733" w:rsidR="00043399" w:rsidRPr="00EF1FEB" w:rsidRDefault="00043399" w:rsidP="00043399">
      <w:pPr>
        <w:ind w:firstLine="720"/>
        <w:rPr>
          <w:rFonts w:eastAsiaTheme="minorHAnsi" w:cstheme="minorBidi"/>
          <w:szCs w:val="22"/>
        </w:rPr>
      </w:pPr>
      <w:r w:rsidRPr="00EF1FEB">
        <w:rPr>
          <w:rFonts w:eastAsiaTheme="minorHAnsi" w:cstheme="minorBidi"/>
          <w:szCs w:val="22"/>
        </w:rPr>
        <w:lastRenderedPageBreak/>
        <w:t xml:space="preserve">When evaluating </w:t>
      </w:r>
      <w:r>
        <w:rPr>
          <w:rFonts w:eastAsiaTheme="minorHAnsi" w:cstheme="minorBidi"/>
          <w:szCs w:val="22"/>
        </w:rPr>
        <w:t xml:space="preserve">hybrids created from genotypes within the lowland switchgrass cultivar </w:t>
      </w:r>
      <w:r w:rsidR="005E444B">
        <w:rPr>
          <w:rFonts w:eastAsiaTheme="minorHAnsi" w:cstheme="minorBidi"/>
          <w:szCs w:val="22"/>
        </w:rPr>
        <w:t>‘</w:t>
      </w:r>
      <w:r w:rsidRPr="00EF1FEB">
        <w:rPr>
          <w:rFonts w:eastAsiaTheme="minorHAnsi" w:cstheme="minorBidi"/>
          <w:szCs w:val="22"/>
        </w:rPr>
        <w:t>Kanlow</w:t>
      </w:r>
      <w:r w:rsidR="005E444B">
        <w:rPr>
          <w:rFonts w:eastAsiaTheme="minorHAnsi" w:cstheme="minorBidi"/>
          <w:szCs w:val="22"/>
        </w:rPr>
        <w:t>’</w:t>
      </w:r>
      <w:r w:rsidRPr="00EF1FEB">
        <w:rPr>
          <w:rFonts w:eastAsiaTheme="minorHAnsi" w:cstheme="minorBidi"/>
          <w:szCs w:val="22"/>
        </w:rPr>
        <w:t xml:space="preserve"> and</w:t>
      </w:r>
      <w:r>
        <w:rPr>
          <w:rFonts w:eastAsiaTheme="minorHAnsi" w:cstheme="minorBidi"/>
          <w:szCs w:val="22"/>
        </w:rPr>
        <w:t xml:space="preserve"> the upland switchgrass cultivar</w:t>
      </w:r>
      <w:r w:rsidRPr="00EF1FEB">
        <w:rPr>
          <w:rFonts w:eastAsiaTheme="minorHAnsi" w:cstheme="minorBidi"/>
          <w:szCs w:val="22"/>
        </w:rPr>
        <w:t xml:space="preserve"> </w:t>
      </w:r>
      <w:r w:rsidR="005E444B">
        <w:rPr>
          <w:rFonts w:eastAsiaTheme="minorHAnsi" w:cstheme="minorBidi"/>
          <w:szCs w:val="22"/>
        </w:rPr>
        <w:t>‘</w:t>
      </w:r>
      <w:r w:rsidRPr="00EF1FEB">
        <w:rPr>
          <w:rFonts w:eastAsiaTheme="minorHAnsi" w:cstheme="minorBidi"/>
          <w:szCs w:val="22"/>
        </w:rPr>
        <w:t>Summer</w:t>
      </w:r>
      <w:r w:rsidR="005E444B">
        <w:rPr>
          <w:rFonts w:eastAsiaTheme="minorHAnsi" w:cstheme="minorBidi"/>
          <w:szCs w:val="22"/>
        </w:rPr>
        <w:t>’</w:t>
      </w:r>
      <w:r>
        <w:rPr>
          <w:rFonts w:eastAsiaTheme="minorHAnsi" w:cstheme="minorBidi"/>
          <w:szCs w:val="22"/>
        </w:rPr>
        <w:t>,</w:t>
      </w:r>
      <w:r w:rsidRPr="00EF1FEB">
        <w:rPr>
          <w:rFonts w:eastAsiaTheme="minorHAnsi" w:cstheme="minorBidi"/>
          <w:szCs w:val="22"/>
        </w:rPr>
        <w:t xml:space="preserve"> </w:t>
      </w:r>
      <w:hyperlink w:anchor="_ENREF_100" w:tooltip="Vogel, 2008 #258" w:history="1">
        <w:r w:rsidR="00FB5014">
          <w:rPr>
            <w:rFonts w:eastAsiaTheme="minorHAnsi" w:cstheme="minorBidi"/>
            <w:szCs w:val="22"/>
          </w:rPr>
          <w:fldChar w:fldCharType="begin"/>
        </w:r>
        <w:r w:rsidR="00FB5014">
          <w:rPr>
            <w:rFonts w:eastAsiaTheme="minorHAnsi" w:cstheme="minorBidi"/>
            <w:szCs w:val="22"/>
          </w:rPr>
          <w:instrText xml:space="preserve"> ADDIN EN.CITE &lt;EndNote&gt;&lt;Cite AuthorYear="1"&gt;&lt;Author&gt;Vogel&lt;/Author&gt;&lt;Year&gt;2008&lt;/Year&gt;&lt;RecNum&gt;258&lt;/RecNum&gt;&lt;DisplayText&gt;Vogel and Mitchell (2008)&lt;/DisplayText&gt;&lt;record&gt;&lt;rec-number&gt;258&lt;/rec-number&gt;&lt;foreign-keys&gt;&lt;key app="EN" db-id="9zfxt259rawwvce0pfa5efeuatdw0pz5va5z" timestamp="1323887732"&gt;258&lt;/key&gt;&lt;/foreign-keys&gt;&lt;ref-type name="Journal Article"&gt;17&lt;/ref-type&gt;&lt;contributors&gt;&lt;authors&gt;&lt;author&gt;Vogel, K.P.&lt;/author&gt;&lt;author&gt;Mitchell, R.B.&lt;/author&gt;&lt;/authors&gt;&lt;/contributors&gt;&lt;titles&gt;&lt;title&gt;Heterosis in switchgrass:  Biomass yield in swards&lt;/title&gt;&lt;secondary-title&gt;Crop Sci.&lt;/secondary-title&gt;&lt;/titles&gt;&lt;periodical&gt;&lt;full-title&gt;Crop Sci.&lt;/full-title&gt;&lt;/periodical&gt;&lt;pages&gt;2159-2164&lt;/pages&gt;&lt;volume&gt;48&lt;/volume&gt;&lt;section&gt;2159&lt;/section&gt;&lt;dates&gt;&lt;year&gt;2008&lt;/year&gt;&lt;/dates&gt;&lt;urls&gt;&lt;/urls&gt;&lt;/record&gt;&lt;/Cite&gt;&lt;/EndNote&gt;</w:instrText>
        </w:r>
        <w:r w:rsidR="00FB5014">
          <w:rPr>
            <w:rFonts w:eastAsiaTheme="minorHAnsi" w:cstheme="minorBidi"/>
            <w:szCs w:val="22"/>
          </w:rPr>
          <w:fldChar w:fldCharType="separate"/>
        </w:r>
        <w:r w:rsidR="00FB5014">
          <w:rPr>
            <w:rFonts w:eastAsiaTheme="minorHAnsi" w:cstheme="minorBidi"/>
            <w:noProof/>
            <w:szCs w:val="22"/>
          </w:rPr>
          <w:t>Vogel and Mitchell (2008)</w:t>
        </w:r>
        <w:r w:rsidR="00FB5014">
          <w:rPr>
            <w:rFonts w:eastAsiaTheme="minorHAnsi" w:cstheme="minorBidi"/>
            <w:szCs w:val="22"/>
          </w:rPr>
          <w:fldChar w:fldCharType="end"/>
        </w:r>
      </w:hyperlink>
      <w:r w:rsidRPr="00EF1FEB">
        <w:rPr>
          <w:rFonts w:eastAsiaTheme="minorHAnsi" w:cstheme="minorBidi"/>
          <w:szCs w:val="22"/>
        </w:rPr>
        <w:t xml:space="preserve"> found high parent heterosis for yield when evaluating switchgrass planted in simulated sward conditions</w:t>
      </w:r>
      <w:r w:rsidR="00954DB7">
        <w:rPr>
          <w:rFonts w:eastAsiaTheme="minorHAnsi" w:cstheme="minorBidi"/>
          <w:szCs w:val="22"/>
        </w:rPr>
        <w:t xml:space="preserve">. </w:t>
      </w:r>
      <w:r>
        <w:rPr>
          <w:rFonts w:eastAsiaTheme="minorHAnsi" w:cstheme="minorBidi"/>
          <w:szCs w:val="22"/>
        </w:rPr>
        <w:t>When these same hybrids were evaluated under space-planted conditions</w:t>
      </w:r>
      <w:r w:rsidRPr="00EF1FEB">
        <w:rPr>
          <w:rFonts w:eastAsiaTheme="minorHAnsi" w:cstheme="minorBidi"/>
          <w:szCs w:val="22"/>
        </w:rPr>
        <w:t xml:space="preserve">, high parent heterosis for yield was not observed </w:t>
      </w:r>
      <w:r w:rsidR="00301182">
        <w:rPr>
          <w:rFonts w:eastAsiaTheme="minorHAnsi" w:cstheme="minorBidi"/>
          <w:szCs w:val="22"/>
        </w:rPr>
        <w:fldChar w:fldCharType="begin"/>
      </w:r>
      <w:r>
        <w:rPr>
          <w:rFonts w:eastAsiaTheme="minorHAnsi" w:cstheme="minorBidi"/>
          <w:szCs w:val="22"/>
        </w:rPr>
        <w:instrText xml:space="preserve"> ADDIN EN.CITE &lt;EndNote&gt;&lt;Cite&gt;&lt;Author&gt;Martinez-Reyna&lt;/Author&gt;&lt;Year&gt;2008&lt;/Year&gt;&lt;RecNum&gt;259&lt;/RecNum&gt;&lt;DisplayText&gt;(Martinez-Reyna and Vogel, 2008)&lt;/DisplayText&gt;&lt;record&gt;&lt;rec-number&gt;259&lt;/rec-number&gt;&lt;foreign-keys&gt;&lt;key app="EN" db-id="9zfxt259rawwvce0pfa5efeuatdw0pz5va5z" timestamp="1323887732"&gt;259&lt;/key&gt;&lt;/foreign-keys&gt;&lt;ref-type name="Journal Article"&gt;17&lt;/ref-type&gt;&lt;contributors&gt;&lt;authors&gt;&lt;author&gt;Martinez-Reyna, J.M.&lt;/author&gt;&lt;author&gt;Vogel, K.P.&lt;/author&gt;&lt;/authors&gt;&lt;/contributors&gt;&lt;titles&gt;&lt;title&gt;Heterosis in switchgrass:  Spaced plants&lt;/title&gt;&lt;secondary-title&gt;Crop Sci.&lt;/secondary-title&gt;&lt;/titles&gt;&lt;periodical&gt;&lt;full-title&gt;Crop Sci.&lt;/full-title&gt;&lt;/periodical&gt;&lt;pages&gt;1312-1320&lt;/pages&gt;&lt;volume&gt;48&lt;/volume&gt;&lt;section&gt;1312&lt;/section&gt;&lt;dates&gt;&lt;year&gt;2008&lt;/year&gt;&lt;/dates&gt;&lt;urls&gt;&lt;/urls&gt;&lt;/record&gt;&lt;/Cite&gt;&lt;/EndNote&gt;</w:instrText>
      </w:r>
      <w:r w:rsidR="00301182">
        <w:rPr>
          <w:rFonts w:eastAsiaTheme="minorHAnsi" w:cstheme="minorBidi"/>
          <w:szCs w:val="22"/>
        </w:rPr>
        <w:fldChar w:fldCharType="separate"/>
      </w:r>
      <w:r>
        <w:rPr>
          <w:rFonts w:eastAsiaTheme="minorHAnsi" w:cstheme="minorBidi"/>
          <w:noProof/>
          <w:szCs w:val="22"/>
        </w:rPr>
        <w:t>(</w:t>
      </w:r>
      <w:hyperlink w:anchor="_ENREF_68" w:tooltip="Martinez-Reyna, 2008 #259" w:history="1">
        <w:r w:rsidR="00FB5014">
          <w:rPr>
            <w:rFonts w:eastAsiaTheme="minorHAnsi" w:cstheme="minorBidi"/>
            <w:noProof/>
            <w:szCs w:val="22"/>
          </w:rPr>
          <w:t>Martinez-Reyna and Vogel, 2008</w:t>
        </w:r>
      </w:hyperlink>
      <w:r>
        <w:rPr>
          <w:rFonts w:eastAsiaTheme="minorHAnsi" w:cstheme="minorBidi"/>
          <w:noProof/>
          <w:szCs w:val="22"/>
        </w:rPr>
        <w:t>)</w:t>
      </w:r>
      <w:r w:rsidR="00301182">
        <w:rPr>
          <w:rFonts w:eastAsiaTheme="minorHAnsi" w:cstheme="minorBidi"/>
          <w:szCs w:val="22"/>
        </w:rPr>
        <w:fldChar w:fldCharType="end"/>
      </w:r>
      <w:r w:rsidRPr="00EF1FEB">
        <w:rPr>
          <w:rFonts w:eastAsiaTheme="minorHAnsi" w:cstheme="minorBidi"/>
          <w:szCs w:val="22"/>
        </w:rPr>
        <w:t xml:space="preserve">. </w:t>
      </w:r>
      <w:r>
        <w:rPr>
          <w:rFonts w:eastAsiaTheme="minorHAnsi" w:cstheme="minorBidi"/>
          <w:szCs w:val="22"/>
        </w:rPr>
        <w:t xml:space="preserve">Differences between space and sward planted evaluations have also been reported in tall fescue, </w:t>
      </w:r>
      <w:r>
        <w:rPr>
          <w:rFonts w:eastAsiaTheme="minorHAnsi" w:cstheme="minorBidi"/>
          <w:i/>
          <w:szCs w:val="22"/>
        </w:rPr>
        <w:t>Festuca arundinacea</w:t>
      </w:r>
      <w:r>
        <w:rPr>
          <w:rFonts w:eastAsiaTheme="minorHAnsi" w:cstheme="minorBidi"/>
          <w:szCs w:val="22"/>
        </w:rPr>
        <w:t xml:space="preserve"> Schreb</w:t>
      </w:r>
      <w:proofErr w:type="gramStart"/>
      <w:r>
        <w:rPr>
          <w:rFonts w:eastAsiaTheme="minorHAnsi" w:cstheme="minorBidi"/>
          <w:szCs w:val="22"/>
        </w:rPr>
        <w:t>..</w:t>
      </w:r>
      <w:proofErr w:type="gramEnd"/>
      <w:r>
        <w:rPr>
          <w:rFonts w:eastAsiaTheme="minorHAnsi" w:cstheme="minorBidi"/>
          <w:szCs w:val="22"/>
        </w:rPr>
        <w:t xml:space="preserve"> </w:t>
      </w:r>
      <w:r w:rsidRPr="00EF1FEB">
        <w:rPr>
          <w:rFonts w:eastAsiaTheme="minorHAnsi" w:cstheme="minorBidi"/>
          <w:szCs w:val="22"/>
        </w:rPr>
        <w:t>In tall fescue, values of yield, crude protein, NDF, and IVDMD were significantly different between plants evaluated in sward versus space-planted conditions, with sward plants having higher yield but lower nutritional quality</w:t>
      </w:r>
      <w:r>
        <w:rPr>
          <w:rFonts w:eastAsiaTheme="minorHAnsi" w:cstheme="minorBidi"/>
          <w:szCs w:val="22"/>
        </w:rPr>
        <w:t xml:space="preserve"> </w:t>
      </w:r>
      <w:r w:rsidR="00301182">
        <w:rPr>
          <w:rFonts w:eastAsiaTheme="minorHAnsi" w:cstheme="minorBidi"/>
          <w:szCs w:val="22"/>
        </w:rPr>
        <w:fldChar w:fldCharType="begin"/>
      </w:r>
      <w:r>
        <w:rPr>
          <w:rFonts w:eastAsiaTheme="minorHAnsi" w:cstheme="minorBidi"/>
          <w:szCs w:val="22"/>
        </w:rPr>
        <w:instrText xml:space="preserve"> ADDIN EN.CITE &lt;EndNote&gt;&lt;Cite&gt;&lt;Author&gt;Waldron&lt;/Author&gt;&lt;Year&gt;2008&lt;/Year&gt;&lt;RecNum&gt;218&lt;/RecNum&gt;&lt;DisplayText&gt;(Waldron et al., 2008)&lt;/DisplayText&gt;&lt;record&gt;&lt;rec-number&gt;218&lt;/rec-number&gt;&lt;foreign-keys&gt;&lt;key app="EN" db-id="9zfxt259rawwvce0pfa5efeuatdw0pz5va5z" timestamp="1319829249"&gt;218&lt;/key&gt;&lt;/foreign-keys&gt;&lt;ref-type name="Journal Article"&gt;17&lt;/ref-type&gt;&lt;contributors&gt;&lt;authors&gt;&lt;author&gt;Waldron, B.L.&lt;/author&gt;&lt;author&gt;Robins, J.G.&lt;/author&gt;&lt;author&gt;Peel, M.D.&lt;/author&gt;&lt;author&gt;Jensen, K.B.&lt;/author&gt;&lt;/authors&gt;&lt;/contributors&gt;&lt;titles&gt;&lt;title&gt;Predicted efficiency of spaced-plant selection to indirectly improve tall fescue sward yield and quality&lt;/title&gt;&lt;secondary-title&gt;Crop Sci.&lt;/secondary-title&gt;&lt;/titles&gt;&lt;periodical&gt;&lt;full-title&gt;Crop Sci.&lt;/full-title&gt;&lt;/periodical&gt;&lt;pages&gt;443&lt;/pages&gt;&lt;volume&gt;48&lt;/volume&gt;&lt;number&gt;2&lt;/number&gt;&lt;dates&gt;&lt;year&gt;2008&lt;/year&gt;&lt;/dates&gt;&lt;urls&gt;&lt;/urls&gt;&lt;/record&gt;&lt;/Cite&gt;&lt;/EndNote&gt;</w:instrText>
      </w:r>
      <w:r w:rsidR="00301182">
        <w:rPr>
          <w:rFonts w:eastAsiaTheme="minorHAnsi" w:cstheme="minorBidi"/>
          <w:szCs w:val="22"/>
        </w:rPr>
        <w:fldChar w:fldCharType="separate"/>
      </w:r>
      <w:r>
        <w:rPr>
          <w:rFonts w:eastAsiaTheme="minorHAnsi" w:cstheme="minorBidi"/>
          <w:noProof/>
          <w:szCs w:val="22"/>
        </w:rPr>
        <w:t>(</w:t>
      </w:r>
      <w:hyperlink w:anchor="_ENREF_101" w:tooltip="Waldron, 2008 #218" w:history="1">
        <w:r w:rsidR="00FB5014">
          <w:rPr>
            <w:rFonts w:eastAsiaTheme="minorHAnsi" w:cstheme="minorBidi"/>
            <w:noProof/>
            <w:szCs w:val="22"/>
          </w:rPr>
          <w:t>Waldron et al., 2008</w:t>
        </w:r>
      </w:hyperlink>
      <w:r>
        <w:rPr>
          <w:rFonts w:eastAsiaTheme="minorHAnsi" w:cstheme="minorBidi"/>
          <w:noProof/>
          <w:szCs w:val="22"/>
        </w:rPr>
        <w:t>)</w:t>
      </w:r>
      <w:r w:rsidR="00301182">
        <w:rPr>
          <w:rFonts w:eastAsiaTheme="minorHAnsi" w:cstheme="minorBidi"/>
          <w:szCs w:val="22"/>
        </w:rPr>
        <w:fldChar w:fldCharType="end"/>
      </w:r>
      <w:r w:rsidRPr="00EF1FEB">
        <w:rPr>
          <w:rFonts w:eastAsiaTheme="minorHAnsi" w:cstheme="minorBidi"/>
          <w:szCs w:val="22"/>
        </w:rPr>
        <w:t>. While heritability values were similar under both conditions, family ranks were inconsistent</w:t>
      </w:r>
      <w:r w:rsidR="00954DB7">
        <w:rPr>
          <w:rFonts w:eastAsiaTheme="minorHAnsi" w:cstheme="minorBidi"/>
          <w:szCs w:val="22"/>
        </w:rPr>
        <w:t xml:space="preserve">. </w:t>
      </w:r>
      <w:r w:rsidRPr="00EF1FEB">
        <w:rPr>
          <w:rFonts w:eastAsiaTheme="minorHAnsi" w:cstheme="minorBidi"/>
          <w:szCs w:val="22"/>
        </w:rPr>
        <w:t>Similar inconsistencies have been observed in other species including white clover (</w:t>
      </w:r>
      <w:r w:rsidRPr="00EF1FEB">
        <w:rPr>
          <w:rFonts w:eastAsiaTheme="minorHAnsi" w:cstheme="minorBidi"/>
          <w:i/>
          <w:szCs w:val="22"/>
        </w:rPr>
        <w:t>Trifolium repens L</w:t>
      </w:r>
      <w:r w:rsidRPr="00EF1FEB">
        <w:rPr>
          <w:rFonts w:eastAsiaTheme="minorHAnsi" w:cstheme="minorBidi"/>
          <w:szCs w:val="22"/>
        </w:rPr>
        <w:t>.)(Atwood and Garber, 1942), Kentucky bluegrass (</w:t>
      </w:r>
      <w:r w:rsidRPr="00EF1FEB">
        <w:rPr>
          <w:rFonts w:eastAsiaTheme="minorHAnsi" w:cstheme="minorBidi"/>
          <w:i/>
          <w:szCs w:val="22"/>
        </w:rPr>
        <w:t>Poa pratensis L.</w:t>
      </w:r>
      <w:r w:rsidRPr="009509C2">
        <w:rPr>
          <w:rFonts w:eastAsiaTheme="minorHAnsi" w:cstheme="minorBidi"/>
          <w:szCs w:val="22"/>
        </w:rPr>
        <w:t xml:space="preserve">) </w:t>
      </w:r>
      <w:r w:rsidR="00301182">
        <w:rPr>
          <w:rFonts w:eastAsiaTheme="minorHAnsi" w:cstheme="minorBidi"/>
          <w:szCs w:val="22"/>
        </w:rPr>
        <w:fldChar w:fldCharType="begin"/>
      </w:r>
      <w:r w:rsidR="00B7572A">
        <w:rPr>
          <w:rFonts w:eastAsiaTheme="minorHAnsi" w:cstheme="minorBidi"/>
          <w:szCs w:val="22"/>
        </w:rPr>
        <w:instrText xml:space="preserve"> ADDIN EN.CITE &lt;EndNote&gt;&lt;Cite&gt;&lt;Author&gt;Ahlgren&lt;/Author&gt;&lt;Year&gt;1945&lt;/Year&gt;&lt;RecNum&gt;220&lt;/RecNum&gt;&lt;DisplayText&gt;(Ahlgren et al., 1945; Kramer, 1947)&lt;/DisplayText&gt;&lt;record&gt;&lt;rec-number&gt;220&lt;/rec-number&gt;&lt;foreign-keys&gt;&lt;key app="EN" db-id="9zfxt259rawwvce0pfa5efeuatdw0pz5va5z" timestamp="1319833541"&gt;220&lt;/key&gt;&lt;/foreign-keys&gt;&lt;ref-type name="Journal Article"&gt;17&lt;/ref-type&gt;&lt;contributors&gt;&lt;authors&gt;&lt;author&gt;Ahlgren, H.L.&lt;/author&gt;&lt;author&gt;Smith, D.C.&lt;/author&gt;&lt;author&gt;Nielsen, E.L.&lt;/author&gt;&lt;/authors&gt;&lt;/contributors&gt;&lt;titles&gt;&lt;title&gt;&lt;style face="normal" font="default" size="100%"&gt;Behavior of various selections of Kentucky bluegrass, &lt;/style&gt;&lt;style face="italic" font="default" size="100%"&gt;Poa pratensis&lt;/style&gt;&lt;style face="normal" font="default" size="100%"&gt; L. when grown as spaced plants and in mass seedings.&lt;/style&gt;&lt;/title&gt;&lt;secondary-title&gt;Agron. J.&lt;/secondary-title&gt;&lt;/titles&gt;&lt;periodical&gt;&lt;full-title&gt;Agron. J.&lt;/full-title&gt;&lt;/periodical&gt;&lt;pages&gt;268-281&lt;/pages&gt;&lt;volume&gt;37&lt;/volume&gt;&lt;section&gt;268&lt;/section&gt;&lt;dates&gt;&lt;year&gt;1945&lt;/year&gt;&lt;/dates&gt;&lt;urls&gt;&lt;/urls&gt;&lt;/record&gt;&lt;/Cite&gt;&lt;Cite&gt;&lt;Author&gt;Kramer&lt;/Author&gt;&lt;Year&gt;1947&lt;/Year&gt;&lt;RecNum&gt;221&lt;/RecNum&gt;&lt;record&gt;&lt;rec-number&gt;221&lt;/rec-number&gt;&lt;foreign-keys&gt;&lt;key app="EN" db-id="9zfxt259rawwvce0pfa5efeuatdw0pz5va5z" timestamp="1319833600"&gt;221&lt;/key&gt;&lt;/foreign-keys&gt;&lt;ref-type name="Journal Article"&gt;17&lt;/ref-type&gt;&lt;contributors&gt;&lt;authors&gt;&lt;author&gt;Kramer, H.&lt;/author&gt;&lt;/authors&gt;&lt;/contributors&gt;&lt;titles&gt;&lt;title&gt;&lt;style face="normal" font="default" size="100%"&gt;Morphological and agronomic variation in &lt;/style&gt;&lt;style face="italic" font="default" size="100%"&gt;Poa pratensis&lt;/style&gt;&lt;style face="normal" font="default" size="100%"&gt; L. relative to chromosome numbers&lt;/style&gt;&lt;/title&gt;&lt;secondary-title&gt;Agron. J. &lt;/secondary-title&gt;&lt;/titles&gt;&lt;periodical&gt;&lt;full-title&gt;Agron. J.&lt;/full-title&gt;&lt;/periodical&gt;&lt;pages&gt;181-191&lt;/pages&gt;&lt;volume&gt;39&lt;/volume&gt;&lt;dates&gt;&lt;year&gt;1947&lt;/year&gt;&lt;/dates&gt;&lt;urls&gt;&lt;/urls&gt;&lt;/record&gt;&lt;/Cite&gt;&lt;/EndNote&gt;</w:instrText>
      </w:r>
      <w:r w:rsidR="00301182">
        <w:rPr>
          <w:rFonts w:eastAsiaTheme="minorHAnsi" w:cstheme="minorBidi"/>
          <w:szCs w:val="22"/>
        </w:rPr>
        <w:fldChar w:fldCharType="separate"/>
      </w:r>
      <w:r w:rsidR="00B7572A">
        <w:rPr>
          <w:rFonts w:eastAsiaTheme="minorHAnsi" w:cstheme="minorBidi"/>
          <w:noProof/>
          <w:szCs w:val="22"/>
        </w:rPr>
        <w:t>(</w:t>
      </w:r>
      <w:hyperlink w:anchor="_ENREF_2" w:tooltip="Ahlgren, 1945 #220" w:history="1">
        <w:r w:rsidR="00FB5014">
          <w:rPr>
            <w:rFonts w:eastAsiaTheme="minorHAnsi" w:cstheme="minorBidi"/>
            <w:noProof/>
            <w:szCs w:val="22"/>
          </w:rPr>
          <w:t>Ahlgren et al., 1945</w:t>
        </w:r>
      </w:hyperlink>
      <w:r w:rsidR="00B7572A">
        <w:rPr>
          <w:rFonts w:eastAsiaTheme="minorHAnsi" w:cstheme="minorBidi"/>
          <w:noProof/>
          <w:szCs w:val="22"/>
        </w:rPr>
        <w:t xml:space="preserve">; </w:t>
      </w:r>
      <w:hyperlink w:anchor="_ENREF_57" w:tooltip="Kramer, 1947 #221" w:history="1">
        <w:r w:rsidR="00FB5014">
          <w:rPr>
            <w:rFonts w:eastAsiaTheme="minorHAnsi" w:cstheme="minorBidi"/>
            <w:noProof/>
            <w:szCs w:val="22"/>
          </w:rPr>
          <w:t>Kramer, 1947</w:t>
        </w:r>
      </w:hyperlink>
      <w:r w:rsidR="00B7572A">
        <w:rPr>
          <w:rFonts w:eastAsiaTheme="minorHAnsi" w:cstheme="minorBidi"/>
          <w:noProof/>
          <w:szCs w:val="22"/>
        </w:rPr>
        <w:t>)</w:t>
      </w:r>
      <w:r w:rsidR="00301182">
        <w:rPr>
          <w:rFonts w:eastAsiaTheme="minorHAnsi" w:cstheme="minorBidi"/>
          <w:szCs w:val="22"/>
        </w:rPr>
        <w:fldChar w:fldCharType="end"/>
      </w:r>
      <w:r w:rsidRPr="00EF1FEB">
        <w:rPr>
          <w:rFonts w:eastAsiaTheme="minorHAnsi" w:cstheme="minorBidi"/>
          <w:szCs w:val="22"/>
        </w:rPr>
        <w:t>, orchardgrass</w:t>
      </w:r>
      <w:r>
        <w:rPr>
          <w:rFonts w:eastAsiaTheme="minorHAnsi" w:cstheme="minorBidi"/>
          <w:szCs w:val="22"/>
        </w:rPr>
        <w:t xml:space="preserve"> (</w:t>
      </w:r>
      <w:r w:rsidRPr="00EF1FEB">
        <w:rPr>
          <w:rFonts w:eastAsiaTheme="minorHAnsi" w:cstheme="minorBidi"/>
          <w:i/>
          <w:szCs w:val="22"/>
        </w:rPr>
        <w:t>Dactylis glomerata</w:t>
      </w:r>
      <w:r>
        <w:rPr>
          <w:rFonts w:eastAsiaTheme="minorHAnsi" w:cstheme="minorBidi"/>
          <w:szCs w:val="22"/>
        </w:rPr>
        <w:t>)</w:t>
      </w:r>
      <w:r w:rsidRPr="00EF1FEB">
        <w:rPr>
          <w:rFonts w:eastAsiaTheme="minorHAnsi" w:cstheme="minorBidi"/>
          <w:szCs w:val="22"/>
        </w:rPr>
        <w:t xml:space="preserve"> </w:t>
      </w:r>
      <w:r w:rsidR="00301182">
        <w:rPr>
          <w:rFonts w:eastAsiaTheme="minorHAnsi" w:cstheme="minorBidi"/>
          <w:szCs w:val="22"/>
        </w:rPr>
        <w:fldChar w:fldCharType="begin"/>
      </w:r>
      <w:r w:rsidR="00B7572A">
        <w:rPr>
          <w:rFonts w:eastAsiaTheme="minorHAnsi" w:cstheme="minorBidi"/>
          <w:szCs w:val="22"/>
        </w:rPr>
        <w:instrText xml:space="preserve"> ADDIN EN.CITE &lt;EndNote&gt;&lt;Cite&gt;&lt;Author&gt;Knight&lt;/Author&gt;&lt;Year&gt;1960&lt;/Year&gt;&lt;RecNum&gt;222&lt;/RecNum&gt;&lt;DisplayText&gt;(Knight, 1960; Oldemeyer and Hanson, 1955)&lt;/DisplayText&gt;&lt;record&gt;&lt;rec-number&gt;222&lt;/rec-number&gt;&lt;foreign-keys&gt;&lt;key app="EN" db-id="9zfxt259rawwvce0pfa5efeuatdw0pz5va5z" timestamp="1319833718"&gt;222&lt;/key&gt;&lt;/foreign-keys&gt;&lt;ref-type name="Journal Article"&gt;17&lt;/ref-type&gt;&lt;contributors&gt;&lt;authors&gt;&lt;author&gt;Knight, R. &lt;/author&gt;&lt;/authors&gt;&lt;/contributors&gt;&lt;titles&gt;&lt;title&gt;&lt;style face="normal" font="default" size="100%"&gt;The growth of cocksfoot (&lt;/style&gt;&lt;style face="italic" font="default" size="100%"&gt;Dactylis glomerata &lt;/style&gt;&lt;style face="normal" font="default" size="100%"&gt;L.) under spaced plant and sward conditions&lt;/style&gt;&lt;/title&gt;&lt;secondary-title&gt;Aust. J. Agric. Res. &lt;/secondary-title&gt;&lt;/titles&gt;&lt;periodical&gt;&lt;full-title&gt;Aust. J. Agric. Res.&lt;/full-title&gt;&lt;/periodical&gt;&lt;pages&gt;457-472&lt;/pages&gt;&lt;volume&gt;11&lt;/volume&gt;&lt;dates&gt;&lt;year&gt;1960&lt;/year&gt;&lt;/dates&gt;&lt;urls&gt;&lt;/urls&gt;&lt;/record&gt;&lt;/Cite&gt;&lt;Cite&gt;&lt;Author&gt;Oldemeyer&lt;/Author&gt;&lt;Year&gt;1955&lt;/Year&gt;&lt;RecNum&gt;223&lt;/RecNum&gt;&lt;record&gt;&lt;rec-number&gt;223&lt;/rec-number&gt;&lt;foreign-keys&gt;&lt;key app="EN" db-id="9zfxt259rawwvce0pfa5efeuatdw0pz5va5z" timestamp="1319833787"&gt;223&lt;/key&gt;&lt;/foreign-keys&gt;&lt;ref-type name="Journal Article"&gt;17&lt;/ref-type&gt;&lt;contributors&gt;&lt;authors&gt;&lt;author&gt;Oldemeyer, D.L.&lt;/author&gt;&lt;author&gt;Hanson, A.A.&lt;/author&gt;&lt;/authors&gt;&lt;/contributors&gt;&lt;titles&gt;&lt;title&gt;&lt;style face="normal" font="default" size="100%"&gt;Evaluation of combining ability in orchardgrass &lt;/style&gt;&lt;style face="italic" font="default" size="100%"&gt;Dactylis glomerata &lt;/style&gt;&lt;style face="normal" font="default" size="100%"&gt;L. &lt;/style&gt;&lt;/title&gt;&lt;secondary-title&gt;Agron. J.&lt;/secondary-title&gt;&lt;/titles&gt;&lt;periodical&gt;&lt;full-title&gt;Agron. J.&lt;/full-title&gt;&lt;/periodical&gt;&lt;pages&gt;158-162&lt;/pages&gt;&lt;volume&gt;47&lt;/volume&gt;&lt;dates&gt;&lt;year&gt;1955&lt;/year&gt;&lt;/dates&gt;&lt;urls&gt;&lt;/urls&gt;&lt;/record&gt;&lt;/Cite&gt;&lt;/EndNote&gt;</w:instrText>
      </w:r>
      <w:r w:rsidR="00301182">
        <w:rPr>
          <w:rFonts w:eastAsiaTheme="minorHAnsi" w:cstheme="minorBidi"/>
          <w:szCs w:val="22"/>
        </w:rPr>
        <w:fldChar w:fldCharType="separate"/>
      </w:r>
      <w:r w:rsidR="00B7572A">
        <w:rPr>
          <w:rFonts w:eastAsiaTheme="minorHAnsi" w:cstheme="minorBidi"/>
          <w:noProof/>
          <w:szCs w:val="22"/>
        </w:rPr>
        <w:t>(</w:t>
      </w:r>
      <w:hyperlink w:anchor="_ENREF_56" w:tooltip="Knight, 1960 #222" w:history="1">
        <w:r w:rsidR="00FB5014">
          <w:rPr>
            <w:rFonts w:eastAsiaTheme="minorHAnsi" w:cstheme="minorBidi"/>
            <w:noProof/>
            <w:szCs w:val="22"/>
          </w:rPr>
          <w:t>Knight, 1960</w:t>
        </w:r>
      </w:hyperlink>
      <w:r w:rsidR="00B7572A">
        <w:rPr>
          <w:rFonts w:eastAsiaTheme="minorHAnsi" w:cstheme="minorBidi"/>
          <w:noProof/>
          <w:szCs w:val="22"/>
        </w:rPr>
        <w:t xml:space="preserve">; </w:t>
      </w:r>
      <w:hyperlink w:anchor="_ENREF_77" w:tooltip="Oldemeyer, 1955 #223" w:history="1">
        <w:r w:rsidR="00FB5014">
          <w:rPr>
            <w:rFonts w:eastAsiaTheme="minorHAnsi" w:cstheme="minorBidi"/>
            <w:noProof/>
            <w:szCs w:val="22"/>
          </w:rPr>
          <w:t>Oldemeyer and Hanson, 1955</w:t>
        </w:r>
      </w:hyperlink>
      <w:r w:rsidR="00B7572A">
        <w:rPr>
          <w:rFonts w:eastAsiaTheme="minorHAnsi" w:cstheme="minorBidi"/>
          <w:noProof/>
          <w:szCs w:val="22"/>
        </w:rPr>
        <w:t>)</w:t>
      </w:r>
      <w:r w:rsidR="00301182">
        <w:rPr>
          <w:rFonts w:eastAsiaTheme="minorHAnsi" w:cstheme="minorBidi"/>
          <w:szCs w:val="22"/>
        </w:rPr>
        <w:fldChar w:fldCharType="end"/>
      </w:r>
      <w:r w:rsidRPr="00EF1FEB">
        <w:rPr>
          <w:rFonts w:eastAsiaTheme="minorHAnsi" w:cstheme="minorBidi"/>
          <w:szCs w:val="22"/>
        </w:rPr>
        <w:t>, perennial ryegrass</w:t>
      </w:r>
      <w:r>
        <w:rPr>
          <w:rFonts w:eastAsiaTheme="minorHAnsi" w:cstheme="minorBidi"/>
          <w:szCs w:val="22"/>
        </w:rPr>
        <w:t xml:space="preserve"> (</w:t>
      </w:r>
      <w:r w:rsidRPr="00EF1FEB">
        <w:rPr>
          <w:rFonts w:eastAsiaTheme="minorHAnsi" w:cstheme="minorBidi"/>
          <w:i/>
          <w:szCs w:val="22"/>
        </w:rPr>
        <w:t>Lolium perenne</w:t>
      </w:r>
      <w:r>
        <w:rPr>
          <w:rFonts w:eastAsiaTheme="minorHAnsi" w:cstheme="minorBidi"/>
          <w:szCs w:val="22"/>
        </w:rPr>
        <w:t>)</w:t>
      </w:r>
      <w:r w:rsidRPr="00EF1FEB">
        <w:rPr>
          <w:rFonts w:eastAsiaTheme="minorHAnsi" w:cstheme="minorBidi"/>
          <w:szCs w:val="22"/>
        </w:rPr>
        <w:t xml:space="preserve"> </w:t>
      </w:r>
      <w:r w:rsidR="00301182">
        <w:rPr>
          <w:rFonts w:eastAsiaTheme="minorHAnsi" w:cstheme="minorBidi"/>
          <w:szCs w:val="22"/>
        </w:rPr>
        <w:fldChar w:fldCharType="begin">
          <w:fldData xml:space="preserve">PEVuZE5vdGU+PENpdGU+PEF1dGhvcj5IYXl3YXJkPC9BdXRob3I+PFllYXI+MTk4NDwvWWVhcj48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</w:fldData>
        </w:fldChar>
      </w:r>
      <w:r w:rsidR="00B7572A">
        <w:rPr>
          <w:rFonts w:eastAsiaTheme="minorHAnsi" w:cstheme="minorBidi"/>
          <w:szCs w:val="22"/>
        </w:rPr>
        <w:instrText xml:space="preserve"> ADDIN EN.CITE </w:instrText>
      </w:r>
      <w:r w:rsidR="00B7572A">
        <w:rPr>
          <w:rFonts w:eastAsiaTheme="minorHAnsi" w:cstheme="minorBidi"/>
          <w:szCs w:val="22"/>
        </w:rPr>
        <w:fldChar w:fldCharType="begin">
          <w:fldData xml:space="preserve">PEVuZE5vdGU+PENpdGU+PEF1dGhvcj5IYXl3YXJkPC9BdXRob3I+PFllYXI+MTk4NDwvWWVhcj48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</w:fldData>
        </w:fldChar>
      </w:r>
      <w:r w:rsidR="00B7572A">
        <w:rPr>
          <w:rFonts w:eastAsiaTheme="minorHAnsi" w:cstheme="minorBidi"/>
          <w:szCs w:val="22"/>
        </w:rPr>
        <w:instrText xml:space="preserve"> ADDIN EN.CITE.DATA </w:instrText>
      </w:r>
      <w:r w:rsidR="00B7572A">
        <w:rPr>
          <w:rFonts w:eastAsiaTheme="minorHAnsi" w:cstheme="minorBidi"/>
          <w:szCs w:val="22"/>
        </w:rPr>
      </w:r>
      <w:r w:rsidR="00B7572A">
        <w:rPr>
          <w:rFonts w:eastAsiaTheme="minorHAnsi" w:cstheme="minorBidi"/>
          <w:szCs w:val="22"/>
        </w:rPr>
        <w:fldChar w:fldCharType="end"/>
      </w:r>
      <w:r w:rsidR="00301182">
        <w:rPr>
          <w:rFonts w:eastAsiaTheme="minorHAnsi" w:cstheme="minorBidi"/>
          <w:szCs w:val="22"/>
        </w:rPr>
      </w:r>
      <w:r w:rsidR="00301182">
        <w:rPr>
          <w:rFonts w:eastAsiaTheme="minorHAnsi" w:cstheme="minorBidi"/>
          <w:szCs w:val="22"/>
        </w:rPr>
        <w:fldChar w:fldCharType="separate"/>
      </w:r>
      <w:r w:rsidR="00B7572A">
        <w:rPr>
          <w:rFonts w:eastAsiaTheme="minorHAnsi" w:cstheme="minorBidi"/>
          <w:noProof/>
          <w:szCs w:val="22"/>
        </w:rPr>
        <w:t>(</w:t>
      </w:r>
      <w:hyperlink w:anchor="_ENREF_46" w:tooltip="Hayward, 1984 #224" w:history="1">
        <w:r w:rsidR="00FB5014">
          <w:rPr>
            <w:rFonts w:eastAsiaTheme="minorHAnsi" w:cstheme="minorBidi"/>
            <w:noProof/>
            <w:szCs w:val="22"/>
          </w:rPr>
          <w:t>Hayward and Vivero, 1984</w:t>
        </w:r>
      </w:hyperlink>
      <w:r w:rsidR="00B7572A">
        <w:rPr>
          <w:rFonts w:eastAsiaTheme="minorHAnsi" w:cstheme="minorBidi"/>
          <w:noProof/>
          <w:szCs w:val="22"/>
        </w:rPr>
        <w:t xml:space="preserve">; </w:t>
      </w:r>
      <w:hyperlink w:anchor="_ENREF_60" w:tooltip="Lazenby, 1964 #226" w:history="1">
        <w:r w:rsidR="00FB5014">
          <w:rPr>
            <w:rFonts w:eastAsiaTheme="minorHAnsi" w:cstheme="minorBidi"/>
            <w:noProof/>
            <w:szCs w:val="22"/>
          </w:rPr>
          <w:t>Lazenby and Rogers, 1964</w:t>
        </w:r>
      </w:hyperlink>
      <w:r w:rsidR="00B7572A">
        <w:rPr>
          <w:rFonts w:eastAsiaTheme="minorHAnsi" w:cstheme="minorBidi"/>
          <w:noProof/>
          <w:szCs w:val="22"/>
        </w:rPr>
        <w:t xml:space="preserve">; </w:t>
      </w:r>
      <w:hyperlink w:anchor="_ENREF_61" w:tooltip="Lazenby, 1965 #225" w:history="1">
        <w:r w:rsidR="00FB5014">
          <w:rPr>
            <w:rFonts w:eastAsiaTheme="minorHAnsi" w:cstheme="minorBidi"/>
            <w:noProof/>
            <w:szCs w:val="22"/>
          </w:rPr>
          <w:t>Lazenby and Rogers, 1965</w:t>
        </w:r>
      </w:hyperlink>
      <w:r w:rsidR="00B7572A">
        <w:rPr>
          <w:rFonts w:eastAsiaTheme="minorHAnsi" w:cstheme="minorBidi"/>
          <w:noProof/>
          <w:szCs w:val="22"/>
        </w:rPr>
        <w:t xml:space="preserve">; </w:t>
      </w:r>
      <w:hyperlink w:anchor="_ENREF_84" w:tooltip="Samuel, 1970 #227" w:history="1">
        <w:r w:rsidR="00FB5014">
          <w:rPr>
            <w:rFonts w:eastAsiaTheme="minorHAnsi" w:cstheme="minorBidi"/>
            <w:noProof/>
            <w:szCs w:val="22"/>
          </w:rPr>
          <w:t>Samuel et al., 1970</w:t>
        </w:r>
      </w:hyperlink>
      <w:r w:rsidR="00B7572A">
        <w:rPr>
          <w:rFonts w:eastAsiaTheme="minorHAnsi" w:cstheme="minorBidi"/>
          <w:noProof/>
          <w:szCs w:val="22"/>
        </w:rPr>
        <w:t>)</w:t>
      </w:r>
      <w:r w:rsidR="00301182">
        <w:rPr>
          <w:rFonts w:eastAsiaTheme="minorHAnsi" w:cstheme="minorBidi"/>
          <w:szCs w:val="22"/>
        </w:rPr>
        <w:fldChar w:fldCharType="end"/>
      </w:r>
      <w:r w:rsidRPr="00EF1FEB">
        <w:rPr>
          <w:rFonts w:eastAsiaTheme="minorHAnsi" w:cstheme="minorBidi"/>
          <w:szCs w:val="22"/>
        </w:rPr>
        <w:t>; timothy (</w:t>
      </w:r>
      <w:r w:rsidRPr="00EF1FEB">
        <w:rPr>
          <w:rFonts w:eastAsiaTheme="minorHAnsi" w:cstheme="minorBidi"/>
          <w:i/>
          <w:szCs w:val="22"/>
        </w:rPr>
        <w:t>Phleum pratense L.</w:t>
      </w:r>
      <w:r w:rsidRPr="009509C2">
        <w:rPr>
          <w:rFonts w:eastAsiaTheme="minorHAnsi" w:cstheme="minorBidi"/>
          <w:szCs w:val="22"/>
        </w:rPr>
        <w:t>)</w:t>
      </w:r>
      <w:r>
        <w:rPr>
          <w:rFonts w:eastAsiaTheme="minorHAnsi" w:cstheme="minorBidi"/>
          <w:i/>
          <w:szCs w:val="22"/>
        </w:rPr>
        <w:t xml:space="preserve"> </w:t>
      </w:r>
      <w:r w:rsidR="00301182" w:rsidRPr="009509C2">
        <w:rPr>
          <w:rFonts w:eastAsiaTheme="minorHAnsi" w:cstheme="minorBidi"/>
          <w:szCs w:val="22"/>
        </w:rPr>
        <w:fldChar w:fldCharType="begin"/>
      </w:r>
      <w:r w:rsidRPr="009509C2">
        <w:rPr>
          <w:rFonts w:eastAsiaTheme="minorHAnsi" w:cstheme="minorBidi"/>
          <w:szCs w:val="22"/>
        </w:rPr>
        <w:instrText xml:space="preserve"> ADDIN EN.CITE &lt;EndNote&gt;&lt;Cite&gt;&lt;Author&gt;Nissen&lt;/Author&gt;&lt;Year&gt;1960&lt;/Year&gt;&lt;RecNum&gt;228&lt;/RecNum&gt;&lt;DisplayText&gt;(Nissen, 1960)&lt;/DisplayText&gt;&lt;record&gt;&lt;rec-number&gt;228&lt;/rec-number&gt;&lt;foreign-keys&gt;&lt;key app="EN" db-id="9zfxt259rawwvce0pfa5efeuatdw0pz5va5z" timestamp="1319834523"&gt;228&lt;/key&gt;&lt;/foreign-keys&gt;&lt;ref-type name="Conference Proceedings"&gt;10&lt;/ref-type&gt;&lt;contributors&gt;&lt;authors&gt;&lt;author&gt;Nissen, O.&lt;/author&gt;&lt;/authors&gt;&lt;/contributors&gt;&lt;titles&gt;&lt;title&gt;Testing hay varieties of grasses as spaced plants, in a pure stand or in a mixture with a legume&lt;/title&gt;&lt;secondary-title&gt;Proc. Int. Grassl. Congr., 8th &lt;/secondary-title&gt;&lt;/titles&gt;&lt;pages&gt;310-313&lt;/pages&gt;&lt;dates&gt;&lt;year&gt;1960&lt;/year&gt;&lt;/dates&gt;&lt;pub-location&gt;Reading, UK&lt;/pub-location&gt;&lt;publisher&gt;Alden Press, Oxford, UK&lt;/publisher&gt;&lt;urls&gt;&lt;/urls&gt;&lt;/record&gt;&lt;/Cite&gt;&lt;/EndNote&gt;</w:instrText>
      </w:r>
      <w:r w:rsidR="00301182" w:rsidRPr="009509C2">
        <w:rPr>
          <w:rFonts w:eastAsiaTheme="minorHAnsi" w:cstheme="minorBidi"/>
          <w:szCs w:val="22"/>
        </w:rPr>
        <w:fldChar w:fldCharType="separate"/>
      </w:r>
      <w:r w:rsidRPr="009509C2">
        <w:rPr>
          <w:rFonts w:eastAsiaTheme="minorHAnsi" w:cstheme="minorBidi"/>
          <w:noProof/>
          <w:szCs w:val="22"/>
        </w:rPr>
        <w:t>(</w:t>
      </w:r>
      <w:hyperlink w:anchor="_ENREF_76" w:tooltip="Nissen, 1960 #228" w:history="1">
        <w:r w:rsidR="00FB5014" w:rsidRPr="009509C2">
          <w:rPr>
            <w:rFonts w:eastAsiaTheme="minorHAnsi" w:cstheme="minorBidi"/>
            <w:noProof/>
            <w:szCs w:val="22"/>
          </w:rPr>
          <w:t>Nissen, 1960</w:t>
        </w:r>
      </w:hyperlink>
      <w:r w:rsidRPr="009509C2">
        <w:rPr>
          <w:rFonts w:eastAsiaTheme="minorHAnsi" w:cstheme="minorBidi"/>
          <w:noProof/>
          <w:szCs w:val="22"/>
        </w:rPr>
        <w:t>)</w:t>
      </w:r>
      <w:r w:rsidR="00301182" w:rsidRPr="009509C2">
        <w:rPr>
          <w:rFonts w:eastAsiaTheme="minorHAnsi" w:cstheme="minorBidi"/>
          <w:szCs w:val="22"/>
        </w:rPr>
        <w:fldChar w:fldCharType="end"/>
      </w:r>
      <w:r w:rsidRPr="009509C2">
        <w:rPr>
          <w:rFonts w:eastAsiaTheme="minorHAnsi" w:cstheme="minorBidi"/>
          <w:szCs w:val="22"/>
        </w:rPr>
        <w:t>;</w:t>
      </w:r>
      <w:r w:rsidRPr="00EF1FEB">
        <w:rPr>
          <w:rFonts w:eastAsiaTheme="minorHAnsi" w:cstheme="minorBidi"/>
          <w:szCs w:val="22"/>
        </w:rPr>
        <w:t xml:space="preserve"> smooth bromegrass (</w:t>
      </w:r>
      <w:r w:rsidRPr="00EF1FEB">
        <w:rPr>
          <w:rFonts w:eastAsiaTheme="minorHAnsi" w:cstheme="minorBidi"/>
          <w:i/>
          <w:szCs w:val="22"/>
        </w:rPr>
        <w:t>Bromus inermis Leyss</w:t>
      </w:r>
      <w:r w:rsidRPr="00EF1FEB">
        <w:rPr>
          <w:rFonts w:eastAsiaTheme="minorHAnsi" w:cstheme="minorBidi"/>
          <w:szCs w:val="22"/>
        </w:rPr>
        <w:t xml:space="preserve">.) </w:t>
      </w:r>
      <w:r w:rsidR="00301182">
        <w:rPr>
          <w:rFonts w:eastAsiaTheme="minorHAnsi" w:cstheme="minorBidi"/>
          <w:szCs w:val="22"/>
        </w:rPr>
        <w:fldChar w:fldCharType="begin"/>
      </w:r>
      <w:r w:rsidR="00B7572A">
        <w:rPr>
          <w:rFonts w:eastAsiaTheme="minorHAnsi" w:cstheme="minorBidi"/>
          <w:szCs w:val="22"/>
        </w:rPr>
        <w:instrText xml:space="preserve"> ADDIN EN.CITE &lt;EndNote&gt;&lt;Cite&gt;&lt;Author&gt;Carpenter&lt;/Author&gt;&lt;Year&gt;1990&lt;/Year&gt;&lt;RecNum&gt;229&lt;/RecNum&gt;&lt;DisplayText&gt;(Carpenter and Casler, 1990; Grissom and Kalton, 1956)&lt;/DisplayText&gt;&lt;record&gt;&lt;rec-number&gt;229&lt;/rec-number&gt;&lt;foreign-keys&gt;&lt;key app="EN" db-id="9zfxt259rawwvce0pfa5efeuatdw0pz5va5z" timestamp="1319834577"&gt;229&lt;/key&gt;&lt;/foreign-keys&gt;&lt;ref-type name="Journal Article"&gt;17&lt;/ref-type&gt;&lt;contributors&gt;&lt;authors&gt;&lt;author&gt;Carpenter, J.A.&lt;/author&gt;&lt;author&gt;Casler, MD.&lt;/author&gt;&lt;/authors&gt;&lt;/contributors&gt;&lt;titles&gt;&lt;title&gt;Divergent phenotypic selection response in smooth bromegrass for forage yield and nutritive value&lt;/title&gt;&lt;secondary-title&gt;Crop Sci.&lt;/secondary-title&gt;&lt;/titles&gt;&lt;periodical&gt;&lt;full-title&gt;Crop Sci.&lt;/full-title&gt;&lt;/periodical&gt;&lt;pages&gt;17-22&lt;/pages&gt;&lt;volume&gt;30&lt;/volume&gt;&lt;dates&gt;&lt;year&gt;1990&lt;/year&gt;&lt;/dates&gt;&lt;urls&gt;&lt;/urls&gt;&lt;/record&gt;&lt;/Cite&gt;&lt;Cite&gt;&lt;Author&gt;Grissom&lt;/Author&gt;&lt;Year&gt;1956&lt;/Year&gt;&lt;RecNum&gt;230&lt;/RecNum&gt;&lt;record&gt;&lt;rec-number&gt;230&lt;/rec-number&gt;&lt;foreign-keys&gt;&lt;key app="EN" db-id="9zfxt259rawwvce0pfa5efeuatdw0pz5va5z" timestamp="1319834637"&gt;230&lt;/key&gt;&lt;/foreign-keys&gt;&lt;ref-type name="Journal Article"&gt;17&lt;/ref-type&gt;&lt;contributors&gt;&lt;authors&gt;&lt;author&gt;Grissom, D.B.&lt;/author&gt;&lt;author&gt;Kalton, R.R.&lt;/author&gt;&lt;/authors&gt;&lt;/contributors&gt;&lt;titles&gt;&lt;title&gt;&lt;style face="normal" font="default" size="100%"&gt;Inheritance of combining ability for forage traits in bromegrass (&lt;/style&gt;&lt;style face="italic" font="default" size="100%"&gt;Bromus inermis&lt;/style&gt;&lt;style face="normal" font="default" size="100%"&gt; Leyss)&lt;/style&gt;&lt;/title&gt;&lt;secondary-title&gt;Agron. J.&lt;/secondary-title&gt;&lt;/titles&gt;&lt;periodical&gt;&lt;full-title&gt;Agron. J.&lt;/full-title&gt;&lt;/periodical&gt;&lt;pages&gt;289-293&lt;/pages&gt;&lt;volume&gt;48&lt;/volume&gt;&lt;dates&gt;&lt;year&gt;1956&lt;/year&gt;&lt;/dates&gt;&lt;urls&gt;&lt;/urls&gt;&lt;/record&gt;&lt;/Cite&gt;&lt;/EndNote&gt;</w:instrText>
      </w:r>
      <w:r w:rsidR="00301182">
        <w:rPr>
          <w:rFonts w:eastAsiaTheme="minorHAnsi" w:cstheme="minorBidi"/>
          <w:szCs w:val="22"/>
        </w:rPr>
        <w:fldChar w:fldCharType="separate"/>
      </w:r>
      <w:r w:rsidR="00B7572A">
        <w:rPr>
          <w:rFonts w:eastAsiaTheme="minorHAnsi" w:cstheme="minorBidi"/>
          <w:noProof/>
          <w:szCs w:val="22"/>
        </w:rPr>
        <w:t>(</w:t>
      </w:r>
      <w:hyperlink w:anchor="_ENREF_18" w:tooltip="Carpenter, 1990 #229" w:history="1">
        <w:r w:rsidR="00FB5014">
          <w:rPr>
            <w:rFonts w:eastAsiaTheme="minorHAnsi" w:cstheme="minorBidi"/>
            <w:noProof/>
            <w:szCs w:val="22"/>
          </w:rPr>
          <w:t>Carpenter and Casler, 1990</w:t>
        </w:r>
      </w:hyperlink>
      <w:r w:rsidR="00B7572A">
        <w:rPr>
          <w:rFonts w:eastAsiaTheme="minorHAnsi" w:cstheme="minorBidi"/>
          <w:noProof/>
          <w:szCs w:val="22"/>
        </w:rPr>
        <w:t xml:space="preserve">; </w:t>
      </w:r>
      <w:hyperlink w:anchor="_ENREF_41" w:tooltip="Grissom, 1956 #230" w:history="1">
        <w:r w:rsidR="00FB5014">
          <w:rPr>
            <w:rFonts w:eastAsiaTheme="minorHAnsi" w:cstheme="minorBidi"/>
            <w:noProof/>
            <w:szCs w:val="22"/>
          </w:rPr>
          <w:t>Grissom and Kalton, 1956</w:t>
        </w:r>
      </w:hyperlink>
      <w:r w:rsidR="00B7572A">
        <w:rPr>
          <w:rFonts w:eastAsiaTheme="minorHAnsi" w:cstheme="minorBidi"/>
          <w:noProof/>
          <w:szCs w:val="22"/>
        </w:rPr>
        <w:t>)</w:t>
      </w:r>
      <w:r w:rsidR="00301182">
        <w:rPr>
          <w:rFonts w:eastAsiaTheme="minorHAnsi" w:cstheme="minorBidi"/>
          <w:szCs w:val="22"/>
        </w:rPr>
        <w:fldChar w:fldCharType="end"/>
      </w:r>
      <w:r w:rsidRPr="00EF1FEB">
        <w:rPr>
          <w:rFonts w:eastAsiaTheme="minorHAnsi" w:cstheme="minorBidi"/>
          <w:szCs w:val="22"/>
        </w:rPr>
        <w:t>, crested wheatgrass (</w:t>
      </w:r>
      <w:r w:rsidRPr="00EF1FEB">
        <w:rPr>
          <w:rFonts w:eastAsiaTheme="minorHAnsi" w:cstheme="minorBidi"/>
          <w:i/>
          <w:szCs w:val="22"/>
        </w:rPr>
        <w:t>Agropyron cristatum (L.) Gaertn.</w:t>
      </w:r>
      <w:r w:rsidRPr="00EF1FEB">
        <w:rPr>
          <w:rFonts w:eastAsiaTheme="minorHAnsi" w:cstheme="minorBidi"/>
          <w:szCs w:val="22"/>
        </w:rPr>
        <w:t xml:space="preserve">) </w:t>
      </w:r>
      <w:r w:rsidR="00301182">
        <w:rPr>
          <w:rFonts w:eastAsiaTheme="minorHAnsi" w:cstheme="minorBidi"/>
          <w:szCs w:val="22"/>
        </w:rPr>
        <w:fldChar w:fldCharType="begin"/>
      </w:r>
      <w:r>
        <w:rPr>
          <w:rFonts w:eastAsiaTheme="minorHAnsi" w:cstheme="minorBidi"/>
          <w:szCs w:val="22"/>
        </w:rPr>
        <w:instrText xml:space="preserve"> ADDIN EN.CITE &lt;EndNote&gt;&lt;Cite&gt;&lt;Author&gt;Assay&lt;/Author&gt;&lt;Year&gt;1997&lt;/Year&gt;&lt;RecNum&gt;233&lt;/RecNum&gt;&lt;DisplayText&gt;(Assay and Johnson, 1997)&lt;/DisplayText&gt;&lt;record&gt;&lt;rec-number&gt;233&lt;/rec-number&gt;&lt;foreign-keys&gt;&lt;key app="EN" db-id="9zfxt259rawwvce0pfa5efeuatdw0pz5va5z" timestamp="1319834962"&gt;233&lt;/key&gt;&lt;/foreign-keys&gt;&lt;ref-type name="Journal Article"&gt;17&lt;/ref-type&gt;&lt;contributors&gt;&lt;authors&gt;&lt;author&gt;Assay, K.H.&lt;/author&gt;&lt;author&gt;Johnson, D.A.&lt;/author&gt;&lt;/authors&gt;&lt;/contributors&gt;&lt;titles&gt;&lt;title&gt;&lt;style face="normal" font="default" size="100%"&gt;Genotype by competition level interactions in crested wheatgrass (&lt;/style&gt;&lt;style face="italic" font="default" size="100%"&gt;Agropyron desertorum Poaceae&lt;/style&gt;&lt;style face="normal" font="default" size="100%"&gt;: Triticeae). &lt;/style&gt;&lt;/title&gt;&lt;secondary-title&gt;Int. J. Plant Sci.&lt;/secondary-title&gt;&lt;/titles&gt;&lt;periodical&gt;&lt;full-title&gt;Int. J. Plant Sci.&lt;/full-title&gt;&lt;/periodical&gt;&lt;pages&gt;851-855&lt;/pages&gt;&lt;volume&gt;158&lt;/volume&gt;&lt;dates&gt;&lt;year&gt;1997&lt;/year&gt;&lt;/dates&gt;&lt;urls&gt;&lt;/urls&gt;&lt;/record&gt;&lt;/Cite&gt;&lt;/EndNote&gt;</w:instrText>
      </w:r>
      <w:r w:rsidR="00301182">
        <w:rPr>
          <w:rFonts w:eastAsiaTheme="minorHAnsi" w:cstheme="minorBidi"/>
          <w:szCs w:val="22"/>
        </w:rPr>
        <w:fldChar w:fldCharType="separate"/>
      </w:r>
      <w:r>
        <w:rPr>
          <w:rFonts w:eastAsiaTheme="minorHAnsi" w:cstheme="minorBidi"/>
          <w:noProof/>
          <w:szCs w:val="22"/>
        </w:rPr>
        <w:t>(</w:t>
      </w:r>
      <w:hyperlink w:anchor="_ENREF_6" w:tooltip="Assay, 1997 #233" w:history="1">
        <w:r w:rsidR="00FB5014">
          <w:rPr>
            <w:rFonts w:eastAsiaTheme="minorHAnsi" w:cstheme="minorBidi"/>
            <w:noProof/>
            <w:szCs w:val="22"/>
          </w:rPr>
          <w:t>Assay and Johnson, 1997</w:t>
        </w:r>
      </w:hyperlink>
      <w:r>
        <w:rPr>
          <w:rFonts w:eastAsiaTheme="minorHAnsi" w:cstheme="minorBidi"/>
          <w:noProof/>
          <w:szCs w:val="22"/>
        </w:rPr>
        <w:t>)</w:t>
      </w:r>
      <w:r w:rsidR="00301182">
        <w:rPr>
          <w:rFonts w:eastAsiaTheme="minorHAnsi" w:cstheme="minorBidi"/>
          <w:szCs w:val="22"/>
        </w:rPr>
        <w:fldChar w:fldCharType="end"/>
      </w:r>
      <w:r w:rsidRPr="00EF1FEB">
        <w:rPr>
          <w:rFonts w:eastAsiaTheme="minorHAnsi" w:cstheme="minorBidi"/>
          <w:szCs w:val="22"/>
        </w:rPr>
        <w:t>, and alfalfa (</w:t>
      </w:r>
      <w:r w:rsidRPr="00EF1FEB">
        <w:rPr>
          <w:rFonts w:eastAsiaTheme="minorHAnsi" w:cstheme="minorBidi"/>
          <w:i/>
          <w:szCs w:val="22"/>
        </w:rPr>
        <w:t>Medicago sativa L.</w:t>
      </w:r>
      <w:r w:rsidRPr="00EF1FEB">
        <w:rPr>
          <w:rFonts w:eastAsiaTheme="minorHAnsi" w:cstheme="minorBidi"/>
          <w:szCs w:val="22"/>
        </w:rPr>
        <w:t>)</w:t>
      </w:r>
      <w:r>
        <w:rPr>
          <w:rFonts w:eastAsiaTheme="minorHAnsi" w:cstheme="minorBidi"/>
          <w:szCs w:val="22"/>
        </w:rPr>
        <w:t xml:space="preserve"> </w:t>
      </w:r>
      <w:r w:rsidR="00301182">
        <w:rPr>
          <w:rFonts w:eastAsiaTheme="minorHAnsi" w:cstheme="minorBidi"/>
          <w:szCs w:val="22"/>
        </w:rPr>
        <w:fldChar w:fldCharType="begin"/>
      </w:r>
      <w:r w:rsidR="00B7572A">
        <w:rPr>
          <w:rFonts w:eastAsiaTheme="minorHAnsi" w:cstheme="minorBidi"/>
          <w:szCs w:val="22"/>
        </w:rPr>
        <w:instrText xml:space="preserve"> ADDIN EN.CITE &lt;EndNote&gt;&lt;Cite&gt;&lt;Author&gt;Annicchiarico&lt;/Author&gt;&lt;Year&gt;2006&lt;/Year&gt;&lt;RecNum&gt;232&lt;/RecNum&gt;&lt;DisplayText&gt;(Annicchiarico, 2006; Assay et al., 1999)&lt;/DisplayText&gt;&lt;record&gt;&lt;rec-number&gt;232&lt;/rec-number&gt;&lt;foreign-keys&gt;&lt;key app="EN" db-id="9zfxt259rawwvce0pfa5efeuatdw0pz5va5z" timestamp="1319834880"&gt;232&lt;/key&gt;&lt;/foreign-keys&gt;&lt;ref-type name="Journal Article"&gt;17&lt;/ref-type&gt;&lt;contributors&gt;&lt;authors&gt;&lt;author&gt;Annicchiarico, P.&lt;/author&gt;&lt;/authors&gt;&lt;/contributors&gt;&lt;titles&gt;&lt;title&gt;Prediction of indirect selection for seed and forage yield of lucerne based on evaluation under spaced planting&lt;/title&gt;&lt;secondary-title&gt;Plant Breed. &lt;/secondary-title&gt;&lt;/titles&gt;&lt;periodical&gt;&lt;full-title&gt;Plant Breed.&lt;/full-title&gt;&lt;/periodical&gt;&lt;pages&gt;641-643&lt;/pages&gt;&lt;volume&gt;125&lt;/volume&gt;&lt;dates&gt;&lt;year&gt;2006&lt;/year&gt;&lt;/dates&gt;&lt;urls&gt;&lt;/urls&gt;&lt;/record&gt;&lt;/Cite&gt;&lt;Cite&gt;&lt;Author&gt;Assay&lt;/Author&gt;&lt;Year&gt;1999&lt;/Year&gt;&lt;RecNum&gt;231&lt;/RecNum&gt;&lt;record&gt;&lt;rec-number&gt;231&lt;/rec-number&gt;&lt;foreign-keys&gt;&lt;key app="EN" db-id="9zfxt259rawwvce0pfa5efeuatdw0pz5va5z" timestamp="1319834702"&gt;231&lt;/key&gt;&lt;/foreign-keys&gt;&lt;ref-type name="Journal Article"&gt;17&lt;/ref-type&gt;&lt;contributors&gt;&lt;authors&gt;&lt;author&gt;Assay, K.H.&lt;/author&gt;&lt;author&gt;Johnson, D.A.&lt;/author&gt;&lt;author&gt;Rumbaugh, M.D.&lt;/author&gt;&lt;/authors&gt;&lt;/contributors&gt;&lt;titles&gt;&lt;title&gt;&lt;style face="normal" font="default" size="100%"&gt;Genotype by competition level interactions in alfalfa (&lt;/style&gt;&lt;style face="italic" font="default" size="100%"&gt;Medicago sativa &lt;/style&gt;&lt;style face="normal" font="default" size="100%"&gt;L.)&lt;/style&gt;&lt;/title&gt;&lt;secondary-title&gt;Int. J. Plant Sci.&lt;/secondary-title&gt;&lt;/titles&gt;&lt;periodical&gt;&lt;full-title&gt;Int. J. Plant Sci.&lt;/full-title&gt;&lt;/periodical&gt;&lt;pages&gt;129-134&lt;/pages&gt;&lt;volume&gt;160&lt;/volume&gt;&lt;dates&gt;&lt;year&gt;1999&lt;/year&gt;&lt;/dates&gt;&lt;urls&gt;&lt;/urls&gt;&lt;/record&gt;&lt;/Cite&gt;&lt;/EndNote&gt;</w:instrText>
      </w:r>
      <w:r w:rsidR="00301182">
        <w:rPr>
          <w:rFonts w:eastAsiaTheme="minorHAnsi" w:cstheme="minorBidi"/>
          <w:szCs w:val="22"/>
        </w:rPr>
        <w:fldChar w:fldCharType="separate"/>
      </w:r>
      <w:r w:rsidR="00B7572A">
        <w:rPr>
          <w:rFonts w:eastAsiaTheme="minorHAnsi" w:cstheme="minorBidi"/>
          <w:noProof/>
          <w:szCs w:val="22"/>
        </w:rPr>
        <w:t>(</w:t>
      </w:r>
      <w:hyperlink w:anchor="_ENREF_4" w:tooltip="Annicchiarico, 2006 #232" w:history="1">
        <w:r w:rsidR="00FB5014">
          <w:rPr>
            <w:rFonts w:eastAsiaTheme="minorHAnsi" w:cstheme="minorBidi"/>
            <w:noProof/>
            <w:szCs w:val="22"/>
          </w:rPr>
          <w:t>Annicchiarico, 2006</w:t>
        </w:r>
      </w:hyperlink>
      <w:r w:rsidR="00B7572A">
        <w:rPr>
          <w:rFonts w:eastAsiaTheme="minorHAnsi" w:cstheme="minorBidi"/>
          <w:noProof/>
          <w:szCs w:val="22"/>
        </w:rPr>
        <w:t xml:space="preserve">; </w:t>
      </w:r>
      <w:hyperlink w:anchor="_ENREF_7" w:tooltip="Assay, 1999 #231" w:history="1">
        <w:r w:rsidR="00FB5014">
          <w:rPr>
            <w:rFonts w:eastAsiaTheme="minorHAnsi" w:cstheme="minorBidi"/>
            <w:noProof/>
            <w:szCs w:val="22"/>
          </w:rPr>
          <w:t>Assay et al., 1999</w:t>
        </w:r>
      </w:hyperlink>
      <w:r w:rsidR="00B7572A">
        <w:rPr>
          <w:rFonts w:eastAsiaTheme="minorHAnsi" w:cstheme="minorBidi"/>
          <w:noProof/>
          <w:szCs w:val="22"/>
        </w:rPr>
        <w:t>)</w:t>
      </w:r>
      <w:r w:rsidR="00301182">
        <w:rPr>
          <w:rFonts w:eastAsiaTheme="minorHAnsi" w:cstheme="minorBidi"/>
          <w:szCs w:val="22"/>
        </w:rPr>
        <w:fldChar w:fldCharType="end"/>
      </w:r>
      <w:r w:rsidRPr="00EF1FEB">
        <w:rPr>
          <w:rFonts w:eastAsiaTheme="minorHAnsi" w:cstheme="minorBidi"/>
          <w:szCs w:val="22"/>
        </w:rPr>
        <w:t xml:space="preserve">. </w:t>
      </w:r>
      <w:r>
        <w:rPr>
          <w:rFonts w:eastAsiaTheme="minorHAnsi" w:cstheme="minorBidi"/>
          <w:szCs w:val="22"/>
        </w:rPr>
        <w:t xml:space="preserve">While the majority of research points to major inconsistencies in evaluations under space versus sward conditions, a few studies involving </w:t>
      </w:r>
      <w:r w:rsidRPr="00EF1FEB">
        <w:rPr>
          <w:rFonts w:eastAsiaTheme="minorHAnsi" w:cstheme="minorBidi"/>
          <w:szCs w:val="22"/>
        </w:rPr>
        <w:t xml:space="preserve">perennial ryegrass </w:t>
      </w:r>
      <w:r>
        <w:rPr>
          <w:rFonts w:eastAsiaTheme="minorHAnsi" w:cstheme="minorBidi"/>
          <w:szCs w:val="22"/>
        </w:rPr>
        <w:t>have shown</w:t>
      </w:r>
      <w:r w:rsidRPr="00EF1FEB">
        <w:rPr>
          <w:rFonts w:eastAsiaTheme="minorHAnsi" w:cstheme="minorBidi"/>
          <w:szCs w:val="22"/>
        </w:rPr>
        <w:t xml:space="preserve"> performance under spaced conditions to be an effective indicator of sward performance </w:t>
      </w:r>
      <w:r w:rsidR="00301182">
        <w:rPr>
          <w:rFonts w:eastAsiaTheme="minorHAnsi" w:cstheme="minorBidi"/>
          <w:szCs w:val="22"/>
        </w:rPr>
        <w:fldChar w:fldCharType="begin">
          <w:fldData xml:space="preserve">PEVuZE5vdGU+PENpdGU+PFllYXI+MTk2NjwvWWVhcj48UmVjTnVtPjIzNTwvUmVjTnVtPjxEaXNw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</w:fldData>
        </w:fldChar>
      </w:r>
      <w:r w:rsidR="00E20B7A">
        <w:rPr>
          <w:rFonts w:eastAsiaTheme="minorHAnsi" w:cstheme="minorBidi"/>
          <w:szCs w:val="22"/>
        </w:rPr>
        <w:instrText xml:space="preserve"> ADDIN EN.CITE </w:instrText>
      </w:r>
      <w:r w:rsidR="00E20B7A">
        <w:rPr>
          <w:rFonts w:eastAsiaTheme="minorHAnsi" w:cstheme="minorBidi"/>
          <w:szCs w:val="22"/>
        </w:rPr>
        <w:fldChar w:fldCharType="begin">
          <w:fldData xml:space="preserve">PEVuZE5vdGU+PENpdGU+PFllYXI+MTk2NjwvWWVhcj48UmVjTnVtPjIzNTwvUmVjTnVtPjxEaXNw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</w:fldData>
        </w:fldChar>
      </w:r>
      <w:r w:rsidR="00E20B7A">
        <w:rPr>
          <w:rFonts w:eastAsiaTheme="minorHAnsi" w:cstheme="minorBidi"/>
          <w:szCs w:val="22"/>
        </w:rPr>
        <w:instrText xml:space="preserve"> ADDIN EN.CITE.DATA </w:instrText>
      </w:r>
      <w:r w:rsidR="00E20B7A">
        <w:rPr>
          <w:rFonts w:eastAsiaTheme="minorHAnsi" w:cstheme="minorBidi"/>
          <w:szCs w:val="22"/>
        </w:rPr>
      </w:r>
      <w:r w:rsidR="00E20B7A">
        <w:rPr>
          <w:rFonts w:eastAsiaTheme="minorHAnsi" w:cstheme="minorBidi"/>
          <w:szCs w:val="22"/>
        </w:rPr>
        <w:fldChar w:fldCharType="end"/>
      </w:r>
      <w:r w:rsidR="00301182">
        <w:rPr>
          <w:rFonts w:eastAsiaTheme="minorHAnsi" w:cstheme="minorBidi"/>
          <w:szCs w:val="22"/>
        </w:rPr>
      </w:r>
      <w:r w:rsidR="00301182">
        <w:rPr>
          <w:rFonts w:eastAsiaTheme="minorHAnsi" w:cstheme="minorBidi"/>
          <w:szCs w:val="22"/>
        </w:rPr>
        <w:fldChar w:fldCharType="separate"/>
      </w:r>
      <w:r w:rsidR="00E20B7A">
        <w:rPr>
          <w:rFonts w:eastAsiaTheme="minorHAnsi" w:cstheme="minorBidi"/>
          <w:noProof/>
          <w:szCs w:val="22"/>
        </w:rPr>
        <w:t>(</w:t>
      </w:r>
      <w:hyperlink w:anchor="_ENREF_25" w:tooltip="Copeman, 1966 #235" w:history="1">
        <w:r w:rsidR="00FB5014">
          <w:rPr>
            <w:rFonts w:eastAsiaTheme="minorHAnsi" w:cstheme="minorBidi"/>
            <w:noProof/>
            <w:szCs w:val="22"/>
          </w:rPr>
          <w:t>Copeman and Swift, 1966</w:t>
        </w:r>
      </w:hyperlink>
      <w:r w:rsidR="00E20B7A">
        <w:rPr>
          <w:rFonts w:eastAsiaTheme="minorHAnsi" w:cstheme="minorBidi"/>
          <w:noProof/>
          <w:szCs w:val="22"/>
        </w:rPr>
        <w:t xml:space="preserve">; </w:t>
      </w:r>
      <w:hyperlink w:anchor="_ENREF_50" w:tooltip="Humphreys, 1989 #236" w:history="1">
        <w:r w:rsidR="00FB5014">
          <w:rPr>
            <w:rFonts w:eastAsiaTheme="minorHAnsi" w:cstheme="minorBidi"/>
            <w:noProof/>
            <w:szCs w:val="22"/>
          </w:rPr>
          <w:t>Humphreys, 1989</w:t>
        </w:r>
      </w:hyperlink>
      <w:r w:rsidR="00E20B7A">
        <w:rPr>
          <w:rFonts w:eastAsiaTheme="minorHAnsi" w:cstheme="minorBidi"/>
          <w:noProof/>
          <w:szCs w:val="22"/>
        </w:rPr>
        <w:t xml:space="preserve">; </w:t>
      </w:r>
      <w:hyperlink w:anchor="_ENREF_59" w:tooltip="Lazenby, 1957 #234" w:history="1">
        <w:r w:rsidR="00FB5014">
          <w:rPr>
            <w:rFonts w:eastAsiaTheme="minorHAnsi" w:cstheme="minorBidi"/>
            <w:noProof/>
            <w:szCs w:val="22"/>
          </w:rPr>
          <w:t>Lazenby, 1957</w:t>
        </w:r>
      </w:hyperlink>
      <w:r w:rsidR="00E20B7A">
        <w:rPr>
          <w:rFonts w:eastAsiaTheme="minorHAnsi" w:cstheme="minorBidi"/>
          <w:noProof/>
          <w:szCs w:val="22"/>
        </w:rPr>
        <w:t>)</w:t>
      </w:r>
      <w:r w:rsidR="00301182">
        <w:rPr>
          <w:rFonts w:eastAsiaTheme="minorHAnsi" w:cstheme="minorBidi"/>
          <w:szCs w:val="22"/>
        </w:rPr>
        <w:fldChar w:fldCharType="end"/>
      </w:r>
      <w:r w:rsidRPr="00EF1FEB">
        <w:rPr>
          <w:rFonts w:eastAsiaTheme="minorHAnsi" w:cstheme="minorBidi"/>
          <w:szCs w:val="22"/>
        </w:rPr>
        <w:t>.</w:t>
      </w:r>
      <w:r>
        <w:rPr>
          <w:rFonts w:eastAsiaTheme="minorHAnsi" w:cstheme="minorBidi"/>
          <w:szCs w:val="22"/>
        </w:rPr>
        <w:t xml:space="preserve"> While heterosis has been examined in switchgrass, how other genetic parameters might be influenced by differing evaluation and production conditions is still unknown</w:t>
      </w:r>
      <w:r w:rsidR="00954DB7">
        <w:rPr>
          <w:rFonts w:eastAsiaTheme="minorHAnsi" w:cstheme="minorBidi"/>
          <w:szCs w:val="22"/>
        </w:rPr>
        <w:t xml:space="preserve">. </w:t>
      </w:r>
    </w:p>
    <w:p w14:paraId="18F4415F" w14:textId="57C2C6A1" w:rsidR="00043399" w:rsidRDefault="00043399" w:rsidP="00043399">
      <w:pPr>
        <w:ind w:firstLine="720"/>
        <w:rPr>
          <w:rFonts w:eastAsiaTheme="minorHAnsi" w:cstheme="minorBidi"/>
          <w:szCs w:val="22"/>
        </w:rPr>
      </w:pPr>
      <w:r w:rsidRPr="00EF1FEB">
        <w:rPr>
          <w:rFonts w:eastAsiaTheme="minorHAnsi" w:cstheme="minorBidi"/>
          <w:szCs w:val="22"/>
        </w:rPr>
        <w:lastRenderedPageBreak/>
        <w:t xml:space="preserve">The perceived advantage of certain traits </w:t>
      </w:r>
      <w:r>
        <w:rPr>
          <w:rFonts w:eastAsiaTheme="minorHAnsi" w:cstheme="minorBidi"/>
          <w:szCs w:val="22"/>
        </w:rPr>
        <w:t xml:space="preserve">as indirect selectors of biomass yield or other valuable traits </w:t>
      </w:r>
      <w:r w:rsidRPr="00EF1FEB">
        <w:rPr>
          <w:rFonts w:eastAsiaTheme="minorHAnsi" w:cstheme="minorBidi"/>
          <w:szCs w:val="22"/>
        </w:rPr>
        <w:t xml:space="preserve">may also be skewed when these observations are made under unrealistic production conditions. Several studies of switchgrass under space planted conditions have </w:t>
      </w:r>
      <w:r w:rsidR="00740446">
        <w:rPr>
          <w:rFonts w:eastAsiaTheme="minorHAnsi" w:cstheme="minorBidi"/>
          <w:szCs w:val="22"/>
        </w:rPr>
        <w:t>found</w:t>
      </w:r>
      <w:r w:rsidRPr="00EF1FEB">
        <w:rPr>
          <w:rFonts w:eastAsiaTheme="minorHAnsi" w:cstheme="minorBidi"/>
          <w:szCs w:val="22"/>
        </w:rPr>
        <w:t xml:space="preserve"> high correlations of tillering with </w:t>
      </w:r>
      <w:r>
        <w:rPr>
          <w:rFonts w:eastAsiaTheme="minorHAnsi" w:cstheme="minorBidi"/>
          <w:szCs w:val="22"/>
        </w:rPr>
        <w:t xml:space="preserve">biomass </w:t>
      </w:r>
      <w:r w:rsidRPr="00EF1FEB">
        <w:rPr>
          <w:rFonts w:eastAsiaTheme="minorHAnsi" w:cstheme="minorBidi"/>
          <w:szCs w:val="22"/>
        </w:rPr>
        <w:t>yield</w:t>
      </w:r>
      <w:r>
        <w:rPr>
          <w:rFonts w:eastAsiaTheme="minorHAnsi" w:cstheme="minorBidi"/>
          <w:szCs w:val="22"/>
        </w:rPr>
        <w:t xml:space="preserve"> </w:t>
      </w:r>
      <w:r w:rsidR="00301182">
        <w:rPr>
          <w:rFonts w:eastAsiaTheme="minorHAnsi" w:cstheme="minorBidi"/>
          <w:szCs w:val="22"/>
        </w:rPr>
        <w:fldChar w:fldCharType="begin"/>
      </w:r>
      <w:r w:rsidR="00B7572A">
        <w:rPr>
          <w:rFonts w:eastAsiaTheme="minorHAnsi" w:cstheme="minorBidi"/>
          <w:szCs w:val="22"/>
        </w:rPr>
        <w:instrText xml:space="preserve"> ADDIN EN.CITE &lt;EndNote&gt;&lt;Cite&gt;&lt;Author&gt;Bhandari&lt;/Author&gt;&lt;Year&gt;2010&lt;/Year&gt;&lt;RecNum&gt;199&lt;/RecNum&gt;&lt;DisplayText&gt;(Bhandari et al., 2010; Das et al., 2004)&lt;/DisplayText&gt;&lt;record&gt;&lt;rec-number&gt;199&lt;/rec-number&gt;&lt;foreign-keys&gt;&lt;key app="EN" db-id="9zfxt259rawwvce0pfa5efeuatdw0pz5va5z" timestamp="1316030756"&gt;199&lt;/key&gt;&lt;/foreign-keys&gt;&lt;ref-type name="Journal Article"&gt;17&lt;/ref-type&gt;&lt;contributors&gt;&lt;authors&gt;&lt;author&gt;Bhandari, H.S.&lt;/author&gt;&lt;author&gt;Saha, M.C.&lt;/author&gt;&lt;author&gt;Mascia, P.N.&lt;/author&gt;&lt;author&gt;Fasoula, V.A.&lt;/author&gt;&lt;author&gt;Bouton, J.H.&lt;/author&gt;&lt;/authors&gt;&lt;/contributors&gt;&lt;titles&gt;&lt;title&gt;&lt;style face="normal" font="default" size="100%"&gt;Variation among half-sib families and heritability for biomass yield and other traits in lowland switchgrass (&lt;/style&gt;&lt;style face="italic" font="default" size="100%"&gt;Panicum virgatum&lt;/style&gt;&lt;style face="normal" font="default" size="100%"&gt; L.)&lt;/style&gt;&lt;/title&gt;&lt;secondary-title&gt;Crop Sci.&lt;/secondary-title&gt;&lt;/titles&gt;&lt;periodical&gt;&lt;full-title&gt;Crop Sci.&lt;/full-title&gt;&lt;/periodical&gt;&lt;pages&gt;2355-2363&lt;/pages&gt;&lt;volume&gt;50&lt;/volume&gt;&lt;section&gt;2355&lt;/section&gt;&lt;dates&gt;&lt;year&gt;2010&lt;/year&gt;&lt;/dates&gt;&lt;urls&gt;&lt;/urls&gt;&lt;/record&gt;&lt;/Cite&gt;&lt;Cite&gt;&lt;Author&gt;Das&lt;/Author&gt;&lt;Year&gt;2004&lt;/Year&gt;&lt;RecNum&gt;254&lt;/RecNum&gt;&lt;record&gt;&lt;rec-number&gt;254&lt;/rec-number&gt;&lt;foreign-keys&gt;&lt;key app="EN" db-id="9zfxt259rawwvce0pfa5efeuatdw0pz5va5z" timestamp="1323887731"&gt;254&lt;/key&gt;&lt;/foreign-keys&gt;&lt;ref-type name="Journal Article"&gt;17&lt;/ref-type&gt;&lt;contributors&gt;&lt;authors&gt;&lt;author&gt;Das, M. K.&lt;/author&gt;&lt;author&gt;Fuentes, R. G.&lt;/author&gt;&lt;author&gt;Taliaferro, C. M.&lt;/author&gt;&lt;/authors&gt;&lt;/contributors&gt;&lt;titles&gt;&lt;title&gt;Genetic variability and trait relationships in switchgrass&lt;/title&gt;&lt;secondary-title&gt;Crop Sci.&lt;/secondary-title&gt;&lt;/titles&gt;&lt;periodical&gt;&lt;full-title&gt;Crop Sci.&lt;/full-title&gt;&lt;/periodical&gt;&lt;pages&gt;443-448&lt;/pages&gt;&lt;volume&gt;44&lt;/volume&gt;&lt;section&gt;443&lt;/section&gt;&lt;dates&gt;&lt;year&gt;2004&lt;/year&gt;&lt;/dates&gt;&lt;urls&gt;&lt;/urls&gt;&lt;/record&gt;&lt;/Cite&gt;&lt;/EndNote&gt;</w:instrText>
      </w:r>
      <w:r w:rsidR="00301182">
        <w:rPr>
          <w:rFonts w:eastAsiaTheme="minorHAnsi" w:cstheme="minorBidi"/>
          <w:szCs w:val="22"/>
        </w:rPr>
        <w:fldChar w:fldCharType="separate"/>
      </w:r>
      <w:r w:rsidR="00B7572A">
        <w:rPr>
          <w:rFonts w:eastAsiaTheme="minorHAnsi" w:cstheme="minorBidi"/>
          <w:noProof/>
          <w:szCs w:val="22"/>
        </w:rPr>
        <w:t>(</w:t>
      </w:r>
      <w:hyperlink w:anchor="_ENREF_12" w:tooltip="Bhandari, 2010 #199" w:history="1">
        <w:r w:rsidR="00FB5014">
          <w:rPr>
            <w:rFonts w:eastAsiaTheme="minorHAnsi" w:cstheme="minorBidi"/>
            <w:noProof/>
            <w:szCs w:val="22"/>
          </w:rPr>
          <w:t>Bhandari et al., 2010</w:t>
        </w:r>
      </w:hyperlink>
      <w:r w:rsidR="00B7572A">
        <w:rPr>
          <w:rFonts w:eastAsiaTheme="minorHAnsi" w:cstheme="minorBidi"/>
          <w:noProof/>
          <w:szCs w:val="22"/>
        </w:rPr>
        <w:t xml:space="preserve">; </w:t>
      </w:r>
      <w:hyperlink w:anchor="_ENREF_29" w:tooltip="Das, 2004 #254" w:history="1">
        <w:r w:rsidR="00FB5014">
          <w:rPr>
            <w:rFonts w:eastAsiaTheme="minorHAnsi" w:cstheme="minorBidi"/>
            <w:noProof/>
            <w:szCs w:val="22"/>
          </w:rPr>
          <w:t>Das et al., 2004</w:t>
        </w:r>
      </w:hyperlink>
      <w:r w:rsidR="00B7572A">
        <w:rPr>
          <w:rFonts w:eastAsiaTheme="minorHAnsi" w:cstheme="minorBidi"/>
          <w:noProof/>
          <w:szCs w:val="22"/>
        </w:rPr>
        <w:t>)</w:t>
      </w:r>
      <w:r w:rsidR="00301182">
        <w:rPr>
          <w:rFonts w:eastAsiaTheme="minorHAnsi" w:cstheme="minorBidi"/>
          <w:szCs w:val="22"/>
        </w:rPr>
        <w:fldChar w:fldCharType="end"/>
      </w:r>
      <w:r w:rsidRPr="00EF1FEB">
        <w:rPr>
          <w:rFonts w:eastAsiaTheme="minorHAnsi" w:cstheme="minorBidi"/>
          <w:szCs w:val="22"/>
        </w:rPr>
        <w:t xml:space="preserve">. Conversely, </w:t>
      </w:r>
      <w:r>
        <w:rPr>
          <w:rFonts w:eastAsiaTheme="minorHAnsi" w:cstheme="minorBidi"/>
          <w:szCs w:val="22"/>
        </w:rPr>
        <w:t xml:space="preserve">in tall fescue </w:t>
      </w:r>
      <w:r w:rsidRPr="00EF1FEB">
        <w:rPr>
          <w:rFonts w:eastAsiaTheme="minorHAnsi" w:cstheme="minorBidi"/>
          <w:szCs w:val="22"/>
        </w:rPr>
        <w:t>under sward conditions, yield tiller</w:t>
      </w:r>
      <w:r w:rsidRPr="007A7272">
        <w:rPr>
          <w:rFonts w:eastAsiaTheme="minorHAnsi" w:cstheme="minorBidi"/>
          <w:szCs w:val="22"/>
          <w:vertAlign w:val="superscript"/>
        </w:rPr>
        <w:t>-1</w:t>
      </w:r>
      <w:r w:rsidRPr="00EF1FEB">
        <w:rPr>
          <w:rFonts w:eastAsiaTheme="minorHAnsi" w:cstheme="minorBidi"/>
          <w:szCs w:val="22"/>
        </w:rPr>
        <w:t xml:space="preserve"> as opposed to yield plant</w:t>
      </w:r>
      <w:r w:rsidRPr="007A7272">
        <w:rPr>
          <w:rFonts w:eastAsiaTheme="minorHAnsi" w:cstheme="minorBidi"/>
          <w:szCs w:val="22"/>
          <w:vertAlign w:val="superscript"/>
        </w:rPr>
        <w:t>-1</w:t>
      </w:r>
      <w:r w:rsidRPr="00EF1FEB">
        <w:rPr>
          <w:rFonts w:eastAsiaTheme="minorHAnsi" w:cstheme="minorBidi"/>
          <w:szCs w:val="22"/>
        </w:rPr>
        <w:t xml:space="preserve"> </w:t>
      </w:r>
      <w:r>
        <w:rPr>
          <w:rFonts w:eastAsiaTheme="minorHAnsi" w:cstheme="minorBidi"/>
          <w:szCs w:val="22"/>
        </w:rPr>
        <w:t>was found to be more</w:t>
      </w:r>
      <w:r w:rsidR="00740446">
        <w:rPr>
          <w:rFonts w:eastAsiaTheme="minorHAnsi" w:cstheme="minorBidi"/>
          <w:szCs w:val="22"/>
        </w:rPr>
        <w:t xml:space="preserve"> relevant to overall yield</w:t>
      </w:r>
      <w:r>
        <w:rPr>
          <w:rFonts w:eastAsiaTheme="minorHAnsi" w:cstheme="minorBidi"/>
          <w:szCs w:val="22"/>
        </w:rPr>
        <w:t xml:space="preserve"> </w:t>
      </w:r>
      <w:r w:rsidR="0069022C">
        <w:rPr>
          <w:rFonts w:eastAsiaTheme="minorHAnsi" w:cstheme="minorBidi"/>
          <w:szCs w:val="22"/>
        </w:rPr>
        <w:fldChar w:fldCharType="begin"/>
      </w:r>
      <w:r w:rsidR="00740446">
        <w:rPr>
          <w:rFonts w:eastAsiaTheme="minorHAnsi" w:cstheme="minorBidi"/>
          <w:szCs w:val="22"/>
        </w:rPr>
        <w:instrText xml:space="preserve"> ADDIN EN.CITE &lt;EndNote&gt;&lt;Cite&gt;&lt;Author&gt;Zarrough&lt;/Author&gt;&lt;Year&gt;1983&lt;/Year&gt;&lt;RecNum&gt;238&lt;/RecNum&gt;&lt;DisplayText&gt;(Zarrough et al., 1983)&lt;/DisplayText&gt;&lt;record&gt;&lt;rec-number&gt;238&lt;/rec-number&gt;&lt;foreign-keys&gt;&lt;key app="EN" db-id="9zfxt259rawwvce0pfa5efeuatdw0pz5va5z" timestamp="1320084639"&gt;238&lt;/key&gt;&lt;/foreign-keys&gt;&lt;ref-type name="Journal Article"&gt;17&lt;/ref-type&gt;&lt;contributors&gt;&lt;authors&gt;&lt;author&gt;Zarrough, K.M.&lt;/author&gt;&lt;author&gt;Nelson, C.J.&lt;/author&gt;&lt;author&gt;Coutts, J.H.&lt;/author&gt;&lt;/authors&gt;&lt;/contributors&gt;&lt;titles&gt;&lt;title&gt;Relationship between tillering and forage yield of tall fescue. I. Yield&lt;/title&gt;&lt;secondary-title&gt;Crop Sci.&lt;/secondary-title&gt;&lt;/titles&gt;&lt;periodical&gt;&lt;full-title&gt;Crop Sci.&lt;/full-title&gt;&lt;/periodical&gt;&lt;pages&gt;333-337&lt;/pages&gt;&lt;volume&gt;23&lt;/volume&gt;&lt;dates&gt;&lt;year&gt;1983&lt;/year&gt;&lt;/dates&gt;&lt;urls&gt;&lt;/urls&gt;&lt;/record&gt;&lt;/Cite&gt;&lt;/EndNote&gt;</w:instrText>
      </w:r>
      <w:r w:rsidR="0069022C">
        <w:rPr>
          <w:rFonts w:eastAsiaTheme="minorHAnsi" w:cstheme="minorBidi"/>
          <w:szCs w:val="22"/>
        </w:rPr>
        <w:fldChar w:fldCharType="separate"/>
      </w:r>
      <w:r w:rsidR="00740446">
        <w:rPr>
          <w:rFonts w:eastAsiaTheme="minorHAnsi" w:cstheme="minorBidi"/>
          <w:noProof/>
          <w:szCs w:val="22"/>
        </w:rPr>
        <w:t>(</w:t>
      </w:r>
      <w:hyperlink w:anchor="_ENREF_108" w:tooltip="Zarrough, 1983 #238" w:history="1">
        <w:r w:rsidR="00FB5014">
          <w:rPr>
            <w:rFonts w:eastAsiaTheme="minorHAnsi" w:cstheme="minorBidi"/>
            <w:noProof/>
            <w:szCs w:val="22"/>
          </w:rPr>
          <w:t>Zarrough et al., 1983</w:t>
        </w:r>
      </w:hyperlink>
      <w:r w:rsidR="00740446">
        <w:rPr>
          <w:rFonts w:eastAsiaTheme="minorHAnsi" w:cstheme="minorBidi"/>
          <w:noProof/>
          <w:szCs w:val="22"/>
        </w:rPr>
        <w:t>)</w:t>
      </w:r>
      <w:r w:rsidR="0069022C">
        <w:rPr>
          <w:rFonts w:eastAsiaTheme="minorHAnsi" w:cstheme="minorBidi"/>
          <w:szCs w:val="22"/>
        </w:rPr>
        <w:fldChar w:fldCharType="end"/>
      </w:r>
      <w:r>
        <w:rPr>
          <w:rFonts w:eastAsiaTheme="minorHAnsi" w:cstheme="minorBidi"/>
          <w:szCs w:val="22"/>
        </w:rPr>
        <w:t xml:space="preserve">. </w:t>
      </w:r>
      <w:r w:rsidRPr="00EF1FEB">
        <w:rPr>
          <w:rFonts w:eastAsiaTheme="minorHAnsi" w:cstheme="minorBidi"/>
          <w:szCs w:val="22"/>
        </w:rPr>
        <w:t xml:space="preserve">In order to assess the true value of certain traits </w:t>
      </w:r>
      <w:r>
        <w:rPr>
          <w:rFonts w:eastAsiaTheme="minorHAnsi" w:cstheme="minorBidi"/>
          <w:szCs w:val="22"/>
        </w:rPr>
        <w:t xml:space="preserve">as indirect selection tools for </w:t>
      </w:r>
      <w:r w:rsidRPr="00EF1FEB">
        <w:rPr>
          <w:rFonts w:eastAsiaTheme="minorHAnsi" w:cstheme="minorBidi"/>
          <w:szCs w:val="22"/>
        </w:rPr>
        <w:t>improving switc</w:t>
      </w:r>
      <w:r>
        <w:rPr>
          <w:rFonts w:eastAsiaTheme="minorHAnsi" w:cstheme="minorBidi"/>
          <w:szCs w:val="22"/>
        </w:rPr>
        <w:t>hgrass biomass yield and predicted ethanol yield</w:t>
      </w:r>
      <w:r w:rsidRPr="00EF1FEB">
        <w:rPr>
          <w:rFonts w:eastAsiaTheme="minorHAnsi" w:cstheme="minorBidi"/>
          <w:szCs w:val="22"/>
        </w:rPr>
        <w:t xml:space="preserve">, it is </w:t>
      </w:r>
      <w:r>
        <w:rPr>
          <w:rFonts w:eastAsiaTheme="minorHAnsi" w:cstheme="minorBidi"/>
          <w:szCs w:val="22"/>
        </w:rPr>
        <w:t>essential</w:t>
      </w:r>
      <w:r w:rsidRPr="00EF1FEB">
        <w:rPr>
          <w:rFonts w:eastAsiaTheme="minorHAnsi" w:cstheme="minorBidi"/>
          <w:szCs w:val="22"/>
        </w:rPr>
        <w:t xml:space="preserve"> to </w:t>
      </w:r>
      <w:r>
        <w:rPr>
          <w:rFonts w:eastAsiaTheme="minorHAnsi" w:cstheme="minorBidi"/>
          <w:szCs w:val="22"/>
        </w:rPr>
        <w:t>examine</w:t>
      </w:r>
      <w:r w:rsidRPr="00EF1FEB">
        <w:rPr>
          <w:rFonts w:eastAsiaTheme="minorHAnsi" w:cstheme="minorBidi"/>
          <w:szCs w:val="22"/>
        </w:rPr>
        <w:t xml:space="preserve"> the relationship between evaluations observed under space-planted </w:t>
      </w:r>
      <w:r>
        <w:rPr>
          <w:rFonts w:eastAsiaTheme="minorHAnsi" w:cstheme="minorBidi"/>
          <w:szCs w:val="22"/>
        </w:rPr>
        <w:t>compared to</w:t>
      </w:r>
      <w:r w:rsidRPr="00EF1FEB">
        <w:rPr>
          <w:rFonts w:eastAsiaTheme="minorHAnsi" w:cstheme="minorBidi"/>
          <w:szCs w:val="22"/>
        </w:rPr>
        <w:t xml:space="preserve"> the more realistic sward planted conditions. </w:t>
      </w:r>
    </w:p>
    <w:p w14:paraId="6D7C96E0" w14:textId="7E2F61A1" w:rsidR="00043399" w:rsidRPr="00E9139F" w:rsidRDefault="00043399" w:rsidP="00043399">
      <w:pPr>
        <w:ind w:firstLine="720"/>
        <w:rPr>
          <w:rFonts w:eastAsiaTheme="minorHAnsi" w:cs="Times New Roman"/>
          <w:szCs w:val="22"/>
        </w:rPr>
      </w:pPr>
      <w:r w:rsidRPr="00EF1FEB">
        <w:rPr>
          <w:rFonts w:eastAsiaTheme="minorHAnsi" w:cstheme="minorBidi"/>
          <w:szCs w:val="22"/>
        </w:rPr>
        <w:t xml:space="preserve"> Determining</w:t>
      </w:r>
      <w:r>
        <w:rPr>
          <w:rFonts w:eastAsiaTheme="minorHAnsi" w:cstheme="minorBidi"/>
          <w:szCs w:val="22"/>
        </w:rPr>
        <w:t xml:space="preserve"> the relationship between estimates of various genetic parameters and the effectiveness of selection under space planted conditions could aid breeders in developing more</w:t>
      </w:r>
      <w:r w:rsidRPr="00EF1FEB">
        <w:rPr>
          <w:rFonts w:eastAsiaTheme="minorHAnsi" w:cstheme="minorBidi"/>
          <w:szCs w:val="22"/>
        </w:rPr>
        <w:t xml:space="preserve"> effective </w:t>
      </w:r>
      <w:r>
        <w:rPr>
          <w:rFonts w:eastAsiaTheme="minorHAnsi" w:cstheme="minorBidi"/>
          <w:szCs w:val="22"/>
        </w:rPr>
        <w:t xml:space="preserve">breeding </w:t>
      </w:r>
      <w:r w:rsidRPr="00EF1FEB">
        <w:rPr>
          <w:rFonts w:eastAsiaTheme="minorHAnsi" w:cstheme="minorBidi"/>
          <w:szCs w:val="22"/>
        </w:rPr>
        <w:t>methods</w:t>
      </w:r>
      <w:r>
        <w:rPr>
          <w:rFonts w:eastAsiaTheme="minorHAnsi" w:cstheme="minorBidi"/>
          <w:szCs w:val="22"/>
        </w:rPr>
        <w:t xml:space="preserve"> for</w:t>
      </w:r>
      <w:r w:rsidRPr="00EF1FEB">
        <w:rPr>
          <w:rFonts w:eastAsiaTheme="minorHAnsi" w:cstheme="minorBidi"/>
          <w:szCs w:val="22"/>
        </w:rPr>
        <w:t xml:space="preserve"> </w:t>
      </w:r>
      <w:r>
        <w:rPr>
          <w:rFonts w:eastAsiaTheme="minorHAnsi" w:cstheme="minorBidi"/>
          <w:szCs w:val="22"/>
        </w:rPr>
        <w:t xml:space="preserve">switchgrass cultivar improvement. </w:t>
      </w:r>
      <w:r w:rsidRPr="00374367">
        <w:rPr>
          <w:rFonts w:cs="Times New Roman"/>
        </w:rPr>
        <w:t xml:space="preserve">The objectives of this research are to compare space- and sward-planted switchgrass biomass and </w:t>
      </w:r>
      <w:r>
        <w:rPr>
          <w:rFonts w:cs="Times New Roman"/>
        </w:rPr>
        <w:t>predicted ethanol yield</w:t>
      </w:r>
      <w:r w:rsidRPr="00374367">
        <w:rPr>
          <w:rFonts w:cs="Times New Roman"/>
        </w:rPr>
        <w:t xml:space="preserve"> for </w:t>
      </w:r>
      <w:proofErr w:type="spellStart"/>
      <w:r w:rsidRPr="00374367">
        <w:rPr>
          <w:rFonts w:cs="Times New Roman"/>
        </w:rPr>
        <w:t>i</w:t>
      </w:r>
      <w:proofErr w:type="spellEnd"/>
      <w:r w:rsidRPr="00374367">
        <w:rPr>
          <w:rFonts w:cs="Times New Roman"/>
        </w:rPr>
        <w:t xml:space="preserve">.) </w:t>
      </w:r>
      <w:proofErr w:type="gramStart"/>
      <w:r w:rsidR="007A7BBE">
        <w:rPr>
          <w:rFonts w:cs="Times New Roman"/>
        </w:rPr>
        <w:t>c</w:t>
      </w:r>
      <w:r w:rsidRPr="00374367">
        <w:rPr>
          <w:rFonts w:cs="Times New Roman"/>
        </w:rPr>
        <w:t>orrelations</w:t>
      </w:r>
      <w:proofErr w:type="gramEnd"/>
      <w:r w:rsidRPr="00374367">
        <w:rPr>
          <w:rFonts w:cs="Times New Roman"/>
        </w:rPr>
        <w:t xml:space="preserve"> </w:t>
      </w:r>
      <w:r>
        <w:rPr>
          <w:rFonts w:cs="Times New Roman"/>
        </w:rPr>
        <w:t>of</w:t>
      </w:r>
      <w:r w:rsidRPr="00374367">
        <w:rPr>
          <w:rFonts w:cs="Times New Roman"/>
        </w:rPr>
        <w:t xml:space="preserve"> morphological traits</w:t>
      </w:r>
      <w:r>
        <w:rPr>
          <w:rFonts w:cs="Times New Roman"/>
        </w:rPr>
        <w:t xml:space="preserve"> within and between nurseries</w:t>
      </w:r>
      <w:r w:rsidRPr="00374367">
        <w:rPr>
          <w:rFonts w:cs="Times New Roman"/>
        </w:rPr>
        <w:t xml:space="preserve">, ii.) </w:t>
      </w:r>
      <w:proofErr w:type="gramStart"/>
      <w:r w:rsidR="007A7BBE">
        <w:rPr>
          <w:rFonts w:cs="Times New Roman"/>
        </w:rPr>
        <w:t>e</w:t>
      </w:r>
      <w:r w:rsidRPr="00374367">
        <w:rPr>
          <w:rFonts w:cs="Times New Roman"/>
        </w:rPr>
        <w:t>stimates</w:t>
      </w:r>
      <w:proofErr w:type="gramEnd"/>
      <w:r w:rsidRPr="00374367">
        <w:rPr>
          <w:rFonts w:cs="Times New Roman"/>
        </w:rPr>
        <w:t xml:space="preserve"> of general and specif</w:t>
      </w:r>
      <w:r>
        <w:rPr>
          <w:rFonts w:cs="Times New Roman"/>
        </w:rPr>
        <w:t xml:space="preserve">ic combining ability (GCA, SCA), </w:t>
      </w:r>
      <w:r w:rsidRPr="00374367">
        <w:rPr>
          <w:rFonts w:cs="Times New Roman"/>
        </w:rPr>
        <w:t xml:space="preserve">heritability, </w:t>
      </w:r>
      <w:r>
        <w:rPr>
          <w:rFonts w:cs="Times New Roman"/>
        </w:rPr>
        <w:t xml:space="preserve">and heterosis, </w:t>
      </w:r>
      <w:r w:rsidR="00875EEE">
        <w:rPr>
          <w:rFonts w:cs="Times New Roman"/>
        </w:rPr>
        <w:t xml:space="preserve">and </w:t>
      </w:r>
      <w:r w:rsidRPr="00374367">
        <w:rPr>
          <w:rFonts w:cs="Times New Roman"/>
        </w:rPr>
        <w:t xml:space="preserve">iii.) </w:t>
      </w:r>
      <w:proofErr w:type="gramStart"/>
      <w:r w:rsidR="007A7BBE">
        <w:rPr>
          <w:rFonts w:cs="Times New Roman"/>
        </w:rPr>
        <w:t>e</w:t>
      </w:r>
      <w:r>
        <w:rPr>
          <w:rFonts w:cs="Times New Roman"/>
        </w:rPr>
        <w:t>fficacy</w:t>
      </w:r>
      <w:proofErr w:type="gramEnd"/>
      <w:r>
        <w:rPr>
          <w:rFonts w:cs="Times New Roman"/>
        </w:rPr>
        <w:t xml:space="preserve"> of selection under space planted conditions</w:t>
      </w:r>
      <w:r w:rsidRPr="00374367">
        <w:rPr>
          <w:rFonts w:cs="Times New Roman"/>
        </w:rPr>
        <w:t>.</w:t>
      </w:r>
    </w:p>
    <w:p w14:paraId="5FB50682" w14:textId="77777777" w:rsidR="00043399" w:rsidRPr="00E9139F" w:rsidRDefault="00043399" w:rsidP="00043399">
      <w:pPr>
        <w:pStyle w:val="Heading2"/>
      </w:pPr>
      <w:bookmarkStart w:id="90" w:name="_Toc404069852"/>
      <w:r>
        <w:t>Materials and Methods</w:t>
      </w:r>
      <w:bookmarkEnd w:id="90"/>
    </w:p>
    <w:p w14:paraId="3EC7A23C" w14:textId="0A993948" w:rsidR="00043399" w:rsidRPr="00A4101C" w:rsidRDefault="00043399" w:rsidP="00043399">
      <w:pPr>
        <w:ind w:firstLine="720"/>
        <w:rPr>
          <w:rFonts w:eastAsiaTheme="minorHAnsi" w:cs="Times New Roman"/>
        </w:rPr>
      </w:pPr>
      <w:r w:rsidRPr="00A4101C">
        <w:rPr>
          <w:rFonts w:eastAsiaTheme="minorHAnsi" w:cs="Times New Roman"/>
        </w:rPr>
        <w:t xml:space="preserve">Eight switchgrass parents were chosen based on 2010 field evaluations of either the plant itself or its progeny at the Plant Science Unit and Holston Unit of the East Tennessee Research and Education Center (ETREC) in Knoxville, TN. Plants were chosen with divergence for the following traits of interest:  tiller count, stem </w:t>
      </w:r>
      <w:r w:rsidR="00740446">
        <w:rPr>
          <w:rFonts w:eastAsiaTheme="minorHAnsi" w:cs="Times New Roman"/>
        </w:rPr>
        <w:t>diameter</w:t>
      </w:r>
      <w:r w:rsidRPr="00A4101C">
        <w:rPr>
          <w:rFonts w:eastAsiaTheme="minorHAnsi" w:cs="Times New Roman"/>
        </w:rPr>
        <w:t xml:space="preserve">, </w:t>
      </w:r>
      <w:r w:rsidR="00B8390A">
        <w:rPr>
          <w:rFonts w:eastAsiaTheme="minorHAnsi" w:cs="Times New Roman"/>
        </w:rPr>
        <w:t>leaf width</w:t>
      </w:r>
      <w:r w:rsidRPr="00A4101C">
        <w:rPr>
          <w:rFonts w:eastAsiaTheme="minorHAnsi" w:cs="Times New Roman"/>
        </w:rPr>
        <w:t xml:space="preserve">, </w:t>
      </w:r>
      <w:r w:rsidR="00DB61CB">
        <w:rPr>
          <w:rFonts w:eastAsiaTheme="minorHAnsi" w:cs="Times New Roman"/>
        </w:rPr>
        <w:t>plant color</w:t>
      </w:r>
      <w:r w:rsidRPr="00A4101C">
        <w:rPr>
          <w:rFonts w:eastAsiaTheme="minorHAnsi" w:cs="Times New Roman"/>
        </w:rPr>
        <w:t xml:space="preserve">, leaf </w:t>
      </w:r>
      <w:r w:rsidR="00740446">
        <w:rPr>
          <w:rFonts w:eastAsiaTheme="minorHAnsi" w:cs="Times New Roman"/>
        </w:rPr>
        <w:t>angle</w:t>
      </w:r>
      <w:r w:rsidRPr="00A4101C">
        <w:rPr>
          <w:rFonts w:eastAsiaTheme="minorHAnsi" w:cs="Times New Roman"/>
        </w:rPr>
        <w:t xml:space="preserve">, and height and were considered a random sample representative of </w:t>
      </w:r>
      <w:r w:rsidR="005E444B">
        <w:rPr>
          <w:rFonts w:eastAsiaTheme="minorHAnsi" w:cs="Times New Roman"/>
        </w:rPr>
        <w:t>‘</w:t>
      </w:r>
      <w:r w:rsidRPr="00A4101C">
        <w:rPr>
          <w:rFonts w:eastAsiaTheme="minorHAnsi" w:cs="Times New Roman"/>
        </w:rPr>
        <w:t>Alamo</w:t>
      </w:r>
      <w:r w:rsidR="005E444B">
        <w:rPr>
          <w:rFonts w:eastAsiaTheme="minorHAnsi" w:cs="Times New Roman"/>
        </w:rPr>
        <w:t>’</w:t>
      </w:r>
      <w:r w:rsidRPr="00A4101C">
        <w:rPr>
          <w:rFonts w:eastAsiaTheme="minorHAnsi" w:cs="Times New Roman"/>
        </w:rPr>
        <w:t xml:space="preserve"> and </w:t>
      </w:r>
      <w:r w:rsidR="005E444B">
        <w:rPr>
          <w:rFonts w:eastAsiaTheme="minorHAnsi" w:cs="Times New Roman"/>
        </w:rPr>
        <w:t>‘</w:t>
      </w:r>
      <w:r w:rsidRPr="00A4101C">
        <w:rPr>
          <w:rFonts w:eastAsiaTheme="minorHAnsi" w:cs="Times New Roman"/>
        </w:rPr>
        <w:t>Kanlow</w:t>
      </w:r>
      <w:r w:rsidR="005E444B">
        <w:rPr>
          <w:rFonts w:eastAsiaTheme="minorHAnsi" w:cs="Times New Roman"/>
        </w:rPr>
        <w:t>’</w:t>
      </w:r>
      <w:r w:rsidRPr="00A4101C">
        <w:rPr>
          <w:rFonts w:eastAsiaTheme="minorHAnsi" w:cs="Times New Roman"/>
        </w:rPr>
        <w:t xml:space="preserve"> </w:t>
      </w:r>
      <w:r w:rsidRPr="00A4101C">
        <w:rPr>
          <w:rFonts w:eastAsiaTheme="minorHAnsi" w:cs="Times New Roman"/>
        </w:rPr>
        <w:lastRenderedPageBreak/>
        <w:t>populations. Alamo is a cultivar collected in Texas in 1977 and Kanlow is a cultivar developed in Kansas and released in 1963</w:t>
      </w:r>
      <w:r w:rsidR="002F4A62">
        <w:rPr>
          <w:rFonts w:eastAsiaTheme="minorHAnsi" w:cs="Times New Roman"/>
        </w:rPr>
        <w:t xml:space="preserve"> (USDA National Plant Germplasm System)</w:t>
      </w:r>
      <w:r w:rsidRPr="00A4101C">
        <w:rPr>
          <w:rFonts w:eastAsiaTheme="minorHAnsi" w:cs="Times New Roman"/>
        </w:rPr>
        <w:t xml:space="preserve">. These two cultivars are the most commonly grown cultivars in the state of TN, with Alamo being the </w:t>
      </w:r>
      <w:r w:rsidR="00740446">
        <w:rPr>
          <w:rFonts w:eastAsiaTheme="minorHAnsi" w:cs="Times New Roman"/>
        </w:rPr>
        <w:t>pre</w:t>
      </w:r>
      <w:r w:rsidRPr="00A4101C">
        <w:rPr>
          <w:rFonts w:eastAsiaTheme="minorHAnsi" w:cs="Times New Roman"/>
        </w:rPr>
        <w:t xml:space="preserve">dominant of the two </w:t>
      </w:r>
      <w:r w:rsidR="00301182">
        <w:rPr>
          <w:rFonts w:eastAsiaTheme="minorHAnsi" w:cs="Times New Roman"/>
        </w:rPr>
        <w:fldChar w:fldCharType="begin"/>
      </w:r>
      <w:r>
        <w:rPr>
          <w:rFonts w:eastAsiaTheme="minorHAnsi" w:cs="Times New Roman"/>
        </w:rPr>
        <w:instrText xml:space="preserve"> ADDIN EN.CITE &lt;EndNote&gt;&lt;Cite&gt;&lt;Author&gt;Garland&lt;/Author&gt;&lt;Year&gt;2008&lt;/Year&gt;&lt;RecNum&gt;242&lt;/RecNum&gt;&lt;DisplayText&gt;(Garland, 2008)&lt;/DisplayText&gt;&lt;record&gt;&lt;rec-number&gt;242&lt;/rec-number&gt;&lt;foreign-keys&gt;&lt;key app="EN" db-id="9zfxt259rawwvce0pfa5efeuatdw0pz5va5z" timestamp="1320085380"&gt;242&lt;/key&gt;&lt;/foreign-keys&gt;&lt;ref-type name="Pamphlet"&gt;24&lt;/ref-type&gt;&lt;contributors&gt;&lt;authors&gt;&lt;author&gt;Garland, C.D.&lt;/author&gt;&lt;/authors&gt;&lt;/contributors&gt;&lt;titles&gt;&lt;title&gt;Growing and harvesting switchgrass for ethanol production in Tennessee&lt;/title&gt;&lt;secondary-title&gt;UT Biofuels Initiative - SP701-A-5M-5/08&lt;/secondary-title&gt;&lt;/titles&gt;&lt;volume&gt;SP701-A-5M-5/08&lt;/volume&gt;&lt;dates&gt;&lt;year&gt;2008&lt;/year&gt;&lt;/dates&gt;&lt;pub-location&gt;Knoxville, TN&lt;/pub-location&gt;&lt;publisher&gt;UT Extension&lt;/publisher&gt;&lt;urls&gt;&lt;/urls&gt;&lt;/record&gt;&lt;/Cite&gt;&lt;/EndNote&gt;</w:instrText>
      </w:r>
      <w:r w:rsidR="00301182">
        <w:rPr>
          <w:rFonts w:eastAsiaTheme="minorHAnsi" w:cs="Times New Roman"/>
        </w:rPr>
        <w:fldChar w:fldCharType="separate"/>
      </w:r>
      <w:r>
        <w:rPr>
          <w:rFonts w:eastAsiaTheme="minorHAnsi" w:cs="Times New Roman"/>
          <w:noProof/>
        </w:rPr>
        <w:t>(</w:t>
      </w:r>
      <w:hyperlink w:anchor="_ENREF_36" w:tooltip="Garland, 2008 #242" w:history="1">
        <w:r w:rsidR="00FB5014">
          <w:rPr>
            <w:rFonts w:eastAsiaTheme="minorHAnsi" w:cs="Times New Roman"/>
            <w:noProof/>
          </w:rPr>
          <w:t>Garland, 2008</w:t>
        </w:r>
      </w:hyperlink>
      <w:r>
        <w:rPr>
          <w:rFonts w:eastAsiaTheme="minorHAnsi" w:cs="Times New Roman"/>
          <w:noProof/>
        </w:rPr>
        <w:t>)</w:t>
      </w:r>
      <w:r w:rsidR="00301182">
        <w:rPr>
          <w:rFonts w:eastAsiaTheme="minorHAnsi" w:cs="Times New Roman"/>
        </w:rPr>
        <w:fldChar w:fldCharType="end"/>
      </w:r>
      <w:r>
        <w:rPr>
          <w:rFonts w:eastAsiaTheme="minorHAnsi" w:cs="Times New Roman"/>
        </w:rPr>
        <w:t>.</w:t>
      </w:r>
      <w:r w:rsidRPr="00A4101C">
        <w:rPr>
          <w:rFonts w:eastAsiaTheme="minorHAnsi" w:cs="Times New Roman"/>
        </w:rPr>
        <w:t xml:space="preserve"> Five selections from Alamo were included, three of which were selected directly from populations of the cultivar Alamo (A1, A10, AS), and two of which are genotypes selected from PI 607837, which is an accession derived from the cultivar Alamo for low crown node placement in relation to the soil surface (T1, T4)</w:t>
      </w:r>
      <w:r>
        <w:rPr>
          <w:rFonts w:eastAsiaTheme="minorHAnsi" w:cs="Times New Roman"/>
        </w:rPr>
        <w:t xml:space="preserve"> </w:t>
      </w:r>
      <w:r w:rsidR="00301182">
        <w:rPr>
          <w:rFonts w:eastAsiaTheme="minorHAnsi" w:cs="Times New Roman"/>
        </w:rPr>
        <w:fldChar w:fldCharType="begin"/>
      </w:r>
      <w:r>
        <w:rPr>
          <w:rFonts w:eastAsiaTheme="minorHAnsi" w:cs="Times New Roman"/>
        </w:rPr>
        <w:instrText xml:space="preserve"> ADDIN EN.CITE &lt;EndNote&gt;&lt;Cite&gt;&lt;Author&gt;Tischler&lt;/Author&gt;&lt;Year&gt;2001&lt;/Year&gt;&lt;RecNum&gt;322&lt;/RecNum&gt;&lt;DisplayText&gt;(Tischler et al., 2001)&lt;/DisplayText&gt;&lt;record&gt;&lt;rec-number&gt;322&lt;/rec-number&gt;&lt;foreign-keys&gt;&lt;key app="EN" db-id="9zfxt259rawwvce0pfa5efeuatdw0pz5va5z" timestamp="1412005500"&gt;322&lt;/key&gt;&lt;/foreign-keys&gt;&lt;ref-type name="Journal Article"&gt;17&lt;/ref-type&gt;&lt;contributors&gt;&lt;authors&gt;&lt;author&gt;Tischler, C.R.&lt;/author&gt;&lt;author&gt;Elberson, H.W.&lt;/author&gt;&lt;author&gt;Hussey, M.A.&lt;/author&gt;&lt;author&gt;Ocumpaugh, W.R.&lt;/author&gt;&lt;author&gt;Reed, R.L.&lt;/author&gt;&lt;author&gt;Sanderson, M.A.&lt;/author&gt;&lt;/authors&gt;&lt;/contributors&gt;&lt;titles&gt;&lt;title&gt;TEM-SLC and TEM-SEC switchgrass germplasm&lt;/title&gt;&lt;secondary-title&gt;Crop Sci.&lt;/secondary-title&gt;&lt;/titles&gt;&lt;periodical&gt;&lt;full-title&gt;Crop Sci.&lt;/full-title&gt;&lt;/periodical&gt;&lt;pages&gt;1654&lt;/pages&gt;&lt;volume&gt;41&lt;/volume&gt;&lt;number&gt;5&lt;/number&gt;&lt;dates&gt;&lt;year&gt;2001&lt;/year&gt;&lt;/dates&gt;&lt;urls&gt;&lt;/urls&gt;&lt;/record&gt;&lt;/Cite&gt;&lt;/EndNote&gt;</w:instrText>
      </w:r>
      <w:r w:rsidR="00301182">
        <w:rPr>
          <w:rFonts w:eastAsiaTheme="minorHAnsi" w:cs="Times New Roman"/>
        </w:rPr>
        <w:fldChar w:fldCharType="separate"/>
      </w:r>
      <w:r>
        <w:rPr>
          <w:rFonts w:eastAsiaTheme="minorHAnsi" w:cs="Times New Roman"/>
          <w:noProof/>
        </w:rPr>
        <w:t>(</w:t>
      </w:r>
      <w:hyperlink w:anchor="_ENREF_96" w:tooltip="Tischler, 2001 #322" w:history="1">
        <w:r w:rsidR="00FB5014">
          <w:rPr>
            <w:rFonts w:eastAsiaTheme="minorHAnsi" w:cs="Times New Roman"/>
            <w:noProof/>
          </w:rPr>
          <w:t>Tischler et al., 2001</w:t>
        </w:r>
      </w:hyperlink>
      <w:r>
        <w:rPr>
          <w:rFonts w:eastAsiaTheme="minorHAnsi" w:cs="Times New Roman"/>
          <w:noProof/>
        </w:rPr>
        <w:t>)</w:t>
      </w:r>
      <w:r w:rsidR="00301182">
        <w:rPr>
          <w:rFonts w:eastAsiaTheme="minorHAnsi" w:cs="Times New Roman"/>
        </w:rPr>
        <w:fldChar w:fldCharType="end"/>
      </w:r>
      <w:r>
        <w:rPr>
          <w:rFonts w:eastAsiaTheme="minorHAnsi" w:cs="Times New Roman"/>
        </w:rPr>
        <w:t xml:space="preserve">. </w:t>
      </w:r>
      <w:r w:rsidR="00740446">
        <w:rPr>
          <w:rFonts w:eastAsiaTheme="minorHAnsi" w:cs="Times New Roman"/>
        </w:rPr>
        <w:t xml:space="preserve">A genotype selected from </w:t>
      </w:r>
      <w:r w:rsidR="005E444B">
        <w:rPr>
          <w:rFonts w:eastAsiaTheme="minorHAnsi" w:cs="Times New Roman"/>
        </w:rPr>
        <w:t>‘</w:t>
      </w:r>
      <w:r w:rsidRPr="00A4101C">
        <w:rPr>
          <w:rFonts w:eastAsiaTheme="minorHAnsi" w:cs="Times New Roman"/>
        </w:rPr>
        <w:t>Miami</w:t>
      </w:r>
      <w:r w:rsidR="005E444B">
        <w:rPr>
          <w:rFonts w:eastAsiaTheme="minorHAnsi" w:cs="Times New Roman"/>
        </w:rPr>
        <w:t>’</w:t>
      </w:r>
      <w:r w:rsidRPr="00A4101C">
        <w:rPr>
          <w:rFonts w:eastAsiaTheme="minorHAnsi" w:cs="Times New Roman"/>
        </w:rPr>
        <w:t xml:space="preserve"> (</w:t>
      </w:r>
      <w:r w:rsidR="002F4A62">
        <w:rPr>
          <w:rFonts w:eastAsiaTheme="minorHAnsi" w:cs="Times New Roman"/>
        </w:rPr>
        <w:t xml:space="preserve">M; </w:t>
      </w:r>
      <w:r w:rsidRPr="00A4101C">
        <w:rPr>
          <w:rFonts w:eastAsiaTheme="minorHAnsi" w:cs="Times New Roman"/>
        </w:rPr>
        <w:t xml:space="preserve">PI 421901), an accession collected from wild material in Florida, was also included as a parent. </w:t>
      </w:r>
    </w:p>
    <w:p w14:paraId="0BA7BF0D" w14:textId="77777777" w:rsidR="00043399" w:rsidRPr="00A4101C" w:rsidRDefault="00043399" w:rsidP="00043399">
      <w:pPr>
        <w:pStyle w:val="Heading3"/>
        <w:rPr>
          <w:rFonts w:cs="Times New Roman"/>
          <w:szCs w:val="24"/>
        </w:rPr>
      </w:pPr>
      <w:bookmarkStart w:id="91" w:name="_Toc404069853"/>
      <w:r w:rsidRPr="00A4101C">
        <w:rPr>
          <w:rFonts w:cs="Times New Roman"/>
          <w:szCs w:val="24"/>
        </w:rPr>
        <w:t>Breeding Methods and Greenhouse Maintenance</w:t>
      </w:r>
      <w:bookmarkEnd w:id="91"/>
    </w:p>
    <w:p w14:paraId="3D5914BD" w14:textId="6BBE4FBD" w:rsidR="00043399" w:rsidRPr="00A4101C" w:rsidRDefault="00043399" w:rsidP="00043399">
      <w:pPr>
        <w:ind w:firstLine="720"/>
        <w:rPr>
          <w:rFonts w:eastAsiaTheme="minorHAnsi" w:cs="Times New Roman"/>
        </w:rPr>
      </w:pPr>
      <w:r w:rsidRPr="00A4101C">
        <w:rPr>
          <w:rFonts w:eastAsiaTheme="minorHAnsi" w:cs="Times New Roman"/>
        </w:rPr>
        <w:t>In January 2011, parent plants were divided into eight clonal propagules and transplanted from the field to 7.6 liter pots. Four pots of each clone were placed in both a glass house at the University of Tennessee in Knoxville, TN and a shade house at the East Tennessee Research and Education Center in Knoxville, TN. Slow release 13-13-13 fertilizer (Osmocote</w:t>
      </w:r>
      <w:r w:rsidRPr="00A4101C">
        <w:rPr>
          <w:rFonts w:eastAsiaTheme="minorHAnsi" w:cs="Times New Roman"/>
          <w:vertAlign w:val="superscript"/>
        </w:rPr>
        <w:t>TM</w:t>
      </w:r>
      <w:r w:rsidRPr="00A4101C">
        <w:rPr>
          <w:rFonts w:eastAsiaTheme="minorHAnsi" w:cs="Times New Roman"/>
        </w:rPr>
        <w:t>) at a rate of 50 kg ha</w:t>
      </w:r>
      <w:r w:rsidRPr="00A4101C">
        <w:rPr>
          <w:rFonts w:eastAsiaTheme="minorHAnsi" w:cs="Times New Roman"/>
          <w:vertAlign w:val="superscript"/>
        </w:rPr>
        <w:t>-1</w:t>
      </w:r>
      <w:r w:rsidRPr="00A4101C">
        <w:rPr>
          <w:rFonts w:eastAsiaTheme="minorHAnsi" w:cs="Times New Roman"/>
        </w:rPr>
        <w:t xml:space="preserve"> of nitrogen was added to pots during transplanting. Plants were then maintained using a monthly application of a fast release 20-20-20 fertilizer at a rate of 97.07 kg ha</w:t>
      </w:r>
      <w:r w:rsidRPr="00A4101C">
        <w:rPr>
          <w:rFonts w:eastAsiaTheme="minorHAnsi" w:cs="Times New Roman"/>
          <w:vertAlign w:val="superscript"/>
        </w:rPr>
        <w:t>-1</w:t>
      </w:r>
      <w:r w:rsidRPr="00A4101C">
        <w:rPr>
          <w:rFonts w:eastAsiaTheme="minorHAnsi" w:cs="Times New Roman"/>
        </w:rPr>
        <w:t xml:space="preserve"> of nitrogen. When plants reached </w:t>
      </w:r>
      <w:r w:rsidR="002F4A62">
        <w:rPr>
          <w:rFonts w:eastAsiaTheme="minorHAnsi" w:cs="Times New Roman"/>
        </w:rPr>
        <w:t xml:space="preserve">the </w:t>
      </w:r>
      <w:r w:rsidRPr="00A4101C">
        <w:rPr>
          <w:rFonts w:eastAsiaTheme="minorHAnsi" w:cs="Times New Roman"/>
        </w:rPr>
        <w:t xml:space="preserve">reproductive </w:t>
      </w:r>
      <w:r w:rsidR="002F4A62">
        <w:rPr>
          <w:rFonts w:eastAsiaTheme="minorHAnsi" w:cs="Times New Roman"/>
        </w:rPr>
        <w:t>stage</w:t>
      </w:r>
      <w:r w:rsidRPr="00A4101C">
        <w:rPr>
          <w:rFonts w:eastAsiaTheme="minorHAnsi" w:cs="Times New Roman"/>
        </w:rPr>
        <w:t>, they w</w:t>
      </w:r>
      <w:r w:rsidR="005E444B">
        <w:rPr>
          <w:rFonts w:eastAsiaTheme="minorHAnsi" w:cs="Times New Roman"/>
        </w:rPr>
        <w:t>ere crossed in a diallel design</w:t>
      </w:r>
      <w:r w:rsidRPr="00A4101C">
        <w:rPr>
          <w:rFonts w:eastAsiaTheme="minorHAnsi" w:cs="Times New Roman"/>
        </w:rPr>
        <w:t xml:space="preserve"> </w:t>
      </w:r>
      <w:r w:rsidR="005E444B">
        <w:rPr>
          <w:rFonts w:eastAsiaTheme="minorHAnsi" w:cs="Times New Roman"/>
        </w:rPr>
        <w:t>which included</w:t>
      </w:r>
      <w:r w:rsidRPr="00A4101C">
        <w:rPr>
          <w:rFonts w:eastAsiaTheme="minorHAnsi" w:cs="Times New Roman"/>
        </w:rPr>
        <w:t xml:space="preserve"> reciprocal crosses. Crosses were made by combining a single reproductive tiller from each of the two crossing parents in a 17 x 16 x 12 x 39 cm paper pollination bag (large tassel bag, MIDCO Enterprises, St. Louis) to maintain isolated pollination. Tillers and bags were supported by bamboo stakes and bags were lightly shaken approximately every 2 days to promote pollen distribution. Tillers were placed in bags when stigmas were visible on flowers at the tip of the panicle; however, flowers with visible stigmas were removed prior to bagging. When all stigmas </w:t>
      </w:r>
      <w:r w:rsidRPr="00A4101C">
        <w:rPr>
          <w:rFonts w:eastAsiaTheme="minorHAnsi" w:cs="Times New Roman"/>
        </w:rPr>
        <w:lastRenderedPageBreak/>
        <w:t>on a panicle appeared desiccated, panicles were separately bagged for the duration of seed ripening</w:t>
      </w:r>
      <w:r w:rsidR="00954DB7">
        <w:rPr>
          <w:rFonts w:eastAsiaTheme="minorHAnsi" w:cs="Times New Roman"/>
        </w:rPr>
        <w:t xml:space="preserve">. </w:t>
      </w:r>
      <w:r w:rsidRPr="00A4101C">
        <w:rPr>
          <w:rFonts w:eastAsiaTheme="minorHAnsi" w:cs="Times New Roman"/>
        </w:rPr>
        <w:t xml:space="preserve">   </w:t>
      </w:r>
    </w:p>
    <w:p w14:paraId="1D7D6749" w14:textId="592E1466" w:rsidR="00043399" w:rsidRPr="00A4101C" w:rsidRDefault="00043399" w:rsidP="00043399">
      <w:pPr>
        <w:ind w:firstLine="720"/>
        <w:rPr>
          <w:rFonts w:eastAsiaTheme="minorHAnsi" w:cs="Times New Roman"/>
        </w:rPr>
      </w:pPr>
      <w:r w:rsidRPr="00A4101C">
        <w:rPr>
          <w:rFonts w:eastAsiaTheme="minorHAnsi" w:cs="Times New Roman"/>
        </w:rPr>
        <w:t xml:space="preserve">To break dormancy, seed collected from each cross were pretreated using methods described by Haynes et al. </w:t>
      </w:r>
      <w:r w:rsidR="00301182" w:rsidRPr="00A4101C">
        <w:rPr>
          <w:rFonts w:eastAsiaTheme="minorHAnsi" w:cs="Times New Roman"/>
        </w:rPr>
        <w:fldChar w:fldCharType="begin"/>
      </w:r>
      <w:r w:rsidRPr="00A4101C">
        <w:rPr>
          <w:rFonts w:eastAsiaTheme="minorHAnsi" w:cs="Times New Roman"/>
        </w:rPr>
        <w:instrText xml:space="preserve"> ADDIN EN.CITE &lt;EndNote&gt;&lt;Cite ExcludeAuth="1"&gt;&lt;Author&gt;Haynes&lt;/Author&gt;&lt;Year&gt;1997&lt;/Year&gt;&lt;RecNum&gt;243&lt;/RecNum&gt;&lt;DisplayText&gt;(1997)&lt;/DisplayText&gt;&lt;record&gt;&lt;rec-number&gt;243&lt;/rec-number&gt;&lt;foreign-keys&gt;&lt;key app="EN" db-id="9zfxt259rawwvce0pfa5efeuatdw0pz5va5z" timestamp="1323709965"&gt;243&lt;/key&gt;&lt;/foreign-keys&gt;&lt;ref-type name="Journal Article"&gt;17&lt;/ref-type&gt;&lt;contributors&gt;&lt;authors&gt;&lt;author&gt;Haynes, J.G.&lt;/author&gt;&lt;author&gt;Pill, W.G.&lt;/author&gt;&lt;author&gt;Evans, T.A.&lt;/author&gt;&lt;/authors&gt;&lt;/contributors&gt;&lt;titles&gt;&lt;title&gt;&lt;style face="normal" font="default" size="100%"&gt;Seed treatments improve the germination and seedling emergence of switchgrass (&lt;/style&gt;&lt;style face="italic" font="default" size="100%"&gt;Panicum virgatum&lt;/style&gt;&lt;style face="normal" font="default" size="100%"&gt; L.)&lt;/style&gt;&lt;/title&gt;&lt;secondary-title&gt;HortScience&lt;/secondary-title&gt;&lt;/titles&gt;&lt;periodical&gt;&lt;full-title&gt;HortScience&lt;/full-title&gt;&lt;/periodical&gt;&lt;pages&gt;1222-1226&lt;/pages&gt;&lt;volume&gt;32&lt;/volume&gt;&lt;section&gt;1222&lt;/section&gt;&lt;dates&gt;&lt;year&gt;1997&lt;/year&gt;&lt;/dates&gt;&lt;urls&gt;&lt;/urls&gt;&lt;/record&gt;&lt;/Cite&gt;&lt;/EndNote&gt;</w:instrText>
      </w:r>
      <w:r w:rsidR="00301182" w:rsidRPr="00A4101C">
        <w:rPr>
          <w:rFonts w:eastAsiaTheme="minorHAnsi" w:cs="Times New Roman"/>
        </w:rPr>
        <w:fldChar w:fldCharType="separate"/>
      </w:r>
      <w:r w:rsidRPr="00A4101C">
        <w:rPr>
          <w:rFonts w:eastAsiaTheme="minorHAnsi" w:cs="Times New Roman"/>
          <w:noProof/>
        </w:rPr>
        <w:t>(</w:t>
      </w:r>
      <w:hyperlink w:anchor="_ENREF_45" w:tooltip="Haynes, 1997 #243" w:history="1">
        <w:r w:rsidR="00FB5014" w:rsidRPr="00A4101C">
          <w:rPr>
            <w:rFonts w:eastAsiaTheme="minorHAnsi" w:cs="Times New Roman"/>
            <w:noProof/>
          </w:rPr>
          <w:t>1997</w:t>
        </w:r>
      </w:hyperlink>
      <w:r w:rsidRPr="00A4101C">
        <w:rPr>
          <w:rFonts w:eastAsiaTheme="minorHAnsi" w:cs="Times New Roman"/>
          <w:noProof/>
        </w:rPr>
        <w:t>)</w:t>
      </w:r>
      <w:r w:rsidR="00301182" w:rsidRPr="00A4101C">
        <w:rPr>
          <w:rFonts w:eastAsiaTheme="minorHAnsi" w:cs="Times New Roman"/>
        </w:rPr>
        <w:fldChar w:fldCharType="end"/>
      </w:r>
      <w:r w:rsidRPr="00A4101C">
        <w:rPr>
          <w:rFonts w:eastAsiaTheme="minorHAnsi" w:cs="Times New Roman"/>
        </w:rPr>
        <w:t xml:space="preserve"> with modified timing of H</w:t>
      </w:r>
      <w:r w:rsidRPr="00A4101C">
        <w:rPr>
          <w:rFonts w:eastAsiaTheme="minorHAnsi" w:cs="Times New Roman"/>
          <w:vertAlign w:val="subscript"/>
        </w:rPr>
        <w:t>2</w:t>
      </w:r>
      <w:r w:rsidRPr="00A4101C">
        <w:rPr>
          <w:rFonts w:eastAsiaTheme="minorHAnsi" w:cs="Times New Roman"/>
        </w:rPr>
        <w:t>O washes. Seeds were submerg</w:t>
      </w:r>
      <w:r w:rsidR="00740446">
        <w:rPr>
          <w:rFonts w:eastAsiaTheme="minorHAnsi" w:cs="Times New Roman"/>
        </w:rPr>
        <w:t xml:space="preserve">ed in 5.25% </w:t>
      </w:r>
      <w:proofErr w:type="spellStart"/>
      <w:r w:rsidR="00740446">
        <w:rPr>
          <w:rFonts w:eastAsiaTheme="minorHAnsi" w:cs="Times New Roman"/>
        </w:rPr>
        <w:t>NaOCl</w:t>
      </w:r>
      <w:proofErr w:type="spellEnd"/>
      <w:r w:rsidR="002F4A62">
        <w:rPr>
          <w:rFonts w:eastAsiaTheme="minorHAnsi" w:cs="Times New Roman"/>
        </w:rPr>
        <w:t xml:space="preserve"> for 15 min.</w:t>
      </w:r>
      <w:r w:rsidRPr="00A4101C">
        <w:rPr>
          <w:rFonts w:eastAsiaTheme="minorHAnsi" w:cs="Times New Roman"/>
        </w:rPr>
        <w:t xml:space="preserve"> followed by two 20 m</w:t>
      </w:r>
      <w:r w:rsidR="002F4A62">
        <w:rPr>
          <w:rFonts w:eastAsiaTheme="minorHAnsi" w:cs="Times New Roman"/>
        </w:rPr>
        <w:t>in.</w:t>
      </w:r>
      <w:r w:rsidRPr="00A4101C">
        <w:rPr>
          <w:rFonts w:eastAsiaTheme="minorHAnsi" w:cs="Times New Roman"/>
        </w:rPr>
        <w:t xml:space="preserve"> washes in deionized H</w:t>
      </w:r>
      <w:r w:rsidRPr="00A4101C">
        <w:rPr>
          <w:rFonts w:eastAsiaTheme="minorHAnsi" w:cs="Times New Roman"/>
          <w:vertAlign w:val="subscript"/>
        </w:rPr>
        <w:t>2</w:t>
      </w:r>
      <w:r w:rsidRPr="00A4101C">
        <w:rPr>
          <w:rFonts w:eastAsiaTheme="minorHAnsi" w:cs="Times New Roman"/>
        </w:rPr>
        <w:t>O. Seeds were then germinated in petri dishes between two layers of germination paper soaked to saturation in 0.2% KNO</w:t>
      </w:r>
      <w:r w:rsidRPr="00A4101C">
        <w:rPr>
          <w:rFonts w:eastAsiaTheme="minorHAnsi" w:cs="Times New Roman"/>
          <w:vertAlign w:val="subscript"/>
        </w:rPr>
        <w:t xml:space="preserve">3 </w:t>
      </w:r>
      <w:r w:rsidRPr="00A4101C">
        <w:rPr>
          <w:rFonts w:eastAsiaTheme="minorHAnsi" w:cs="Times New Roman"/>
        </w:rPr>
        <w:t xml:space="preserve">and </w:t>
      </w:r>
      <w:r w:rsidR="002F4A62">
        <w:rPr>
          <w:rFonts w:eastAsiaTheme="minorHAnsi" w:cs="Times New Roman"/>
        </w:rPr>
        <w:t xml:space="preserve">then </w:t>
      </w:r>
      <w:r w:rsidRPr="00A4101C">
        <w:rPr>
          <w:rFonts w:eastAsiaTheme="minorHAnsi" w:cs="Times New Roman"/>
        </w:rPr>
        <w:t xml:space="preserve">wet chilled at 4 </w:t>
      </w:r>
      <w:r w:rsidR="005E444B">
        <w:rPr>
          <w:rFonts w:eastAsiaTheme="minorHAnsi" w:cs="Times New Roman"/>
        </w:rPr>
        <w:t>º</w:t>
      </w:r>
      <w:r w:rsidRPr="00A4101C">
        <w:rPr>
          <w:rFonts w:eastAsiaTheme="minorHAnsi" w:cs="Times New Roman"/>
        </w:rPr>
        <w:t xml:space="preserve">C for 2 weeks. Seeds were dusted with Captan (cis-N-[(trichloromethyl) thio-4-cyclohexene-1,2-dicarboximide]) and sown in D40L deepots </w:t>
      </w:r>
      <w:r w:rsidR="00740446" w:rsidRPr="00A4101C">
        <w:rPr>
          <w:rFonts w:eastAsiaTheme="minorHAnsi" w:cs="Times New Roman"/>
        </w:rPr>
        <w:t xml:space="preserve">(Stuewe &amp; Sons, Corvallis, OR) </w:t>
      </w:r>
      <w:r w:rsidRPr="00A4101C">
        <w:rPr>
          <w:rFonts w:eastAsiaTheme="minorHAnsi" w:cs="Times New Roman"/>
        </w:rPr>
        <w:t>with a 6.35 cm in diameter and 25.4 cm depth filled with Fafard Growing Mix 2 (Conrad Fafard, Inc., Agawam, MA) topped with a layer of Fafard Super-Fine Germinating Mix (Conrad Fafard, Inc., Agawam, MA). Twenty seedlings were randomly selected from within each cross for evaluation, 36 seedlings from within each cross were randomly selected to provide borders for sward plots, and 304 seedlings were randomly selected from among all crosses to serve as border plants in space planted nurseries.</w:t>
      </w:r>
      <w:r>
        <w:rPr>
          <w:rFonts w:eastAsiaTheme="minorHAnsi" w:cs="Times New Roman"/>
        </w:rPr>
        <w:t xml:space="preserve"> </w:t>
      </w:r>
      <w:r w:rsidRPr="00566D32">
        <w:rPr>
          <w:rFonts w:eastAsiaTheme="minorHAnsi" w:cs="Times New Roman"/>
        </w:rPr>
        <w:t xml:space="preserve">Seedlings were maintained in the greenhouse until </w:t>
      </w:r>
      <w:r w:rsidR="00875EEE">
        <w:rPr>
          <w:rFonts w:eastAsiaTheme="minorHAnsi" w:cs="Times New Roman"/>
        </w:rPr>
        <w:t xml:space="preserve">late </w:t>
      </w:r>
      <w:r w:rsidRPr="00566D32">
        <w:rPr>
          <w:rFonts w:eastAsiaTheme="minorHAnsi" w:cs="Times New Roman"/>
        </w:rPr>
        <w:t xml:space="preserve">June </w:t>
      </w:r>
      <w:r w:rsidR="00875EEE">
        <w:rPr>
          <w:rFonts w:eastAsiaTheme="minorHAnsi" w:cs="Times New Roman"/>
        </w:rPr>
        <w:t xml:space="preserve">of </w:t>
      </w:r>
      <w:r w:rsidRPr="00566D32">
        <w:rPr>
          <w:rFonts w:eastAsiaTheme="minorHAnsi" w:cs="Times New Roman"/>
        </w:rPr>
        <w:t xml:space="preserve">2012 when they were transplanted to two </w:t>
      </w:r>
      <w:r>
        <w:rPr>
          <w:rFonts w:eastAsiaTheme="minorHAnsi" w:cs="Times New Roman"/>
        </w:rPr>
        <w:t>adjacent field locations at the Holston Unit of</w:t>
      </w:r>
      <w:r w:rsidRPr="00566D32">
        <w:rPr>
          <w:rFonts w:eastAsiaTheme="minorHAnsi" w:cs="Times New Roman"/>
        </w:rPr>
        <w:t xml:space="preserve"> the East Tennessee Research and Education Center in Knoxville</w:t>
      </w:r>
      <w:r w:rsidR="00875EEE">
        <w:rPr>
          <w:rFonts w:eastAsiaTheme="minorHAnsi" w:cs="Times New Roman"/>
        </w:rPr>
        <w:t xml:space="preserve">, TN </w:t>
      </w:r>
      <w:r w:rsidR="00875EEE">
        <w:rPr>
          <w:rFonts w:cs="Times New Roman"/>
        </w:rPr>
        <w:t>(35º58’11.3”N 83º51’08.7”W, soil type: Shady-Whitewell complex</w:t>
      </w:r>
      <w:r>
        <w:rPr>
          <w:rFonts w:eastAsiaTheme="minorHAnsi" w:cs="Times New Roman"/>
        </w:rPr>
        <w:t xml:space="preserve">. </w:t>
      </w:r>
      <w:r w:rsidRPr="00A4101C">
        <w:rPr>
          <w:rFonts w:eastAsiaTheme="minorHAnsi" w:cs="Times New Roman"/>
        </w:rPr>
        <w:t xml:space="preserve">Clonal propagules were used to replicate F1 plants across the two </w:t>
      </w:r>
      <w:r>
        <w:rPr>
          <w:rFonts w:eastAsiaTheme="minorHAnsi" w:cs="Times New Roman"/>
        </w:rPr>
        <w:t>nurseries</w:t>
      </w:r>
      <w:r w:rsidRPr="00A4101C">
        <w:rPr>
          <w:rFonts w:eastAsiaTheme="minorHAnsi" w:cs="Times New Roman"/>
        </w:rPr>
        <w:t xml:space="preserve">. </w:t>
      </w:r>
      <w:r>
        <w:rPr>
          <w:rFonts w:eastAsiaTheme="minorHAnsi" w:cs="Times New Roman"/>
        </w:rPr>
        <w:t>The s</w:t>
      </w:r>
      <w:r w:rsidRPr="00566D32">
        <w:rPr>
          <w:rFonts w:eastAsiaTheme="minorHAnsi" w:cs="Times New Roman"/>
        </w:rPr>
        <w:t xml:space="preserve">pace planted </w:t>
      </w:r>
      <w:r>
        <w:rPr>
          <w:rFonts w:eastAsiaTheme="minorHAnsi" w:cs="Times New Roman"/>
        </w:rPr>
        <w:t>nursery</w:t>
      </w:r>
      <w:r w:rsidRPr="00566D32">
        <w:rPr>
          <w:rFonts w:eastAsiaTheme="minorHAnsi" w:cs="Times New Roman"/>
        </w:rPr>
        <w:t xml:space="preserve"> </w:t>
      </w:r>
      <w:r>
        <w:rPr>
          <w:rFonts w:eastAsiaTheme="minorHAnsi" w:cs="Times New Roman"/>
        </w:rPr>
        <w:t>contained</w:t>
      </w:r>
      <w:r w:rsidRPr="00566D32">
        <w:rPr>
          <w:rFonts w:eastAsiaTheme="minorHAnsi" w:cs="Times New Roman"/>
        </w:rPr>
        <w:t xml:space="preserve"> </w:t>
      </w:r>
      <w:r w:rsidR="002F4A62">
        <w:rPr>
          <w:rFonts w:eastAsiaTheme="minorHAnsi" w:cs="Times New Roman"/>
        </w:rPr>
        <w:t>20</w:t>
      </w:r>
      <w:r w:rsidRPr="00566D32">
        <w:rPr>
          <w:rFonts w:eastAsiaTheme="minorHAnsi" w:cs="Times New Roman"/>
        </w:rPr>
        <w:t xml:space="preserve"> seedlings per cross and </w:t>
      </w:r>
      <w:r>
        <w:rPr>
          <w:rFonts w:eastAsiaTheme="minorHAnsi" w:cs="Times New Roman"/>
        </w:rPr>
        <w:t>twenty</w:t>
      </w:r>
      <w:r w:rsidRPr="00566D32">
        <w:rPr>
          <w:rFonts w:eastAsiaTheme="minorHAnsi" w:cs="Times New Roman"/>
        </w:rPr>
        <w:t xml:space="preserve"> </w:t>
      </w:r>
      <w:r w:rsidR="002F4A62">
        <w:rPr>
          <w:rFonts w:eastAsiaTheme="minorHAnsi" w:cs="Times New Roman"/>
        </w:rPr>
        <w:t xml:space="preserve">clonal </w:t>
      </w:r>
      <w:r w:rsidRPr="00566D32">
        <w:rPr>
          <w:rFonts w:eastAsiaTheme="minorHAnsi" w:cs="Times New Roman"/>
        </w:rPr>
        <w:t>propagules from each of the eight parent plants planted in a randomized complete block design divided into four blocks t</w:t>
      </w:r>
      <w:r>
        <w:rPr>
          <w:rFonts w:eastAsiaTheme="minorHAnsi" w:cs="Times New Roman"/>
        </w:rPr>
        <w:t>o account for field variation</w:t>
      </w:r>
      <w:r w:rsidR="00954DB7">
        <w:rPr>
          <w:rFonts w:eastAsiaTheme="minorHAnsi" w:cs="Times New Roman"/>
        </w:rPr>
        <w:t xml:space="preserve">. </w:t>
      </w:r>
      <w:r w:rsidRPr="00566D32">
        <w:rPr>
          <w:rFonts w:eastAsiaTheme="minorHAnsi" w:cs="Times New Roman"/>
        </w:rPr>
        <w:t xml:space="preserve">Plants </w:t>
      </w:r>
      <w:r>
        <w:rPr>
          <w:rFonts w:eastAsiaTheme="minorHAnsi" w:cs="Times New Roman"/>
        </w:rPr>
        <w:t>were</w:t>
      </w:r>
      <w:r w:rsidRPr="00566D32">
        <w:rPr>
          <w:rFonts w:eastAsiaTheme="minorHAnsi" w:cs="Times New Roman"/>
        </w:rPr>
        <w:t xml:space="preserve"> spaced on 1 m centers</w:t>
      </w:r>
      <w:r w:rsidR="00954DB7">
        <w:rPr>
          <w:rFonts w:eastAsiaTheme="minorHAnsi" w:cs="Times New Roman"/>
        </w:rPr>
        <w:t xml:space="preserve">. </w:t>
      </w:r>
      <w:r>
        <w:rPr>
          <w:rFonts w:eastAsiaTheme="minorHAnsi" w:cs="Times New Roman"/>
        </w:rPr>
        <w:t>The s</w:t>
      </w:r>
      <w:r w:rsidRPr="00566D32">
        <w:rPr>
          <w:rFonts w:eastAsiaTheme="minorHAnsi" w:cs="Times New Roman"/>
        </w:rPr>
        <w:t xml:space="preserve">ward </w:t>
      </w:r>
      <w:r>
        <w:rPr>
          <w:rFonts w:eastAsiaTheme="minorHAnsi" w:cs="Times New Roman"/>
        </w:rPr>
        <w:t>planted nursery was</w:t>
      </w:r>
      <w:r w:rsidRPr="00566D32">
        <w:rPr>
          <w:rFonts w:eastAsiaTheme="minorHAnsi" w:cs="Times New Roman"/>
        </w:rPr>
        <w:t xml:space="preserve"> also designed as a randomized complete block with two blocks</w:t>
      </w:r>
      <w:r w:rsidR="00954DB7">
        <w:rPr>
          <w:rFonts w:eastAsiaTheme="minorHAnsi" w:cs="Times New Roman"/>
        </w:rPr>
        <w:t xml:space="preserve">. </w:t>
      </w:r>
      <w:r w:rsidRPr="00566D32">
        <w:rPr>
          <w:rFonts w:eastAsiaTheme="minorHAnsi" w:cs="Times New Roman"/>
        </w:rPr>
        <w:t xml:space="preserve">Sward plots </w:t>
      </w:r>
      <w:r>
        <w:rPr>
          <w:rFonts w:eastAsiaTheme="minorHAnsi" w:cs="Times New Roman"/>
        </w:rPr>
        <w:t>were</w:t>
      </w:r>
      <w:r w:rsidRPr="00566D32">
        <w:rPr>
          <w:rFonts w:eastAsiaTheme="minorHAnsi" w:cs="Times New Roman"/>
        </w:rPr>
        <w:t xml:space="preserve"> composed of 28 plants from a single cross in a 4 x 7 arrangement with plants placed on 0.3 m centers</w:t>
      </w:r>
      <w:r w:rsidR="002F4A62">
        <w:rPr>
          <w:rFonts w:eastAsiaTheme="minorHAnsi" w:cs="Times New Roman"/>
        </w:rPr>
        <w:t xml:space="preserve"> (Vogel and Mitchell, </w:t>
      </w:r>
      <w:r w:rsidR="002F4A62">
        <w:rPr>
          <w:rFonts w:eastAsiaTheme="minorHAnsi" w:cs="Times New Roman"/>
        </w:rPr>
        <w:lastRenderedPageBreak/>
        <w:t>2008)</w:t>
      </w:r>
      <w:r w:rsidR="00954DB7">
        <w:rPr>
          <w:rFonts w:eastAsiaTheme="minorHAnsi" w:cs="Times New Roman"/>
        </w:rPr>
        <w:t xml:space="preserve">. </w:t>
      </w:r>
      <w:r w:rsidRPr="00566D32">
        <w:rPr>
          <w:rFonts w:eastAsiaTheme="minorHAnsi" w:cs="Times New Roman"/>
        </w:rPr>
        <w:t xml:space="preserve">Sward plots </w:t>
      </w:r>
      <w:r>
        <w:rPr>
          <w:rFonts w:eastAsiaTheme="minorHAnsi" w:cs="Times New Roman"/>
        </w:rPr>
        <w:t>were</w:t>
      </w:r>
      <w:r w:rsidRPr="00566D32">
        <w:rPr>
          <w:rFonts w:eastAsiaTheme="minorHAnsi" w:cs="Times New Roman"/>
        </w:rPr>
        <w:t xml:space="preserve"> spaced on 1.9 m centers</w:t>
      </w:r>
      <w:r w:rsidR="00954DB7">
        <w:rPr>
          <w:rFonts w:eastAsiaTheme="minorHAnsi" w:cs="Times New Roman"/>
        </w:rPr>
        <w:t xml:space="preserve">. </w:t>
      </w:r>
      <w:r w:rsidRPr="00566D32">
        <w:rPr>
          <w:rFonts w:eastAsiaTheme="minorHAnsi" w:cs="Times New Roman"/>
        </w:rPr>
        <w:t xml:space="preserve">Sward borders </w:t>
      </w:r>
      <w:r>
        <w:rPr>
          <w:rFonts w:eastAsiaTheme="minorHAnsi" w:cs="Times New Roman"/>
        </w:rPr>
        <w:t>were</w:t>
      </w:r>
      <w:r w:rsidRPr="00566D32">
        <w:rPr>
          <w:rFonts w:eastAsiaTheme="minorHAnsi" w:cs="Times New Roman"/>
        </w:rPr>
        <w:t xml:space="preserve"> not evaluated, allowing for 10 evaluated plants per sward</w:t>
      </w:r>
      <w:r w:rsidR="002F4A62">
        <w:rPr>
          <w:rFonts w:eastAsiaTheme="minorHAnsi" w:cs="Times New Roman"/>
        </w:rPr>
        <w:t xml:space="preserve"> plot</w:t>
      </w:r>
      <w:r w:rsidRPr="00566D32">
        <w:rPr>
          <w:rFonts w:eastAsiaTheme="minorHAnsi" w:cs="Times New Roman"/>
        </w:rPr>
        <w:t xml:space="preserve">. Parent plants </w:t>
      </w:r>
      <w:r>
        <w:rPr>
          <w:rFonts w:eastAsiaTheme="minorHAnsi" w:cs="Times New Roman"/>
        </w:rPr>
        <w:t>were</w:t>
      </w:r>
      <w:r w:rsidRPr="00566D32">
        <w:rPr>
          <w:rFonts w:eastAsiaTheme="minorHAnsi" w:cs="Times New Roman"/>
        </w:rPr>
        <w:t xml:space="preserve"> also </w:t>
      </w:r>
      <w:r>
        <w:rPr>
          <w:rFonts w:eastAsiaTheme="minorHAnsi" w:cs="Times New Roman"/>
        </w:rPr>
        <w:t>included</w:t>
      </w:r>
      <w:r w:rsidRPr="00566D32">
        <w:rPr>
          <w:rFonts w:eastAsiaTheme="minorHAnsi" w:cs="Times New Roman"/>
        </w:rPr>
        <w:t xml:space="preserve"> in synthesized swards with </w:t>
      </w:r>
      <w:r w:rsidR="002F4A62">
        <w:rPr>
          <w:rFonts w:eastAsiaTheme="minorHAnsi" w:cs="Times New Roman"/>
        </w:rPr>
        <w:t>evaluated</w:t>
      </w:r>
      <w:r w:rsidRPr="00566D32">
        <w:rPr>
          <w:rFonts w:eastAsiaTheme="minorHAnsi" w:cs="Times New Roman"/>
        </w:rPr>
        <w:t xml:space="preserve"> plants </w:t>
      </w:r>
      <w:r w:rsidR="002F4A62">
        <w:rPr>
          <w:rFonts w:eastAsiaTheme="minorHAnsi" w:cs="Times New Roman"/>
        </w:rPr>
        <w:t>consisting</w:t>
      </w:r>
      <w:r w:rsidRPr="00566D32">
        <w:rPr>
          <w:rFonts w:eastAsiaTheme="minorHAnsi" w:cs="Times New Roman"/>
        </w:rPr>
        <w:t xml:space="preserve"> of 4 clonal propagules</w:t>
      </w:r>
      <w:r>
        <w:rPr>
          <w:rFonts w:eastAsiaTheme="minorHAnsi" w:cs="Times New Roman"/>
        </w:rPr>
        <w:t xml:space="preserve"> surrounded by a border of unevaluated plants. </w:t>
      </w:r>
      <w:r w:rsidRPr="00A4101C">
        <w:rPr>
          <w:rFonts w:eastAsiaTheme="minorHAnsi" w:cs="Times New Roman"/>
        </w:rPr>
        <w:t>Nitrogen was applied yearly prior to green-u</w:t>
      </w:r>
      <w:r w:rsidR="002F4A62">
        <w:rPr>
          <w:rFonts w:eastAsiaTheme="minorHAnsi" w:cs="Times New Roman"/>
        </w:rPr>
        <w:t>p at a rate of 67</w:t>
      </w:r>
      <w:r w:rsidRPr="00A4101C">
        <w:rPr>
          <w:rFonts w:eastAsiaTheme="minorHAnsi" w:cs="Times New Roman"/>
        </w:rPr>
        <w:t xml:space="preserve"> kg ha</w:t>
      </w:r>
      <w:r w:rsidRPr="00A4101C">
        <w:rPr>
          <w:rFonts w:eastAsiaTheme="minorHAnsi" w:cs="Times New Roman"/>
          <w:vertAlign w:val="superscript"/>
        </w:rPr>
        <w:t>-1</w:t>
      </w:r>
      <w:r w:rsidRPr="00A4101C">
        <w:rPr>
          <w:rFonts w:eastAsiaTheme="minorHAnsi" w:cs="Times New Roman"/>
        </w:rPr>
        <w:t xml:space="preserve">. </w:t>
      </w:r>
    </w:p>
    <w:p w14:paraId="6EF02014" w14:textId="77777777" w:rsidR="00043399" w:rsidRPr="00A4101C" w:rsidRDefault="00043399" w:rsidP="00043399">
      <w:pPr>
        <w:pStyle w:val="Heading3"/>
        <w:rPr>
          <w:rFonts w:eastAsiaTheme="minorHAnsi" w:cs="Times New Roman"/>
          <w:szCs w:val="24"/>
        </w:rPr>
      </w:pPr>
      <w:bookmarkStart w:id="92" w:name="_Toc404069854"/>
      <w:r w:rsidRPr="00A4101C">
        <w:rPr>
          <w:rFonts w:eastAsiaTheme="minorHAnsi" w:cs="Times New Roman"/>
          <w:szCs w:val="24"/>
        </w:rPr>
        <w:t>Field Evaluation</w:t>
      </w:r>
      <w:bookmarkEnd w:id="92"/>
    </w:p>
    <w:p w14:paraId="0D0B80D3" w14:textId="440D3879" w:rsidR="00043399" w:rsidRPr="00A4101C" w:rsidRDefault="00043399" w:rsidP="00043399">
      <w:pPr>
        <w:ind w:firstLine="720"/>
        <w:rPr>
          <w:rFonts w:cs="Times New Roman"/>
        </w:rPr>
      </w:pPr>
      <w:r w:rsidRPr="00A4101C">
        <w:rPr>
          <w:rFonts w:eastAsiaTheme="minorHAnsi" w:cs="Times New Roman"/>
        </w:rPr>
        <w:t xml:space="preserve">Plants were evaluated for the following traits:  height, tiller number, stem diameter, </w:t>
      </w:r>
      <w:r w:rsidR="00B8390A">
        <w:rPr>
          <w:rFonts w:eastAsiaTheme="minorHAnsi" w:cs="Times New Roman"/>
        </w:rPr>
        <w:t>leaf width</w:t>
      </w:r>
      <w:r w:rsidRPr="00A4101C">
        <w:rPr>
          <w:rFonts w:eastAsiaTheme="minorHAnsi" w:cs="Times New Roman"/>
        </w:rPr>
        <w:t xml:space="preserve">, leaf angle, </w:t>
      </w:r>
      <w:r w:rsidR="00DB61CB">
        <w:rPr>
          <w:rFonts w:eastAsiaTheme="minorHAnsi" w:cs="Times New Roman"/>
        </w:rPr>
        <w:t>plant color</w:t>
      </w:r>
      <w:r w:rsidRPr="00A4101C">
        <w:rPr>
          <w:rFonts w:eastAsiaTheme="minorHAnsi" w:cs="Times New Roman"/>
        </w:rPr>
        <w:t>,</w:t>
      </w:r>
      <w:r w:rsidR="00CC35AE">
        <w:rPr>
          <w:rFonts w:eastAsiaTheme="minorHAnsi" w:cs="Times New Roman"/>
        </w:rPr>
        <w:t xml:space="preserve"> canopy density,</w:t>
      </w:r>
      <w:r w:rsidRPr="00A4101C">
        <w:rPr>
          <w:rFonts w:eastAsiaTheme="minorHAnsi" w:cs="Times New Roman"/>
        </w:rPr>
        <w:t xml:space="preserve"> </w:t>
      </w:r>
      <w:r w:rsidR="009C1A48">
        <w:rPr>
          <w:rFonts w:eastAsiaTheme="minorHAnsi" w:cs="Times New Roman"/>
        </w:rPr>
        <w:t>rust severity</w:t>
      </w:r>
      <w:r w:rsidRPr="00A4101C">
        <w:rPr>
          <w:rFonts w:eastAsiaTheme="minorHAnsi" w:cs="Times New Roman"/>
        </w:rPr>
        <w:t xml:space="preserve">, biomass yield, and </w:t>
      </w:r>
      <w:r>
        <w:rPr>
          <w:rFonts w:eastAsiaTheme="minorHAnsi" w:cs="Times New Roman"/>
        </w:rPr>
        <w:t>predicted ethanol yield</w:t>
      </w:r>
      <w:r w:rsidRPr="00A4101C">
        <w:rPr>
          <w:rFonts w:eastAsiaTheme="minorHAnsi" w:cs="Times New Roman"/>
        </w:rPr>
        <w:t>. All traits were assessed in the spring (May-June) of</w:t>
      </w:r>
      <w:r w:rsidR="00E646EA">
        <w:rPr>
          <w:rFonts w:eastAsiaTheme="minorHAnsi" w:cs="Times New Roman"/>
        </w:rPr>
        <w:t xml:space="preserve"> each year except biomass yield</w:t>
      </w:r>
      <w:r w:rsidRPr="00A4101C">
        <w:rPr>
          <w:rFonts w:eastAsiaTheme="minorHAnsi" w:cs="Times New Roman"/>
        </w:rPr>
        <w:t xml:space="preserve"> and </w:t>
      </w:r>
      <w:r>
        <w:rPr>
          <w:rFonts w:eastAsiaTheme="minorHAnsi" w:cs="Times New Roman"/>
        </w:rPr>
        <w:t>predicted ethanol yield</w:t>
      </w:r>
      <w:r w:rsidRPr="00A4101C">
        <w:rPr>
          <w:rFonts w:eastAsiaTheme="minorHAnsi" w:cs="Times New Roman"/>
        </w:rPr>
        <w:t xml:space="preserve">, which were evaluated at harvest in the fall (October-November). </w:t>
      </w:r>
      <w:r w:rsidR="009C1A48">
        <w:rPr>
          <w:rFonts w:eastAsiaTheme="minorHAnsi" w:cs="Times New Roman"/>
        </w:rPr>
        <w:t>Rust severity</w:t>
      </w:r>
      <w:r w:rsidRPr="00A4101C">
        <w:rPr>
          <w:rFonts w:eastAsiaTheme="minorHAnsi" w:cs="Times New Roman"/>
        </w:rPr>
        <w:t xml:space="preserve"> was </w:t>
      </w:r>
      <w:r w:rsidR="002F4A62">
        <w:rPr>
          <w:rFonts w:eastAsiaTheme="minorHAnsi" w:cs="Times New Roman"/>
        </w:rPr>
        <w:t>rated</w:t>
      </w:r>
      <w:r w:rsidRPr="00A4101C">
        <w:rPr>
          <w:rFonts w:eastAsiaTheme="minorHAnsi" w:cs="Times New Roman"/>
        </w:rPr>
        <w:t xml:space="preserve"> in June and October of 2012 and in August and October of 2013. </w:t>
      </w:r>
      <w:r w:rsidR="002F4A62">
        <w:rPr>
          <w:rFonts w:eastAsiaTheme="minorHAnsi" w:cs="Times New Roman"/>
        </w:rPr>
        <w:t xml:space="preserve">Rust severity was rated on a one to nine scale with one indicating no </w:t>
      </w:r>
      <w:r w:rsidR="0013705B">
        <w:rPr>
          <w:rFonts w:eastAsiaTheme="minorHAnsi" w:cs="Times New Roman"/>
        </w:rPr>
        <w:t>visible symptoms</w:t>
      </w:r>
      <w:r w:rsidR="002F4A62">
        <w:rPr>
          <w:rFonts w:eastAsiaTheme="minorHAnsi" w:cs="Times New Roman"/>
        </w:rPr>
        <w:t xml:space="preserve"> and nine indicating </w:t>
      </w:r>
      <w:r w:rsidR="0013705B">
        <w:rPr>
          <w:rFonts w:eastAsiaTheme="minorHAnsi" w:cs="Times New Roman"/>
        </w:rPr>
        <w:t xml:space="preserve">abundant sporulation as described by </w:t>
      </w:r>
      <w:hyperlink w:anchor="_ENREF_43" w:tooltip="Gustafson, 2003 #332" w:history="1">
        <w:r w:rsidR="00FB5014">
          <w:rPr>
            <w:rFonts w:eastAsiaTheme="minorHAnsi" w:cs="Times New Roman"/>
          </w:rPr>
          <w:fldChar w:fldCharType="begin"/>
        </w:r>
        <w:r w:rsidR="00FB5014">
          <w:rPr>
            <w:rFonts w:eastAsiaTheme="minorHAnsi" w:cs="Times New Roman"/>
          </w:rPr>
          <w:instrText xml:space="preserve"> ADDIN EN.CITE &lt;EndNote&gt;&lt;Cite AuthorYear="1"&gt;&lt;Author&gt;Gustafson&lt;/Author&gt;&lt;Year&gt;2003&lt;/Year&gt;&lt;RecNum&gt;332&lt;/RecNum&gt;&lt;DisplayText&gt;Gustafson et al. (2003)&lt;/DisplayText&gt;&lt;record&gt;&lt;rec-number&gt;332&lt;/rec-number&gt;&lt;foreign-keys&gt;&lt;key app="EN" db-id="9zfxt259rawwvce0pfa5efeuatdw0pz5va5z" timestamp="1415974779"&gt;332&lt;/key&gt;&lt;/foreign-keys&gt;&lt;ref-type name="Journal Article"&gt;17&lt;/ref-type&gt;&lt;contributors&gt;&lt;authors&gt;&lt;author&gt;Gustafson, D.M.&lt;/author&gt;&lt;author&gt;Boe, A.&lt;/author&gt;&lt;author&gt;Jin, Y. &lt;/author&gt;&lt;/authors&gt;&lt;/contributors&gt;&lt;titles&gt;&lt;title&gt;&lt;style face="normal" font="default" size="100%"&gt;Genetic variation for &lt;/style&gt;&lt;style face="italic" font="default" size="100%"&gt;Puccinia emaculata &lt;/style&gt;&lt;style face="normal" font="default" size="100%"&gt;infection in switchgrass&lt;/style&gt;&lt;/title&gt;&lt;secondary-title&gt;Crop Sci.&lt;/secondary-title&gt;&lt;/titles&gt;&lt;periodical&gt;&lt;full-title&gt;Crop Sci.&lt;/full-title&gt;&lt;/periodical&gt;&lt;pages&gt;755-759&lt;/pages&gt;&lt;volume&gt;43&lt;/volume&gt;&lt;section&gt;755&lt;/section&gt;&lt;dates&gt;&lt;year&gt;2003&lt;/year&gt;&lt;/dates&gt;&lt;urls&gt;&lt;/urls&gt;&lt;/record&gt;&lt;/Cite&gt;&lt;/EndNote&gt;</w:instrText>
        </w:r>
        <w:r w:rsidR="00FB5014">
          <w:rPr>
            <w:rFonts w:eastAsiaTheme="minorHAnsi" w:cs="Times New Roman"/>
          </w:rPr>
          <w:fldChar w:fldCharType="separate"/>
        </w:r>
        <w:r w:rsidR="00FB5014">
          <w:rPr>
            <w:rFonts w:eastAsiaTheme="minorHAnsi" w:cs="Times New Roman"/>
            <w:noProof/>
          </w:rPr>
          <w:t>Gustafson et al. (2003)</w:t>
        </w:r>
        <w:r w:rsidR="00FB5014">
          <w:rPr>
            <w:rFonts w:eastAsiaTheme="minorHAnsi" w:cs="Times New Roman"/>
          </w:rPr>
          <w:fldChar w:fldCharType="end"/>
        </w:r>
      </w:hyperlink>
      <w:r w:rsidR="002F4A62">
        <w:rPr>
          <w:rFonts w:eastAsiaTheme="minorHAnsi" w:cs="Times New Roman"/>
        </w:rPr>
        <w:t xml:space="preserve">. </w:t>
      </w:r>
      <w:r w:rsidRPr="00A4101C">
        <w:rPr>
          <w:rFonts w:eastAsiaTheme="minorHAnsi" w:cs="Times New Roman"/>
        </w:rPr>
        <w:t>Plant height</w:t>
      </w:r>
      <w:r w:rsidR="00F11F82">
        <w:rPr>
          <w:rFonts w:eastAsiaTheme="minorHAnsi" w:cs="Times New Roman"/>
        </w:rPr>
        <w:t xml:space="preserve"> (cm)</w:t>
      </w:r>
      <w:r w:rsidRPr="00A4101C">
        <w:rPr>
          <w:rFonts w:eastAsiaTheme="minorHAnsi" w:cs="Times New Roman"/>
        </w:rPr>
        <w:t xml:space="preserve"> was measured in the spring and fall. Spring traits were not evaluated during the first year due to transplant</w:t>
      </w:r>
      <w:r w:rsidR="00F11F82">
        <w:rPr>
          <w:rFonts w:eastAsiaTheme="minorHAnsi" w:cs="Times New Roman"/>
        </w:rPr>
        <w:t>ing</w:t>
      </w:r>
      <w:r w:rsidRPr="00A4101C">
        <w:rPr>
          <w:rFonts w:eastAsiaTheme="minorHAnsi" w:cs="Times New Roman"/>
        </w:rPr>
        <w:t>. Two tillers of a maturity average to that of the plant being evaluated were randomly selected for stem and leaf measurements and an average was calculated for each</w:t>
      </w:r>
      <w:r w:rsidR="00F11F82">
        <w:rPr>
          <w:rFonts w:eastAsiaTheme="minorHAnsi" w:cs="Times New Roman"/>
        </w:rPr>
        <w:t xml:space="preserve"> plant</w:t>
      </w:r>
      <w:r w:rsidRPr="00A4101C">
        <w:rPr>
          <w:rFonts w:eastAsiaTheme="minorHAnsi" w:cs="Times New Roman"/>
        </w:rPr>
        <w:t xml:space="preserve">. Stem width </w:t>
      </w:r>
      <w:r w:rsidR="00F11F82">
        <w:rPr>
          <w:rFonts w:eastAsiaTheme="minorHAnsi" w:cs="Times New Roman"/>
        </w:rPr>
        <w:t xml:space="preserve">(mm) </w:t>
      </w:r>
      <w:r w:rsidRPr="00A4101C">
        <w:rPr>
          <w:rFonts w:eastAsiaTheme="minorHAnsi" w:cs="Times New Roman"/>
        </w:rPr>
        <w:t xml:space="preserve">was measured directly above the lowest node using calipers. </w:t>
      </w:r>
      <w:r w:rsidR="00B8390A">
        <w:rPr>
          <w:rFonts w:eastAsiaTheme="minorHAnsi" w:cs="Times New Roman"/>
        </w:rPr>
        <w:t>Leaf width</w:t>
      </w:r>
      <w:r w:rsidR="00F11F82">
        <w:rPr>
          <w:rFonts w:eastAsiaTheme="minorHAnsi" w:cs="Times New Roman"/>
        </w:rPr>
        <w:t xml:space="preserve"> (mm)</w:t>
      </w:r>
      <w:r w:rsidRPr="00A4101C">
        <w:rPr>
          <w:rFonts w:eastAsiaTheme="minorHAnsi" w:cs="Times New Roman"/>
        </w:rPr>
        <w:t xml:space="preserve"> was measured </w:t>
      </w:r>
      <w:r w:rsidR="00AE42CF">
        <w:rPr>
          <w:rFonts w:eastAsiaTheme="minorHAnsi" w:cs="Times New Roman"/>
        </w:rPr>
        <w:t xml:space="preserve">using calipers </w:t>
      </w:r>
      <w:r w:rsidRPr="00A4101C">
        <w:rPr>
          <w:rFonts w:eastAsiaTheme="minorHAnsi" w:cs="Times New Roman"/>
        </w:rPr>
        <w:t>on the fully emerged leaf directly above the bottommost node at the widest portion of the leaf, approximately 7.5 cm from the stem. Leaf angle was evaluated visually using a 1-5 scale with 1 indicating prostrate leaves</w:t>
      </w:r>
      <w:r w:rsidR="00875EEE">
        <w:rPr>
          <w:rFonts w:eastAsiaTheme="minorHAnsi" w:cs="Times New Roman"/>
        </w:rPr>
        <w:t xml:space="preserve">, leaves at </w:t>
      </w:r>
      <w:r w:rsidR="001531F3">
        <w:rPr>
          <w:rFonts w:eastAsiaTheme="minorHAnsi" w:cs="Times New Roman"/>
        </w:rPr>
        <w:t xml:space="preserve">a </w:t>
      </w:r>
      <w:r w:rsidR="00FC51D8">
        <w:rPr>
          <w:rFonts w:eastAsiaTheme="minorHAnsi" w:cs="Times New Roman"/>
        </w:rPr>
        <w:t xml:space="preserve">135° </w:t>
      </w:r>
      <w:r w:rsidR="001531F3">
        <w:rPr>
          <w:rFonts w:eastAsiaTheme="minorHAnsi" w:cs="Times New Roman"/>
        </w:rPr>
        <w:t xml:space="preserve">angle </w:t>
      </w:r>
      <w:r w:rsidR="00FC51D8">
        <w:rPr>
          <w:rFonts w:eastAsiaTheme="minorHAnsi" w:cs="Times New Roman"/>
        </w:rPr>
        <w:t>or greater relative to the stem,</w:t>
      </w:r>
      <w:r w:rsidRPr="00A4101C">
        <w:rPr>
          <w:rFonts w:eastAsiaTheme="minorHAnsi" w:cs="Times New Roman"/>
        </w:rPr>
        <w:t xml:space="preserve"> and 5 indicating upright leaves</w:t>
      </w:r>
      <w:r w:rsidR="00FC51D8">
        <w:rPr>
          <w:rFonts w:eastAsiaTheme="minorHAnsi" w:cs="Times New Roman"/>
        </w:rPr>
        <w:t xml:space="preserve">, leaves at a 45° </w:t>
      </w:r>
      <w:r w:rsidR="001531F3">
        <w:rPr>
          <w:rFonts w:eastAsiaTheme="minorHAnsi" w:cs="Times New Roman"/>
        </w:rPr>
        <w:t xml:space="preserve">angle </w:t>
      </w:r>
      <w:r w:rsidR="00FC51D8">
        <w:rPr>
          <w:rFonts w:eastAsiaTheme="minorHAnsi" w:cs="Times New Roman"/>
        </w:rPr>
        <w:t>or less relative to the stem</w:t>
      </w:r>
      <w:r w:rsidR="00954DB7">
        <w:rPr>
          <w:rFonts w:eastAsiaTheme="minorHAnsi" w:cs="Times New Roman"/>
        </w:rPr>
        <w:t xml:space="preserve">. </w:t>
      </w:r>
      <w:r w:rsidR="00DB61CB">
        <w:rPr>
          <w:rFonts w:eastAsiaTheme="minorHAnsi" w:cs="Times New Roman"/>
        </w:rPr>
        <w:t>Plant color</w:t>
      </w:r>
      <w:r w:rsidRPr="00A4101C">
        <w:rPr>
          <w:rFonts w:eastAsiaTheme="minorHAnsi" w:cs="Times New Roman"/>
        </w:rPr>
        <w:t xml:space="preserve"> was evaluated on a 1-3 scale with 1 indicating </w:t>
      </w:r>
      <w:r w:rsidR="00AE42CF">
        <w:rPr>
          <w:rFonts w:eastAsiaTheme="minorHAnsi" w:cs="Times New Roman"/>
        </w:rPr>
        <w:t>medium green</w:t>
      </w:r>
      <w:r w:rsidRPr="00A4101C">
        <w:rPr>
          <w:rFonts w:eastAsiaTheme="minorHAnsi" w:cs="Times New Roman"/>
        </w:rPr>
        <w:t xml:space="preserve"> and 3 indicating </w:t>
      </w:r>
      <w:r w:rsidR="00AE42CF">
        <w:rPr>
          <w:rFonts w:eastAsiaTheme="minorHAnsi" w:cs="Times New Roman"/>
        </w:rPr>
        <w:t>blue</w:t>
      </w:r>
      <w:r w:rsidR="00954DB7">
        <w:rPr>
          <w:rFonts w:eastAsiaTheme="minorHAnsi" w:cs="Times New Roman"/>
        </w:rPr>
        <w:t xml:space="preserve">. </w:t>
      </w:r>
      <w:r w:rsidR="00CC35AE">
        <w:rPr>
          <w:rFonts w:eastAsiaTheme="minorHAnsi" w:cs="Times New Roman"/>
        </w:rPr>
        <w:t xml:space="preserve">Canopy density was evaluated on a 1-5 scale with one indicating a dense canopy and five indicating an open canopy. </w:t>
      </w:r>
      <w:r w:rsidRPr="00A4101C">
        <w:rPr>
          <w:rFonts w:eastAsiaTheme="minorHAnsi" w:cs="Times New Roman"/>
        </w:rPr>
        <w:t>Biomass yield was measured by harvesting plants individually with a sickle bar mower</w:t>
      </w:r>
      <w:r w:rsidR="00FC51D8">
        <w:rPr>
          <w:rFonts w:eastAsiaTheme="minorHAnsi" w:cs="Times New Roman"/>
        </w:rPr>
        <w:t xml:space="preserve"> </w:t>
      </w:r>
      <w:r w:rsidR="00FC51D8">
        <w:rPr>
          <w:rFonts w:eastAsiaTheme="minorHAnsi" w:cs="Times New Roman"/>
        </w:rPr>
        <w:lastRenderedPageBreak/>
        <w:t>set to cut approximately 15 cm above the soil surface</w:t>
      </w:r>
      <w:r w:rsidRPr="00A4101C">
        <w:rPr>
          <w:rFonts w:eastAsiaTheme="minorHAnsi" w:cs="Times New Roman"/>
        </w:rPr>
        <w:t xml:space="preserve"> and weighing the harvested bundle. Immediately after weighing, a 20 tiller sa</w:t>
      </w:r>
      <w:r w:rsidR="00F11F82">
        <w:rPr>
          <w:rFonts w:eastAsiaTheme="minorHAnsi" w:cs="Times New Roman"/>
        </w:rPr>
        <w:t xml:space="preserve">mple was taken from each plant, </w:t>
      </w:r>
      <w:r w:rsidRPr="00A4101C">
        <w:rPr>
          <w:rFonts w:eastAsiaTheme="minorHAnsi" w:cs="Times New Roman"/>
        </w:rPr>
        <w:t xml:space="preserve">weighed, dried in an oven at 65 ºC for </w:t>
      </w:r>
      <w:r w:rsidR="00F11F82">
        <w:rPr>
          <w:rFonts w:eastAsiaTheme="minorHAnsi" w:cs="Times New Roman"/>
        </w:rPr>
        <w:t>72</w:t>
      </w:r>
      <w:r w:rsidRPr="00A4101C">
        <w:rPr>
          <w:rFonts w:eastAsiaTheme="minorHAnsi" w:cs="Times New Roman"/>
        </w:rPr>
        <w:t xml:space="preserve"> h</w:t>
      </w:r>
      <w:r w:rsidR="00F11F82">
        <w:rPr>
          <w:rFonts w:eastAsiaTheme="minorHAnsi" w:cs="Times New Roman"/>
        </w:rPr>
        <w:t>ou</w:t>
      </w:r>
      <w:r w:rsidRPr="00A4101C">
        <w:rPr>
          <w:rFonts w:eastAsiaTheme="minorHAnsi" w:cs="Times New Roman"/>
        </w:rPr>
        <w:t xml:space="preserve">rs, and weighed again to obtain percent moisture. This value was used to </w:t>
      </w:r>
      <w:r w:rsidR="00F11F82">
        <w:rPr>
          <w:rFonts w:eastAsiaTheme="minorHAnsi" w:cs="Times New Roman"/>
        </w:rPr>
        <w:t>calculate dry matter (DM) yield</w:t>
      </w:r>
      <w:r w:rsidRPr="00A4101C">
        <w:rPr>
          <w:rFonts w:eastAsiaTheme="minorHAnsi" w:cs="Times New Roman"/>
        </w:rPr>
        <w:t xml:space="preserve">. </w:t>
      </w:r>
      <w:r w:rsidR="00F11F82">
        <w:rPr>
          <w:rFonts w:eastAsiaTheme="minorHAnsi" w:cs="Times New Roman"/>
        </w:rPr>
        <w:t>D</w:t>
      </w:r>
      <w:r w:rsidRPr="00A4101C">
        <w:rPr>
          <w:rFonts w:cs="Times New Roman"/>
        </w:rPr>
        <w:t xml:space="preserve">ried material was </w:t>
      </w:r>
      <w:r w:rsidR="00F11F82">
        <w:rPr>
          <w:rFonts w:cs="Times New Roman"/>
        </w:rPr>
        <w:t xml:space="preserve">then </w:t>
      </w:r>
      <w:r w:rsidRPr="00A4101C">
        <w:rPr>
          <w:rFonts w:cs="Times New Roman"/>
        </w:rPr>
        <w:t xml:space="preserve">ground using a Wiley Mill (Thomas Scientific, Swedesboro, NJ) to pass a </w:t>
      </w:r>
      <w:r w:rsidR="00F11F82">
        <w:rPr>
          <w:rFonts w:cs="Times New Roman"/>
        </w:rPr>
        <w:t>1 mm</w:t>
      </w:r>
      <w:r w:rsidRPr="00A4101C">
        <w:rPr>
          <w:rFonts w:cs="Times New Roman"/>
        </w:rPr>
        <w:t xml:space="preserve"> mesh screen</w:t>
      </w:r>
      <w:r w:rsidR="00954DB7">
        <w:rPr>
          <w:rFonts w:cs="Times New Roman"/>
        </w:rPr>
        <w:t xml:space="preserve">. </w:t>
      </w:r>
      <w:r w:rsidRPr="00A4101C">
        <w:rPr>
          <w:rFonts w:cs="Times New Roman"/>
        </w:rPr>
        <w:t>Samples were analyzed using a FOSS NIRSystems 4500 Feed &amp; Forage Analyzer (FOSS Analytical, Hilleroe</w:t>
      </w:r>
      <w:r w:rsidR="00E646EA">
        <w:rPr>
          <w:rFonts w:cs="Times New Roman"/>
        </w:rPr>
        <w:t xml:space="preserve">d, Denmark). WINSI II software (Infrasoft International LLC, </w:t>
      </w:r>
      <w:r w:rsidRPr="00A4101C">
        <w:rPr>
          <w:rFonts w:cs="Times New Roman"/>
        </w:rPr>
        <w:t>State College, PA) was used for NIRS analysis</w:t>
      </w:r>
      <w:r w:rsidR="00954DB7">
        <w:rPr>
          <w:rFonts w:cs="Times New Roman"/>
        </w:rPr>
        <w:t xml:space="preserve">. </w:t>
      </w:r>
      <w:r w:rsidRPr="00A4101C">
        <w:rPr>
          <w:rFonts w:cs="Times New Roman"/>
        </w:rPr>
        <w:t xml:space="preserve">A global H statistical test in the WINSI II program was used to check the fit of the spectral profile of the calibration set to the current data </w:t>
      </w:r>
      <w:r w:rsidR="00301182" w:rsidRPr="00A4101C">
        <w:rPr>
          <w:rFonts w:cs="Times New Roman"/>
        </w:rPr>
        <w:fldChar w:fldCharType="begin"/>
      </w:r>
      <w:r w:rsidRPr="00A4101C">
        <w:rPr>
          <w:rFonts w:cs="Times New Roman"/>
        </w:rPr>
        <w:instrText xml:space="preserve"> ADDIN EN.CITE &lt;EndNote&gt;&lt;Cite&gt;&lt;Author&gt;Murray&lt;/Author&gt;&lt;Year&gt;2004&lt;/Year&gt;&lt;RecNum&gt;302&lt;/RecNum&gt;&lt;DisplayText&gt;(Murray and Cowe, 2004)&lt;/DisplayText&gt;&lt;record&gt;&lt;rec-number&gt;302&lt;/rec-number&gt;&lt;foreign-keys&gt;&lt;key app="EN" db-id="9zfxt259rawwvce0pfa5efeuatdw0pz5va5z" timestamp="1396893591"&gt;302&lt;/key&gt;&lt;/foreign-keys&gt;&lt;ref-type name="Journal Article"&gt;17&lt;/ref-type&gt;&lt;contributors&gt;&lt;authors&gt;&lt;author&gt;Murray, I. &lt;/author&gt;&lt;author&gt;Cowe, I.&lt;/author&gt;&lt;/authors&gt;&lt;/contributors&gt;&lt;titles&gt;&lt;title&gt;Sample preparation. Near-Infrared Spectroscopy in Agriculture&lt;/title&gt;&lt;secondary-title&gt;Near Infrared Spectroscopy&lt;/secondary-title&gt;&lt;/titles&gt;&lt;periodical&gt;&lt;full-title&gt;Near Infrared Spectroscopy&lt;/full-title&gt;&lt;/periodical&gt;&lt;pages&gt;75-112&lt;/pages&gt;&lt;dates&gt;&lt;year&gt;2004&lt;/year&gt;&lt;/dates&gt;&lt;urls&gt;&lt;/urls&gt;&lt;/record&gt;&lt;/Cite&gt;&lt;/EndNote&gt;</w:instrText>
      </w:r>
      <w:r w:rsidR="00301182" w:rsidRPr="00A4101C">
        <w:rPr>
          <w:rFonts w:cs="Times New Roman"/>
        </w:rPr>
        <w:fldChar w:fldCharType="separate"/>
      </w:r>
      <w:r w:rsidRPr="00A4101C">
        <w:rPr>
          <w:rFonts w:cs="Times New Roman"/>
          <w:noProof/>
        </w:rPr>
        <w:t>(</w:t>
      </w:r>
      <w:hyperlink w:anchor="_ENREF_72" w:tooltip="Murray, 2004 #302" w:history="1">
        <w:r w:rsidR="00FB5014" w:rsidRPr="00A4101C">
          <w:rPr>
            <w:rFonts w:cs="Times New Roman"/>
            <w:noProof/>
          </w:rPr>
          <w:t>Murray and Cowe, 2004</w:t>
        </w:r>
      </w:hyperlink>
      <w:r w:rsidRPr="00A4101C">
        <w:rPr>
          <w:rFonts w:cs="Times New Roman"/>
          <w:noProof/>
        </w:rPr>
        <w:t>)</w:t>
      </w:r>
      <w:r w:rsidR="00301182" w:rsidRPr="00A4101C">
        <w:rPr>
          <w:rFonts w:cs="Times New Roman"/>
        </w:rPr>
        <w:fldChar w:fldCharType="end"/>
      </w:r>
      <w:r w:rsidR="00E646EA">
        <w:rPr>
          <w:rFonts w:cs="Times New Roman"/>
        </w:rPr>
        <w:t>.</w:t>
      </w:r>
      <w:r w:rsidRPr="00A4101C">
        <w:rPr>
          <w:rFonts w:cs="Times New Roman"/>
        </w:rPr>
        <w:t xml:space="preserve"> Although </w:t>
      </w:r>
      <w:hyperlink w:anchor="_ENREF_99" w:tooltip="Vogel, 2011 #256" w:history="1">
        <w:r w:rsidR="00FB5014" w:rsidRPr="00A4101C">
          <w:rPr>
            <w:rFonts w:cs="Times New Roman"/>
          </w:rPr>
          <w:fldChar w:fldCharType="begin"/>
        </w:r>
        <w:r w:rsidR="00FB5014" w:rsidRPr="00A4101C">
          <w:rPr>
            <w:rFonts w:cs="Times New Roman"/>
          </w:rPr>
          <w:instrText xml:space="preserve"> ADDIN EN.CITE &lt;EndNote&gt;&lt;Cite AuthorYear="1"&gt;&lt;Author&gt;Vogel&lt;/Author&gt;&lt;Year&gt;2011&lt;/Year&gt;&lt;RecNum&gt;256&lt;/RecNum&gt;&lt;DisplayText&gt;Vogel et al. (2011)&lt;/DisplayText&gt;&lt;record&gt;&lt;rec-number&gt;256&lt;/rec-number&gt;&lt;foreign-keys&gt;&lt;key app="EN" db-id="9zfxt259rawwvce0pfa5efeuatdw0pz5va5z" timestamp="1323887732"&gt;256&lt;/key&gt;&lt;/foreign-keys&gt;&lt;ref-type name="Journal Article"&gt;17&lt;/ref-type&gt;&lt;contributors&gt;&lt;authors&gt;&lt;author&gt;Vogel, K.P.&lt;/author&gt;&lt;author&gt;Dien, B.S.&lt;/author&gt;&lt;author&gt;Jung, H.G.&lt;/author&gt;&lt;author&gt;Casler, M.D.&lt;/author&gt;&lt;author&gt;Masterson, S.D.&lt;/author&gt;&lt;author&gt;Mitchell, R.B.&lt;/author&gt;&lt;/authors&gt;&lt;/contributors&gt;&lt;titles&gt;&lt;title&gt;Quantifying actual and theoretical ethanol yields for switchgrass strains using NIRS analyses&lt;/title&gt;&lt;secondary-title&gt;Bioenergy Research&lt;/secondary-title&gt;&lt;/titles&gt;&lt;periodical&gt;&lt;full-title&gt;Bioenergy Research&lt;/full-title&gt;&lt;abbr-1&gt;BioEnergy Res.&lt;/abbr-1&gt;&lt;/periodical&gt;&lt;pages&gt;96-110&lt;/pages&gt;&lt;volume&gt;4&lt;/volume&gt;&lt;section&gt;96&lt;/section&gt;&lt;dates&gt;&lt;year&gt;2011&lt;/year&gt;&lt;/dates&gt;&lt;urls&gt;&lt;/urls&gt;&lt;/record&gt;&lt;/Cite&gt;&lt;/EndNote&gt;</w:instrText>
        </w:r>
        <w:r w:rsidR="00FB5014" w:rsidRPr="00A4101C">
          <w:rPr>
            <w:rFonts w:cs="Times New Roman"/>
          </w:rPr>
          <w:fldChar w:fldCharType="separate"/>
        </w:r>
        <w:r w:rsidR="00FB5014" w:rsidRPr="00A4101C">
          <w:rPr>
            <w:rFonts w:cs="Times New Roman"/>
            <w:noProof/>
          </w:rPr>
          <w:t>Vogel et al. (2011)</w:t>
        </w:r>
        <w:r w:rsidR="00FB5014" w:rsidRPr="00A4101C">
          <w:rPr>
            <w:rFonts w:cs="Times New Roman"/>
          </w:rPr>
          <w:fldChar w:fldCharType="end"/>
        </w:r>
      </w:hyperlink>
      <w:r w:rsidRPr="00A4101C">
        <w:rPr>
          <w:rFonts w:cs="Times New Roman"/>
        </w:rPr>
        <w:t xml:space="preserve"> developed NIRS calibrations specifically for estimating ethanol production from switchgrass, the samples from this experiment were not within the spectral profile of the calibration set for estimating </w:t>
      </w:r>
      <w:r>
        <w:rPr>
          <w:rFonts w:cs="Times New Roman"/>
        </w:rPr>
        <w:t>predicted ethanol yield</w:t>
      </w:r>
      <w:r w:rsidRPr="00A4101C">
        <w:rPr>
          <w:rFonts w:cs="Times New Roman"/>
        </w:rPr>
        <w:t xml:space="preserve">. All samples did fit the 2013 mixed hay equation (H&lt;3.0) published by the NIRS Consortium (Hillsboro, WI). Values obtained for neutral detergent fiber (NDF) and neutral detergent fiber digestibility at 48 hours (NDFD48) were inserted into the regression equation developed by </w:t>
      </w:r>
      <w:hyperlink w:anchor="_ENREF_65" w:tooltip="Lorenz, 2009 #280" w:history="1">
        <w:r w:rsidR="00FB5014" w:rsidRPr="00A4101C">
          <w:rPr>
            <w:rFonts w:cs="Times New Roman"/>
          </w:rPr>
          <w:fldChar w:fldCharType="begin"/>
        </w:r>
        <w:r w:rsidR="00FB5014" w:rsidRPr="00A4101C">
          <w:rPr>
            <w:rFonts w:cs="Times New Roman"/>
          </w:rPr>
          <w:instrText xml:space="preserve"> ADDIN EN.CITE &lt;EndNote&gt;&lt;Cite AuthorYear="1"&gt;&lt;Author&gt;Lorenz&lt;/Author&gt;&lt;Year&gt;2009&lt;/Year&gt;&lt;RecNum&gt;280&lt;/RecNum&gt;&lt;DisplayText&gt;Lorenz et al. (2009)&lt;/DisplayText&gt;&lt;record&gt;&lt;rec-number&gt;280&lt;/rec-number&gt;&lt;foreign-keys&gt;&lt;key app="EN" db-id="9zfxt259rawwvce0pfa5efeuatdw0pz5va5z" timestamp="1393016506"&gt;280&lt;/key&gt;&lt;/foreign-keys&gt;&lt;ref-type name="Journal Article"&gt;17&lt;/ref-type&gt;&lt;contributors&gt;&lt;authors&gt;&lt;author&gt;Lorenz, A.J. &lt;/author&gt;&lt;author&gt;Anex, R.P.&lt;/author&gt;&lt;author&gt;Isci, A.&lt;/author&gt;&lt;author&gt;Coors, J.G.&lt;/author&gt;&lt;author&gt;de Leon, N.&lt;/author&gt;&lt;author&gt;Weimer, P.J.&lt;/author&gt;&lt;/authors&gt;&lt;/contributors&gt;&lt;titles&gt;&lt;title&gt;&lt;style face="normal" font="default" size="100%"&gt;Forage quality and composition measurements as predictors of ethanol yield from maize (&lt;/style&gt;&lt;style face="italic" font="default" size="100%"&gt;Zea mays&lt;/style&gt;&lt;style face="normal" font="default" size="100%"&gt; L.) stover&lt;/style&gt;&lt;/title&gt;&lt;secondary-title&gt;Biotechnology for Biofuels&lt;/secondary-title&gt;&lt;/titles&gt;&lt;periodical&gt;&lt;full-title&gt;Biotechnology for Biofuels&lt;/full-title&gt;&lt;/periodical&gt;&lt;volume&gt;2&lt;/volume&gt;&lt;number&gt;5&lt;/number&gt;&lt;dates&gt;&lt;year&gt;2009&lt;/year&gt;&lt;/dates&gt;&lt;urls&gt;&lt;/urls&gt;&lt;electronic-resource-num&gt;10.1186/1754-6834-2-5&lt;/electronic-resource-num&gt;&lt;/record&gt;&lt;/Cite&gt;&lt;/EndNote&gt;</w:instrText>
        </w:r>
        <w:r w:rsidR="00FB5014" w:rsidRPr="00A4101C">
          <w:rPr>
            <w:rFonts w:cs="Times New Roman"/>
          </w:rPr>
          <w:fldChar w:fldCharType="separate"/>
        </w:r>
        <w:r w:rsidR="00FB5014" w:rsidRPr="00A4101C">
          <w:rPr>
            <w:rFonts w:cs="Times New Roman"/>
            <w:noProof/>
          </w:rPr>
          <w:t>Lorenz et al. (2009)</w:t>
        </w:r>
        <w:r w:rsidR="00FB5014" w:rsidRPr="00A4101C">
          <w:rPr>
            <w:rFonts w:cs="Times New Roman"/>
          </w:rPr>
          <w:fldChar w:fldCharType="end"/>
        </w:r>
      </w:hyperlink>
      <w:r w:rsidRPr="00A4101C">
        <w:rPr>
          <w:rFonts w:cs="Times New Roman"/>
        </w:rPr>
        <w:t xml:space="preserve"> to estimate </w:t>
      </w:r>
      <w:r>
        <w:rPr>
          <w:rFonts w:cs="Times New Roman"/>
        </w:rPr>
        <w:t>predicted ethanol yield</w:t>
      </w:r>
      <w:r w:rsidRPr="00A4101C">
        <w:rPr>
          <w:rFonts w:cs="Times New Roman"/>
        </w:rPr>
        <w:t xml:space="preserve"> from SSF. This equation was developed to estimate </w:t>
      </w:r>
      <w:r>
        <w:rPr>
          <w:rFonts w:cs="Times New Roman"/>
        </w:rPr>
        <w:t>predicted ethanol yield</w:t>
      </w:r>
      <w:r w:rsidR="00E646EA">
        <w:rPr>
          <w:rFonts w:cs="Times New Roman"/>
        </w:rPr>
        <w:t xml:space="preserve"> of</w:t>
      </w:r>
      <w:r w:rsidRPr="00A4101C">
        <w:rPr>
          <w:rFonts w:cs="Times New Roman"/>
        </w:rPr>
        <w:t xml:space="preserve"> corn stover</w:t>
      </w:r>
      <w:r w:rsidR="00E646EA">
        <w:rPr>
          <w:rFonts w:cs="Times New Roman"/>
        </w:rPr>
        <w:t xml:space="preserve"> extracted using simultaneous saccharification and fermentation (SSF) methods. I</w:t>
      </w:r>
      <w:r w:rsidRPr="00A4101C">
        <w:rPr>
          <w:rFonts w:cs="Times New Roman"/>
        </w:rPr>
        <w:t xml:space="preserve">n previous studies on switchgrass, NIRS estimated </w:t>
      </w:r>
      <w:r>
        <w:rPr>
          <w:rFonts w:cs="Times New Roman"/>
        </w:rPr>
        <w:t>predicted ethanol yield</w:t>
      </w:r>
      <w:r w:rsidRPr="00A4101C">
        <w:rPr>
          <w:rFonts w:cs="Times New Roman"/>
        </w:rPr>
        <w:t xml:space="preserve">s explained 97.5% of the variation in average SSF </w:t>
      </w:r>
      <w:r w:rsidR="00E646EA">
        <w:rPr>
          <w:rFonts w:cs="Times New Roman"/>
        </w:rPr>
        <w:t xml:space="preserve">derived </w:t>
      </w:r>
      <w:r>
        <w:rPr>
          <w:rFonts w:cs="Times New Roman"/>
        </w:rPr>
        <w:t>ethanol yield</w:t>
      </w:r>
      <w:r w:rsidRPr="00A4101C">
        <w:rPr>
          <w:rFonts w:cs="Times New Roman"/>
        </w:rPr>
        <w:t xml:space="preserve"> </w:t>
      </w:r>
      <w:r w:rsidR="00E646EA">
        <w:rPr>
          <w:rFonts w:cs="Times New Roman"/>
        </w:rPr>
        <w:t xml:space="preserve">indicating this equation was also a good fit for predicting ethanol yield of switchgrass </w:t>
      </w:r>
      <w:r w:rsidRPr="00A4101C">
        <w:rPr>
          <w:rFonts w:cs="Times New Roman"/>
        </w:rPr>
        <w:t xml:space="preserve">(Sykes, unpublished data). </w:t>
      </w:r>
    </w:p>
    <w:p w14:paraId="0D59E550" w14:textId="77777777" w:rsidR="00043399" w:rsidRPr="00A4101C" w:rsidRDefault="00043399" w:rsidP="00043399">
      <w:pPr>
        <w:pStyle w:val="Heading3"/>
        <w:rPr>
          <w:rFonts w:cs="Times New Roman"/>
          <w:szCs w:val="24"/>
        </w:rPr>
      </w:pPr>
      <w:bookmarkStart w:id="93" w:name="_Toc404069855"/>
      <w:r w:rsidRPr="00A4101C">
        <w:rPr>
          <w:rFonts w:cs="Times New Roman"/>
          <w:szCs w:val="24"/>
        </w:rPr>
        <w:t>Statistical Analysis</w:t>
      </w:r>
      <w:bookmarkEnd w:id="93"/>
    </w:p>
    <w:p w14:paraId="00F62407" w14:textId="1C08AFAB" w:rsidR="00A95F60" w:rsidRPr="00BA3F3D" w:rsidRDefault="00F11F82" w:rsidP="00A95F60">
      <w:pPr>
        <w:ind w:firstLine="720"/>
        <w:rPr>
          <w:rFonts w:eastAsiaTheme="minorHAnsi" w:cs="Times New Roman"/>
          <w:szCs w:val="22"/>
        </w:rPr>
      </w:pPr>
      <w:r>
        <w:rPr>
          <w:rFonts w:eastAsiaTheme="minorHAnsi" w:cs="Times New Roman"/>
        </w:rPr>
        <w:t xml:space="preserve">Statistical analyses were conducted </w:t>
      </w:r>
      <w:r w:rsidR="00043399" w:rsidRPr="00A4101C">
        <w:rPr>
          <w:rFonts w:eastAsiaTheme="minorHAnsi" w:cs="Times New Roman"/>
        </w:rPr>
        <w:t>using SAS vs. 9.3 (SAS Institute, Cary, NC). Parent plants were excluded from all analyses except for evaluation</w:t>
      </w:r>
      <w:r w:rsidR="00E646EA">
        <w:rPr>
          <w:rFonts w:eastAsiaTheme="minorHAnsi" w:cs="Times New Roman"/>
        </w:rPr>
        <w:t>s</w:t>
      </w:r>
      <w:r w:rsidR="00043399" w:rsidRPr="00A4101C">
        <w:rPr>
          <w:rFonts w:eastAsiaTheme="minorHAnsi" w:cs="Times New Roman"/>
        </w:rPr>
        <w:t xml:space="preserve"> of heterosis. </w:t>
      </w:r>
      <w:r w:rsidR="00B428AC">
        <w:rPr>
          <w:rFonts w:eastAsiaTheme="minorHAnsi" w:cs="Times New Roman"/>
          <w:szCs w:val="22"/>
        </w:rPr>
        <w:t>Pearson c</w:t>
      </w:r>
      <w:r w:rsidR="00B428AC" w:rsidRPr="00BA3F3D">
        <w:rPr>
          <w:rFonts w:eastAsiaTheme="minorHAnsi" w:cs="Times New Roman"/>
          <w:szCs w:val="22"/>
        </w:rPr>
        <w:t xml:space="preserve">orrelation </w:t>
      </w:r>
      <w:r w:rsidR="00B428AC" w:rsidRPr="00BA3F3D">
        <w:rPr>
          <w:rFonts w:eastAsiaTheme="minorHAnsi" w:cs="Times New Roman"/>
          <w:szCs w:val="22"/>
        </w:rPr>
        <w:lastRenderedPageBreak/>
        <w:t xml:space="preserve">coefficients were calculated between each measured trait and biomass yield and </w:t>
      </w:r>
      <w:r w:rsidR="00B428AC">
        <w:rPr>
          <w:rFonts w:eastAsiaTheme="minorHAnsi" w:cs="Times New Roman"/>
          <w:szCs w:val="22"/>
        </w:rPr>
        <w:t xml:space="preserve">predicted ethanol yield respectively </w:t>
      </w:r>
      <w:r w:rsidR="00AE42CF">
        <w:rPr>
          <w:rFonts w:eastAsiaTheme="minorHAnsi" w:cs="Times New Roman"/>
          <w:szCs w:val="22"/>
        </w:rPr>
        <w:t>within</w:t>
      </w:r>
      <w:r w:rsidR="00B428AC">
        <w:rPr>
          <w:rFonts w:eastAsiaTheme="minorHAnsi" w:cs="Times New Roman"/>
          <w:szCs w:val="22"/>
        </w:rPr>
        <w:t xml:space="preserve"> each year using individual data points from each plant</w:t>
      </w:r>
      <w:r w:rsidR="00043399" w:rsidRPr="00A4101C">
        <w:rPr>
          <w:rFonts w:eastAsiaTheme="minorHAnsi" w:cs="Times New Roman"/>
        </w:rPr>
        <w:t xml:space="preserve">. </w:t>
      </w:r>
      <w:r w:rsidR="00A95F60" w:rsidRPr="00BA3F3D">
        <w:rPr>
          <w:rFonts w:eastAsiaTheme="minorHAnsi" w:cs="Times New Roman"/>
          <w:szCs w:val="22"/>
        </w:rPr>
        <w:t xml:space="preserve">Estimates of </w:t>
      </w:r>
      <w:r w:rsidR="00A95F60">
        <w:rPr>
          <w:rFonts w:eastAsiaTheme="minorHAnsi" w:cs="Times New Roman"/>
          <w:szCs w:val="22"/>
        </w:rPr>
        <w:t>general combining ability (GCA) and</w:t>
      </w:r>
      <w:r w:rsidR="00A95F60" w:rsidRPr="00BA3F3D">
        <w:rPr>
          <w:rFonts w:eastAsiaTheme="minorHAnsi" w:cs="Times New Roman"/>
          <w:szCs w:val="22"/>
        </w:rPr>
        <w:t xml:space="preserve"> specific combining ability (SCA) were determined using analyses of variance </w:t>
      </w:r>
      <w:r w:rsidR="00A95F60">
        <w:rPr>
          <w:rFonts w:eastAsiaTheme="minorHAnsi" w:cs="Times New Roman"/>
          <w:szCs w:val="22"/>
        </w:rPr>
        <w:t>of</w:t>
      </w:r>
      <w:r w:rsidR="00A95F60" w:rsidRPr="00BA3F3D">
        <w:rPr>
          <w:rFonts w:eastAsiaTheme="minorHAnsi" w:cs="Times New Roman"/>
          <w:szCs w:val="22"/>
        </w:rPr>
        <w:t xml:space="preserve"> the following mixed model:</w:t>
      </w:r>
    </w:p>
    <w:p w14:paraId="7DD0D810" w14:textId="707D7320" w:rsidR="00A95F60" w:rsidRPr="00BA3F3D" w:rsidRDefault="00A95F60" w:rsidP="00A95F60">
      <w:pPr>
        <w:ind w:left="720"/>
        <w:rPr>
          <w:rFonts w:eastAsiaTheme="minorHAnsi" w:cs="Times New Roman"/>
          <w:i/>
          <w:szCs w:val="22"/>
          <w:vertAlign w:val="subscript"/>
        </w:rPr>
      </w:pPr>
      <w:proofErr w:type="spellStart"/>
      <w:r w:rsidRPr="00BA3F3D">
        <w:rPr>
          <w:rFonts w:eastAsiaTheme="minorHAnsi" w:cs="Times New Roman"/>
          <w:i/>
          <w:szCs w:val="22"/>
        </w:rPr>
        <w:t>Y</w:t>
      </w:r>
      <w:r>
        <w:rPr>
          <w:rFonts w:eastAsiaTheme="minorHAnsi" w:cs="Times New Roman"/>
          <w:i/>
          <w:szCs w:val="22"/>
          <w:vertAlign w:val="subscript"/>
        </w:rPr>
        <w:t>ijlmno</w:t>
      </w:r>
      <w:proofErr w:type="spellEnd"/>
      <w:r w:rsidRPr="00BA3F3D">
        <w:rPr>
          <w:rFonts w:eastAsiaTheme="minorHAnsi" w:cs="Times New Roman"/>
          <w:szCs w:val="22"/>
          <w:vertAlign w:val="subscript"/>
        </w:rPr>
        <w:t xml:space="preserve"> </w:t>
      </w:r>
      <w:r w:rsidRPr="00BA3F3D">
        <w:rPr>
          <w:rFonts w:eastAsiaTheme="minorHAnsi" w:cs="Times New Roman"/>
          <w:szCs w:val="22"/>
        </w:rPr>
        <w:t xml:space="preserve">= </w:t>
      </w:r>
      <w:r>
        <w:rPr>
          <w:rFonts w:eastAsiaTheme="minorHAnsi" w:cs="Times New Roman"/>
          <w:i/>
          <w:szCs w:val="22"/>
        </w:rPr>
        <w:t xml:space="preserve">µ + </w:t>
      </w:r>
      <w:proofErr w:type="spellStart"/>
      <w:r>
        <w:rPr>
          <w:rFonts w:eastAsiaTheme="minorHAnsi" w:cs="Times New Roman"/>
          <w:i/>
          <w:szCs w:val="22"/>
        </w:rPr>
        <w:t>G</w:t>
      </w:r>
      <w:r w:rsidR="0065644C">
        <w:rPr>
          <w:rFonts w:eastAsiaTheme="minorHAnsi" w:cs="Times New Roman"/>
          <w:i/>
          <w:szCs w:val="22"/>
          <w:vertAlign w:val="subscript"/>
        </w:rPr>
        <w:t>k</w:t>
      </w:r>
      <w:proofErr w:type="spellEnd"/>
      <w:r w:rsidR="0065644C">
        <w:rPr>
          <w:rFonts w:eastAsiaTheme="minorHAnsi" w:cs="Times New Roman"/>
          <w:i/>
          <w:szCs w:val="22"/>
          <w:vertAlign w:val="subscript"/>
        </w:rPr>
        <w:t xml:space="preserve"> </w:t>
      </w:r>
      <w:r w:rsidR="0065644C" w:rsidRPr="0065644C">
        <w:rPr>
          <w:rFonts w:eastAsiaTheme="minorHAnsi" w:cs="Times New Roman"/>
          <w:szCs w:val="22"/>
        </w:rPr>
        <w:t>[</w:t>
      </w:r>
      <w:r w:rsidR="0065644C">
        <w:rPr>
          <w:rFonts w:eastAsiaTheme="minorHAnsi" w:cs="Times New Roman"/>
          <w:szCs w:val="22"/>
        </w:rPr>
        <w:t xml:space="preserve">= </w:t>
      </w:r>
      <w:proofErr w:type="spellStart"/>
      <w:r w:rsidR="0065644C">
        <w:rPr>
          <w:rFonts w:eastAsiaTheme="minorHAnsi" w:cs="Times New Roman"/>
          <w:i/>
          <w:szCs w:val="22"/>
        </w:rPr>
        <w:t>G</w:t>
      </w:r>
      <w:r w:rsidR="0065644C" w:rsidRPr="0065644C">
        <w:rPr>
          <w:rFonts w:eastAsiaTheme="minorHAnsi" w:cs="Times New Roman"/>
          <w:i/>
          <w:szCs w:val="22"/>
          <w:vertAlign w:val="subscript"/>
        </w:rPr>
        <w:t>i</w:t>
      </w:r>
      <w:proofErr w:type="spellEnd"/>
      <w:r w:rsidR="0065644C">
        <w:rPr>
          <w:rFonts w:eastAsiaTheme="minorHAnsi" w:cs="Times New Roman"/>
          <w:i/>
          <w:szCs w:val="22"/>
        </w:rPr>
        <w:t xml:space="preserve"> + </w:t>
      </w:r>
      <w:proofErr w:type="spellStart"/>
      <w:r w:rsidR="0065644C">
        <w:rPr>
          <w:rFonts w:eastAsiaTheme="minorHAnsi" w:cs="Times New Roman"/>
          <w:i/>
          <w:szCs w:val="22"/>
        </w:rPr>
        <w:t>G</w:t>
      </w:r>
      <w:r w:rsidR="0065644C" w:rsidRPr="0065644C">
        <w:rPr>
          <w:rFonts w:eastAsiaTheme="minorHAnsi" w:cs="Times New Roman"/>
          <w:i/>
          <w:szCs w:val="22"/>
          <w:vertAlign w:val="subscript"/>
        </w:rPr>
        <w:t>j</w:t>
      </w:r>
      <w:proofErr w:type="spellEnd"/>
      <w:r w:rsidR="0065644C" w:rsidRPr="0065644C">
        <w:rPr>
          <w:rFonts w:eastAsiaTheme="minorHAnsi" w:cs="Times New Roman"/>
          <w:szCs w:val="22"/>
        </w:rPr>
        <w:t>]</w:t>
      </w:r>
      <w:r w:rsidR="0065644C">
        <w:rPr>
          <w:rFonts w:eastAsiaTheme="minorHAnsi" w:cs="Times New Roman"/>
          <w:i/>
          <w:szCs w:val="22"/>
        </w:rPr>
        <w:t xml:space="preserve"> </w:t>
      </w:r>
      <w:r w:rsidRPr="00BA3F3D">
        <w:rPr>
          <w:rFonts w:eastAsiaTheme="minorHAnsi" w:cs="Times New Roman"/>
          <w:szCs w:val="22"/>
        </w:rPr>
        <w:t>+</w:t>
      </w:r>
      <w:r w:rsidRPr="00BA3F3D">
        <w:rPr>
          <w:rFonts w:eastAsiaTheme="minorHAnsi" w:cs="Times New Roman"/>
          <w:i/>
          <w:szCs w:val="22"/>
        </w:rPr>
        <w:t xml:space="preserve"> </w:t>
      </w:r>
      <w:proofErr w:type="spellStart"/>
      <w:r>
        <w:rPr>
          <w:rFonts w:eastAsiaTheme="minorHAnsi" w:cs="Times New Roman"/>
          <w:i/>
          <w:szCs w:val="22"/>
        </w:rPr>
        <w:t>S</w:t>
      </w:r>
      <w:r>
        <w:rPr>
          <w:rFonts w:eastAsiaTheme="minorHAnsi" w:cs="Times New Roman"/>
          <w:i/>
          <w:szCs w:val="22"/>
          <w:vertAlign w:val="subscript"/>
        </w:rPr>
        <w:t>ij</w:t>
      </w:r>
      <w:proofErr w:type="spellEnd"/>
      <w:r w:rsidRPr="00BA3F3D">
        <w:rPr>
          <w:rFonts w:eastAsiaTheme="minorHAnsi" w:cs="Times New Roman"/>
          <w:i/>
          <w:szCs w:val="22"/>
        </w:rPr>
        <w:t xml:space="preserve"> </w:t>
      </w:r>
      <w:r w:rsidRPr="00BA3F3D">
        <w:rPr>
          <w:rFonts w:eastAsiaTheme="minorHAnsi" w:cs="Times New Roman"/>
          <w:szCs w:val="22"/>
        </w:rPr>
        <w:t xml:space="preserve"> +</w:t>
      </w:r>
      <w:r w:rsidRPr="00BA3F3D">
        <w:rPr>
          <w:rFonts w:eastAsiaTheme="minorHAnsi" w:cs="Times New Roman"/>
          <w:i/>
          <w:szCs w:val="22"/>
        </w:rPr>
        <w:t xml:space="preserve"> T</w:t>
      </w:r>
      <w:r>
        <w:rPr>
          <w:rFonts w:eastAsiaTheme="minorHAnsi" w:cs="Times New Roman"/>
          <w:i/>
          <w:szCs w:val="22"/>
          <w:vertAlign w:val="subscript"/>
        </w:rPr>
        <w:t>l</w:t>
      </w:r>
      <w:r w:rsidRPr="00BA3F3D">
        <w:rPr>
          <w:rFonts w:eastAsiaTheme="minorHAnsi" w:cs="Times New Roman"/>
          <w:szCs w:val="22"/>
        </w:rPr>
        <w:t xml:space="preserve"> + </w:t>
      </w:r>
      <w:r w:rsidRPr="00BA3F3D">
        <w:rPr>
          <w:rFonts w:eastAsiaTheme="minorHAnsi" w:cs="Times New Roman"/>
          <w:i/>
          <w:szCs w:val="22"/>
        </w:rPr>
        <w:t>L</w:t>
      </w:r>
      <w:r w:rsidRPr="00BA3F3D">
        <w:rPr>
          <w:rFonts w:eastAsiaTheme="minorHAnsi" w:cs="Times New Roman"/>
          <w:i/>
          <w:szCs w:val="22"/>
        </w:rPr>
        <w:softHyphen/>
      </w:r>
      <w:r>
        <w:rPr>
          <w:rFonts w:eastAsiaTheme="minorHAnsi" w:cs="Times New Roman"/>
          <w:i/>
          <w:szCs w:val="22"/>
          <w:vertAlign w:val="subscript"/>
        </w:rPr>
        <w:t>m</w:t>
      </w:r>
      <w:r w:rsidRPr="00BA3F3D">
        <w:rPr>
          <w:rFonts w:eastAsiaTheme="minorHAnsi" w:cs="Times New Roman"/>
          <w:i/>
          <w:szCs w:val="22"/>
        </w:rPr>
        <w:t xml:space="preserve"> </w:t>
      </w:r>
      <w:r w:rsidRPr="00BA3F3D">
        <w:rPr>
          <w:rFonts w:eastAsiaTheme="minorHAnsi" w:cs="Times New Roman"/>
          <w:szCs w:val="22"/>
        </w:rPr>
        <w:t>+</w:t>
      </w:r>
      <w:r w:rsidRPr="00BA3F3D">
        <w:rPr>
          <w:rFonts w:eastAsiaTheme="minorHAnsi" w:cs="Times New Roman"/>
          <w:i/>
          <w:szCs w:val="22"/>
        </w:rPr>
        <w:t xml:space="preserve"> B(L)</w:t>
      </w:r>
      <w:r>
        <w:rPr>
          <w:rFonts w:eastAsiaTheme="minorHAnsi" w:cs="Times New Roman"/>
          <w:i/>
          <w:szCs w:val="22"/>
          <w:vertAlign w:val="subscript"/>
        </w:rPr>
        <w:t>n(m</w:t>
      </w:r>
      <w:r w:rsidRPr="00BA3F3D">
        <w:rPr>
          <w:rFonts w:eastAsiaTheme="minorHAnsi" w:cs="Times New Roman"/>
          <w:i/>
          <w:szCs w:val="22"/>
          <w:vertAlign w:val="subscript"/>
        </w:rPr>
        <w:t>)</w:t>
      </w:r>
      <w:r w:rsidRPr="00BA3F3D">
        <w:rPr>
          <w:rFonts w:eastAsiaTheme="minorHAnsi" w:cs="Times New Roman"/>
          <w:i/>
          <w:szCs w:val="22"/>
        </w:rPr>
        <w:t xml:space="preserve"> + </w:t>
      </w:r>
      <w:proofErr w:type="spellStart"/>
      <w:r w:rsidRPr="00BA3F3D">
        <w:rPr>
          <w:rFonts w:eastAsiaTheme="minorHAnsi" w:cs="Times New Roman"/>
          <w:i/>
          <w:szCs w:val="22"/>
        </w:rPr>
        <w:t>TL</w:t>
      </w:r>
      <w:r>
        <w:rPr>
          <w:rFonts w:eastAsiaTheme="minorHAnsi" w:cs="Times New Roman"/>
          <w:i/>
          <w:szCs w:val="22"/>
          <w:vertAlign w:val="subscript"/>
        </w:rPr>
        <w:t>lm</w:t>
      </w:r>
      <w:proofErr w:type="spellEnd"/>
      <w:r w:rsidRPr="00BA3F3D">
        <w:rPr>
          <w:rFonts w:eastAsiaTheme="minorHAnsi" w:cs="Times New Roman"/>
          <w:i/>
          <w:szCs w:val="22"/>
        </w:rPr>
        <w:t xml:space="preserve"> </w:t>
      </w:r>
      <w:r w:rsidRPr="00BA3F3D">
        <w:rPr>
          <w:rFonts w:eastAsiaTheme="minorHAnsi" w:cs="Times New Roman"/>
          <w:szCs w:val="22"/>
        </w:rPr>
        <w:t xml:space="preserve">+ </w:t>
      </w:r>
      <w:r>
        <w:rPr>
          <w:rFonts w:eastAsiaTheme="minorHAnsi" w:cs="Times New Roman"/>
          <w:i/>
          <w:szCs w:val="22"/>
        </w:rPr>
        <w:t>B(</w:t>
      </w:r>
      <w:r w:rsidRPr="00BA3F3D">
        <w:rPr>
          <w:rFonts w:eastAsiaTheme="minorHAnsi" w:cs="Times New Roman"/>
          <w:i/>
          <w:szCs w:val="22"/>
        </w:rPr>
        <w:t>T</w:t>
      </w:r>
      <w:r>
        <w:rPr>
          <w:rFonts w:eastAsiaTheme="minorHAnsi" w:cs="Times New Roman"/>
          <w:i/>
          <w:szCs w:val="22"/>
        </w:rPr>
        <w:t>L</w:t>
      </w:r>
      <w:r w:rsidRPr="00BA3F3D">
        <w:rPr>
          <w:rFonts w:eastAsiaTheme="minorHAnsi" w:cs="Times New Roman"/>
          <w:i/>
          <w:szCs w:val="22"/>
        </w:rPr>
        <w:t>)</w:t>
      </w:r>
      <w:r>
        <w:rPr>
          <w:rFonts w:eastAsiaTheme="minorHAnsi" w:cs="Times New Roman"/>
          <w:i/>
          <w:szCs w:val="22"/>
          <w:vertAlign w:val="subscript"/>
        </w:rPr>
        <w:t>n</w:t>
      </w:r>
      <w:r w:rsidRPr="00BA3F3D">
        <w:rPr>
          <w:rFonts w:eastAsiaTheme="minorHAnsi" w:cs="Times New Roman"/>
          <w:i/>
          <w:szCs w:val="22"/>
          <w:vertAlign w:val="subscript"/>
        </w:rPr>
        <w:t>(</w:t>
      </w:r>
      <w:r>
        <w:rPr>
          <w:rFonts w:eastAsiaTheme="minorHAnsi" w:cs="Times New Roman"/>
          <w:i/>
          <w:szCs w:val="22"/>
          <w:vertAlign w:val="subscript"/>
        </w:rPr>
        <w:t>lm</w:t>
      </w:r>
      <w:r w:rsidRPr="00BA3F3D">
        <w:rPr>
          <w:rFonts w:eastAsiaTheme="minorHAnsi" w:cs="Times New Roman"/>
          <w:i/>
          <w:szCs w:val="22"/>
          <w:vertAlign w:val="subscript"/>
        </w:rPr>
        <w:t>)</w:t>
      </w:r>
      <w:r w:rsidRPr="00BA3F3D">
        <w:rPr>
          <w:rFonts w:eastAsiaTheme="minorHAnsi" w:cs="Times New Roman"/>
          <w:szCs w:val="22"/>
        </w:rPr>
        <w:t xml:space="preserve"> + </w:t>
      </w:r>
      <w:proofErr w:type="spellStart"/>
      <w:r>
        <w:rPr>
          <w:rFonts w:eastAsiaTheme="minorHAnsi" w:cs="Times New Roman"/>
          <w:i/>
          <w:szCs w:val="22"/>
        </w:rPr>
        <w:t>G</w:t>
      </w:r>
      <w:r w:rsidRPr="00BA3F3D">
        <w:rPr>
          <w:rFonts w:eastAsiaTheme="minorHAnsi" w:cs="Times New Roman"/>
          <w:i/>
          <w:szCs w:val="22"/>
        </w:rPr>
        <w:t>T</w:t>
      </w:r>
      <w:r>
        <w:rPr>
          <w:rFonts w:eastAsiaTheme="minorHAnsi" w:cs="Times New Roman"/>
          <w:i/>
          <w:szCs w:val="22"/>
          <w:vertAlign w:val="subscript"/>
        </w:rPr>
        <w:t>kl</w:t>
      </w:r>
      <w:proofErr w:type="spellEnd"/>
      <w:r w:rsidRPr="00BA3F3D">
        <w:rPr>
          <w:rFonts w:eastAsiaTheme="minorHAnsi" w:cs="Times New Roman"/>
          <w:i/>
          <w:szCs w:val="22"/>
        </w:rPr>
        <w:t xml:space="preserve"> </w:t>
      </w:r>
      <w:r w:rsidRPr="00BA3F3D">
        <w:rPr>
          <w:rFonts w:eastAsiaTheme="minorHAnsi" w:cs="Times New Roman"/>
          <w:szCs w:val="22"/>
        </w:rPr>
        <w:t xml:space="preserve">+ </w:t>
      </w:r>
      <w:proofErr w:type="spellStart"/>
      <w:r>
        <w:rPr>
          <w:rFonts w:eastAsiaTheme="minorHAnsi" w:cs="Times New Roman"/>
          <w:i/>
          <w:szCs w:val="22"/>
        </w:rPr>
        <w:t>G</w:t>
      </w:r>
      <w:r w:rsidRPr="00BA3F3D">
        <w:rPr>
          <w:rFonts w:eastAsiaTheme="minorHAnsi" w:cs="Times New Roman"/>
          <w:i/>
          <w:szCs w:val="22"/>
        </w:rPr>
        <w:t>L</w:t>
      </w:r>
      <w:r>
        <w:rPr>
          <w:rFonts w:eastAsiaTheme="minorHAnsi" w:cs="Times New Roman"/>
          <w:i/>
          <w:szCs w:val="22"/>
          <w:vertAlign w:val="subscript"/>
        </w:rPr>
        <w:t>km</w:t>
      </w:r>
      <w:proofErr w:type="spellEnd"/>
      <w:r w:rsidRPr="00BA3F3D">
        <w:rPr>
          <w:rFonts w:eastAsiaTheme="minorHAnsi" w:cs="Times New Roman"/>
          <w:i/>
          <w:szCs w:val="22"/>
        </w:rPr>
        <w:t xml:space="preserve"> </w:t>
      </w:r>
      <w:r w:rsidRPr="00BA3F3D">
        <w:rPr>
          <w:rFonts w:eastAsiaTheme="minorHAnsi" w:cs="Times New Roman"/>
          <w:szCs w:val="22"/>
        </w:rPr>
        <w:t xml:space="preserve">+ </w:t>
      </w:r>
      <w:proofErr w:type="spellStart"/>
      <w:r>
        <w:rPr>
          <w:rFonts w:eastAsiaTheme="minorHAnsi" w:cs="Times New Roman"/>
          <w:i/>
          <w:szCs w:val="22"/>
        </w:rPr>
        <w:t>G</w:t>
      </w:r>
      <w:r w:rsidRPr="00BA3F3D">
        <w:rPr>
          <w:rFonts w:eastAsiaTheme="minorHAnsi" w:cs="Times New Roman"/>
          <w:i/>
          <w:szCs w:val="22"/>
        </w:rPr>
        <w:t>TL</w:t>
      </w:r>
      <w:r>
        <w:rPr>
          <w:rFonts w:eastAsiaTheme="minorHAnsi" w:cs="Times New Roman"/>
          <w:i/>
          <w:szCs w:val="22"/>
          <w:vertAlign w:val="subscript"/>
        </w:rPr>
        <w:t>klm</w:t>
      </w:r>
      <w:proofErr w:type="spellEnd"/>
      <w:r w:rsidRPr="00BA3F3D">
        <w:rPr>
          <w:rFonts w:eastAsiaTheme="minorHAnsi" w:cs="Times New Roman"/>
          <w:i/>
          <w:szCs w:val="22"/>
        </w:rPr>
        <w:t xml:space="preserve"> </w:t>
      </w:r>
      <w:r w:rsidRPr="00BA3F3D">
        <w:rPr>
          <w:rFonts w:eastAsiaTheme="minorHAnsi" w:cs="Times New Roman"/>
          <w:szCs w:val="22"/>
        </w:rPr>
        <w:t xml:space="preserve">+ </w:t>
      </w:r>
      <w:r w:rsidRPr="00BA3F3D">
        <w:rPr>
          <w:rFonts w:eastAsiaTheme="minorHAnsi" w:cs="Times New Roman"/>
          <w:i/>
          <w:szCs w:val="22"/>
        </w:rPr>
        <w:t>B(</w:t>
      </w:r>
      <w:r>
        <w:rPr>
          <w:rFonts w:eastAsiaTheme="minorHAnsi" w:cs="Times New Roman"/>
          <w:i/>
          <w:szCs w:val="22"/>
        </w:rPr>
        <w:t>G</w:t>
      </w:r>
      <w:r w:rsidRPr="00BA3F3D">
        <w:rPr>
          <w:rFonts w:eastAsiaTheme="minorHAnsi" w:cs="Times New Roman"/>
          <w:i/>
          <w:szCs w:val="22"/>
        </w:rPr>
        <w:t>L)</w:t>
      </w:r>
      <w:r>
        <w:rPr>
          <w:rFonts w:eastAsiaTheme="minorHAnsi" w:cs="Times New Roman"/>
          <w:i/>
          <w:szCs w:val="22"/>
          <w:vertAlign w:val="subscript"/>
        </w:rPr>
        <w:t>n(km</w:t>
      </w:r>
      <w:r w:rsidRPr="00BA3F3D">
        <w:rPr>
          <w:rFonts w:eastAsiaTheme="minorHAnsi" w:cs="Times New Roman"/>
          <w:i/>
          <w:szCs w:val="22"/>
          <w:vertAlign w:val="subscript"/>
        </w:rPr>
        <w:t>)</w:t>
      </w:r>
      <w:r w:rsidRPr="00BA3F3D">
        <w:rPr>
          <w:rFonts w:eastAsiaTheme="minorHAnsi" w:cs="Times New Roman"/>
          <w:szCs w:val="22"/>
          <w:vertAlign w:val="subscript"/>
        </w:rPr>
        <w:t xml:space="preserve"> </w:t>
      </w:r>
      <w:r w:rsidRPr="00BA3F3D">
        <w:rPr>
          <w:rFonts w:eastAsiaTheme="minorHAnsi" w:cs="Times New Roman"/>
          <w:szCs w:val="22"/>
        </w:rPr>
        <w:t>+</w:t>
      </w:r>
      <w:r>
        <w:rPr>
          <w:rFonts w:eastAsiaTheme="minorHAnsi" w:cs="Times New Roman"/>
          <w:szCs w:val="22"/>
        </w:rPr>
        <w:t xml:space="preserve"> </w:t>
      </w:r>
      <w:r w:rsidRPr="00BA3F3D">
        <w:rPr>
          <w:rFonts w:eastAsiaTheme="minorHAnsi" w:cs="Times New Roman"/>
          <w:i/>
          <w:szCs w:val="22"/>
        </w:rPr>
        <w:t>B(</w:t>
      </w:r>
      <w:r>
        <w:rPr>
          <w:rFonts w:eastAsiaTheme="minorHAnsi" w:cs="Times New Roman"/>
          <w:i/>
          <w:szCs w:val="22"/>
        </w:rPr>
        <w:t>GTL</w:t>
      </w:r>
      <w:r w:rsidRPr="00BA3F3D">
        <w:rPr>
          <w:rFonts w:eastAsiaTheme="minorHAnsi" w:cs="Times New Roman"/>
          <w:i/>
          <w:szCs w:val="22"/>
        </w:rPr>
        <w:t>)</w:t>
      </w:r>
      <w:r>
        <w:rPr>
          <w:rFonts w:eastAsiaTheme="minorHAnsi" w:cs="Times New Roman"/>
          <w:i/>
          <w:szCs w:val="22"/>
          <w:vertAlign w:val="subscript"/>
        </w:rPr>
        <w:t>n</w:t>
      </w:r>
      <w:r w:rsidRPr="00BA3F3D">
        <w:rPr>
          <w:rFonts w:eastAsiaTheme="minorHAnsi" w:cs="Times New Roman"/>
          <w:i/>
          <w:szCs w:val="22"/>
          <w:vertAlign w:val="subscript"/>
        </w:rPr>
        <w:t>(</w:t>
      </w:r>
      <w:proofErr w:type="spellStart"/>
      <w:r>
        <w:rPr>
          <w:rFonts w:eastAsiaTheme="minorHAnsi" w:cs="Times New Roman"/>
          <w:i/>
          <w:szCs w:val="22"/>
          <w:vertAlign w:val="subscript"/>
        </w:rPr>
        <w:t>klm</w:t>
      </w:r>
      <w:proofErr w:type="spellEnd"/>
      <w:r w:rsidRPr="00BA3F3D">
        <w:rPr>
          <w:rFonts w:eastAsiaTheme="minorHAnsi" w:cs="Times New Roman"/>
          <w:i/>
          <w:szCs w:val="22"/>
          <w:vertAlign w:val="subscript"/>
        </w:rPr>
        <w:t xml:space="preserve">) </w:t>
      </w:r>
      <w:r w:rsidRPr="00BA3F3D">
        <w:rPr>
          <w:rFonts w:eastAsiaTheme="minorHAnsi" w:cs="Times New Roman"/>
          <w:szCs w:val="22"/>
        </w:rPr>
        <w:t xml:space="preserve">+ </w:t>
      </w:r>
      <w:proofErr w:type="spellStart"/>
      <w:r>
        <w:rPr>
          <w:rFonts w:eastAsiaTheme="minorHAnsi" w:cs="Times New Roman"/>
          <w:i/>
          <w:szCs w:val="22"/>
        </w:rPr>
        <w:t>S</w:t>
      </w:r>
      <w:r w:rsidRPr="00BA3F3D">
        <w:rPr>
          <w:rFonts w:eastAsiaTheme="minorHAnsi" w:cs="Times New Roman"/>
          <w:i/>
          <w:szCs w:val="22"/>
        </w:rPr>
        <w:t>T</w:t>
      </w:r>
      <w:r>
        <w:rPr>
          <w:rFonts w:eastAsiaTheme="minorHAnsi" w:cs="Times New Roman"/>
          <w:i/>
          <w:szCs w:val="22"/>
          <w:vertAlign w:val="subscript"/>
        </w:rPr>
        <w:t>ijl</w:t>
      </w:r>
      <w:proofErr w:type="spellEnd"/>
      <w:r w:rsidRPr="00BA3F3D">
        <w:rPr>
          <w:rFonts w:eastAsiaTheme="minorHAnsi" w:cs="Times New Roman"/>
          <w:i/>
          <w:szCs w:val="22"/>
        </w:rPr>
        <w:t xml:space="preserve"> </w:t>
      </w:r>
      <w:r w:rsidRPr="00BA3F3D">
        <w:rPr>
          <w:rFonts w:eastAsiaTheme="minorHAnsi" w:cs="Times New Roman"/>
          <w:szCs w:val="22"/>
        </w:rPr>
        <w:t xml:space="preserve"> + </w:t>
      </w:r>
      <w:proofErr w:type="spellStart"/>
      <w:r>
        <w:rPr>
          <w:rFonts w:eastAsiaTheme="minorHAnsi" w:cs="Times New Roman"/>
          <w:i/>
          <w:szCs w:val="22"/>
        </w:rPr>
        <w:t>S</w:t>
      </w:r>
      <w:r w:rsidRPr="00BA3F3D">
        <w:rPr>
          <w:rFonts w:eastAsiaTheme="minorHAnsi" w:cs="Times New Roman"/>
          <w:i/>
          <w:szCs w:val="22"/>
        </w:rPr>
        <w:t>L</w:t>
      </w:r>
      <w:r>
        <w:rPr>
          <w:rFonts w:eastAsiaTheme="minorHAnsi" w:cs="Times New Roman"/>
          <w:i/>
          <w:szCs w:val="22"/>
          <w:vertAlign w:val="subscript"/>
        </w:rPr>
        <w:t>ijm</w:t>
      </w:r>
      <w:proofErr w:type="spellEnd"/>
      <w:r w:rsidRPr="00BA3F3D">
        <w:rPr>
          <w:rFonts w:eastAsiaTheme="minorHAnsi" w:cs="Times New Roman"/>
          <w:i/>
          <w:szCs w:val="22"/>
        </w:rPr>
        <w:t xml:space="preserve"> </w:t>
      </w:r>
      <w:r w:rsidRPr="00BA3F3D">
        <w:rPr>
          <w:rFonts w:eastAsiaTheme="minorHAnsi" w:cs="Times New Roman"/>
          <w:szCs w:val="22"/>
        </w:rPr>
        <w:t xml:space="preserve"> + </w:t>
      </w:r>
      <w:proofErr w:type="spellStart"/>
      <w:r>
        <w:rPr>
          <w:rFonts w:eastAsiaTheme="minorHAnsi" w:cs="Times New Roman"/>
          <w:i/>
          <w:szCs w:val="22"/>
        </w:rPr>
        <w:t>S</w:t>
      </w:r>
      <w:r w:rsidRPr="00BA3F3D">
        <w:rPr>
          <w:rFonts w:eastAsiaTheme="minorHAnsi" w:cs="Times New Roman"/>
          <w:i/>
          <w:szCs w:val="22"/>
        </w:rPr>
        <w:t>TL</w:t>
      </w:r>
      <w:r>
        <w:rPr>
          <w:rFonts w:eastAsiaTheme="minorHAnsi" w:cs="Times New Roman"/>
          <w:i/>
          <w:szCs w:val="22"/>
          <w:vertAlign w:val="subscript"/>
        </w:rPr>
        <w:t>ij</w:t>
      </w:r>
      <w:r w:rsidRPr="00BA3F3D">
        <w:rPr>
          <w:rFonts w:eastAsiaTheme="minorHAnsi" w:cs="Times New Roman"/>
          <w:i/>
          <w:szCs w:val="22"/>
          <w:vertAlign w:val="subscript"/>
        </w:rPr>
        <w:t>l</w:t>
      </w:r>
      <w:r>
        <w:rPr>
          <w:rFonts w:eastAsiaTheme="minorHAnsi" w:cs="Times New Roman"/>
          <w:i/>
          <w:szCs w:val="22"/>
          <w:vertAlign w:val="subscript"/>
        </w:rPr>
        <w:t>m</w:t>
      </w:r>
      <w:proofErr w:type="spellEnd"/>
      <w:r w:rsidRPr="00BA3F3D">
        <w:rPr>
          <w:rFonts w:eastAsiaTheme="minorHAnsi" w:cs="Times New Roman"/>
          <w:i/>
          <w:szCs w:val="22"/>
        </w:rPr>
        <w:t xml:space="preserve"> </w:t>
      </w:r>
      <w:r w:rsidRPr="00BA3F3D">
        <w:rPr>
          <w:rFonts w:eastAsiaTheme="minorHAnsi" w:cs="Times New Roman"/>
          <w:szCs w:val="22"/>
        </w:rPr>
        <w:t xml:space="preserve"> + </w:t>
      </w:r>
      <w:r w:rsidRPr="00BA3F3D">
        <w:rPr>
          <w:rFonts w:eastAsiaTheme="minorHAnsi" w:cs="Times New Roman"/>
          <w:i/>
          <w:szCs w:val="22"/>
        </w:rPr>
        <w:t>B(</w:t>
      </w:r>
      <w:r>
        <w:rPr>
          <w:rFonts w:eastAsiaTheme="minorHAnsi" w:cs="Times New Roman"/>
          <w:i/>
          <w:szCs w:val="22"/>
        </w:rPr>
        <w:t>SL</w:t>
      </w:r>
      <w:r w:rsidRPr="00BA3F3D">
        <w:rPr>
          <w:rFonts w:eastAsiaTheme="minorHAnsi" w:cs="Times New Roman"/>
          <w:i/>
          <w:szCs w:val="22"/>
        </w:rPr>
        <w:t>)</w:t>
      </w:r>
      <w:r>
        <w:rPr>
          <w:rFonts w:eastAsiaTheme="minorHAnsi" w:cs="Times New Roman"/>
          <w:i/>
          <w:szCs w:val="22"/>
          <w:vertAlign w:val="subscript"/>
        </w:rPr>
        <w:t>n(</w:t>
      </w:r>
      <w:proofErr w:type="spellStart"/>
      <w:r>
        <w:rPr>
          <w:rFonts w:eastAsiaTheme="minorHAnsi" w:cs="Times New Roman"/>
          <w:i/>
          <w:szCs w:val="22"/>
          <w:vertAlign w:val="subscript"/>
        </w:rPr>
        <w:t>ijm</w:t>
      </w:r>
      <w:proofErr w:type="spellEnd"/>
      <w:r w:rsidRPr="00BA3F3D">
        <w:rPr>
          <w:rFonts w:eastAsiaTheme="minorHAnsi" w:cs="Times New Roman"/>
          <w:i/>
          <w:szCs w:val="22"/>
          <w:vertAlign w:val="subscript"/>
        </w:rPr>
        <w:t>)</w:t>
      </w:r>
      <w:r w:rsidRPr="00BA3F3D">
        <w:rPr>
          <w:rFonts w:eastAsiaTheme="minorHAnsi" w:cs="Times New Roman"/>
          <w:szCs w:val="22"/>
          <w:vertAlign w:val="subscript"/>
        </w:rPr>
        <w:t xml:space="preserve"> </w:t>
      </w:r>
      <w:r w:rsidRPr="00BA3F3D">
        <w:rPr>
          <w:rFonts w:eastAsiaTheme="minorHAnsi" w:cs="Times New Roman"/>
          <w:szCs w:val="22"/>
        </w:rPr>
        <w:t xml:space="preserve">+ </w:t>
      </w:r>
      <w:r>
        <w:rPr>
          <w:rFonts w:eastAsiaTheme="minorHAnsi" w:cs="Times New Roman"/>
          <w:i/>
          <w:szCs w:val="22"/>
        </w:rPr>
        <w:t>B(STL</w:t>
      </w:r>
      <w:r w:rsidRPr="00BA3F3D">
        <w:rPr>
          <w:rFonts w:eastAsiaTheme="minorHAnsi" w:cs="Times New Roman"/>
          <w:i/>
          <w:szCs w:val="22"/>
        </w:rPr>
        <w:t>)</w:t>
      </w:r>
      <w:r>
        <w:rPr>
          <w:rFonts w:eastAsiaTheme="minorHAnsi" w:cs="Times New Roman"/>
          <w:i/>
          <w:szCs w:val="22"/>
          <w:vertAlign w:val="subscript"/>
        </w:rPr>
        <w:t>n</w:t>
      </w:r>
      <w:r w:rsidRPr="00BA3F3D">
        <w:rPr>
          <w:rFonts w:eastAsiaTheme="minorHAnsi" w:cs="Times New Roman"/>
          <w:i/>
          <w:szCs w:val="22"/>
          <w:vertAlign w:val="subscript"/>
        </w:rPr>
        <w:t>(</w:t>
      </w:r>
      <w:proofErr w:type="spellStart"/>
      <w:r>
        <w:rPr>
          <w:rFonts w:eastAsiaTheme="minorHAnsi" w:cs="Times New Roman"/>
          <w:i/>
          <w:szCs w:val="22"/>
          <w:vertAlign w:val="subscript"/>
        </w:rPr>
        <w:t>ijlm</w:t>
      </w:r>
      <w:proofErr w:type="spellEnd"/>
      <w:r w:rsidRPr="00BA3F3D">
        <w:rPr>
          <w:rFonts w:eastAsiaTheme="minorHAnsi" w:cs="Times New Roman"/>
          <w:i/>
          <w:szCs w:val="22"/>
          <w:vertAlign w:val="subscript"/>
        </w:rPr>
        <w:t xml:space="preserve">) </w:t>
      </w:r>
      <w:r w:rsidRPr="00BA3F3D">
        <w:rPr>
          <w:rFonts w:eastAsiaTheme="minorHAnsi" w:cs="Times New Roman"/>
          <w:szCs w:val="22"/>
        </w:rPr>
        <w:t>+</w:t>
      </w:r>
      <w:r w:rsidRPr="00BA3F3D">
        <w:rPr>
          <w:rFonts w:eastAsiaTheme="minorHAnsi" w:cs="Times New Roman"/>
          <w:i/>
          <w:szCs w:val="22"/>
        </w:rPr>
        <w:t xml:space="preserve"> </w:t>
      </w:r>
      <w:proofErr w:type="spellStart"/>
      <w:r w:rsidRPr="00BA3F3D">
        <w:rPr>
          <w:rFonts w:eastAsiaTheme="minorHAnsi" w:cs="Times New Roman"/>
          <w:i/>
          <w:szCs w:val="22"/>
        </w:rPr>
        <w:t>e</w:t>
      </w:r>
      <w:r>
        <w:rPr>
          <w:rFonts w:eastAsiaTheme="minorHAnsi" w:cs="Times New Roman"/>
          <w:i/>
          <w:szCs w:val="22"/>
          <w:vertAlign w:val="subscript"/>
        </w:rPr>
        <w:t>o</w:t>
      </w:r>
      <w:proofErr w:type="spellEnd"/>
      <w:r>
        <w:rPr>
          <w:rFonts w:eastAsiaTheme="minorHAnsi" w:cs="Times New Roman"/>
          <w:i/>
          <w:szCs w:val="22"/>
          <w:vertAlign w:val="subscript"/>
        </w:rPr>
        <w:t>(</w:t>
      </w:r>
      <w:proofErr w:type="spellStart"/>
      <w:r>
        <w:rPr>
          <w:rFonts w:eastAsiaTheme="minorHAnsi" w:cs="Times New Roman"/>
          <w:i/>
          <w:szCs w:val="22"/>
          <w:vertAlign w:val="subscript"/>
        </w:rPr>
        <w:t>ijlmn</w:t>
      </w:r>
      <w:proofErr w:type="spellEnd"/>
      <w:r>
        <w:rPr>
          <w:rFonts w:eastAsiaTheme="minorHAnsi" w:cs="Times New Roman"/>
          <w:i/>
          <w:szCs w:val="22"/>
          <w:vertAlign w:val="subscript"/>
        </w:rPr>
        <w:t>)</w:t>
      </w:r>
      <w:r w:rsidRPr="00991D2F">
        <w:rPr>
          <w:rFonts w:eastAsiaTheme="minorHAnsi" w:cs="Times New Roman"/>
          <w:szCs w:val="22"/>
        </w:rPr>
        <w:t xml:space="preserve"> </w:t>
      </w:r>
    </w:p>
    <w:p w14:paraId="4FFDCE81" w14:textId="77777777" w:rsidR="00A95F60" w:rsidRPr="00BA3F3D" w:rsidRDefault="00A95F60" w:rsidP="00A95F60">
      <w:pPr>
        <w:rPr>
          <w:rFonts w:eastAsiaTheme="minorHAnsi" w:cs="Times New Roman"/>
          <w:szCs w:val="22"/>
        </w:rPr>
      </w:pPr>
      <w:proofErr w:type="gramStart"/>
      <w:r w:rsidRPr="00BA3F3D">
        <w:rPr>
          <w:rFonts w:eastAsiaTheme="minorHAnsi" w:cs="Times New Roman"/>
          <w:szCs w:val="22"/>
        </w:rPr>
        <w:t>where</w:t>
      </w:r>
      <w:proofErr w:type="gramEnd"/>
      <w:r w:rsidRPr="00BA3F3D">
        <w:rPr>
          <w:rFonts w:eastAsiaTheme="minorHAnsi" w:cs="Times New Roman"/>
          <w:szCs w:val="22"/>
        </w:rPr>
        <w:t>:</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1"/>
        <w:gridCol w:w="6981"/>
      </w:tblGrid>
      <w:tr w:rsidR="00A95F60" w:rsidRPr="00BA3F3D" w14:paraId="14888ADF" w14:textId="77777777" w:rsidTr="005E3C48">
        <w:tc>
          <w:tcPr>
            <w:tcW w:w="1551" w:type="dxa"/>
          </w:tcPr>
          <w:p w14:paraId="56E8176F" w14:textId="77777777" w:rsidR="00A95F60" w:rsidRPr="00BA3F3D" w:rsidRDefault="00A95F60" w:rsidP="005E3C48">
            <w:pPr>
              <w:rPr>
                <w:rFonts w:cs="Times New Roman"/>
                <w:i/>
                <w:szCs w:val="22"/>
                <w:vertAlign w:val="subscript"/>
              </w:rPr>
            </w:pPr>
            <w:proofErr w:type="spellStart"/>
            <w:r w:rsidRPr="00BA3F3D">
              <w:rPr>
                <w:rFonts w:cs="Times New Roman"/>
                <w:i/>
                <w:szCs w:val="22"/>
              </w:rPr>
              <w:t>Y</w:t>
            </w:r>
            <w:r>
              <w:rPr>
                <w:rFonts w:cs="Times New Roman"/>
                <w:i/>
                <w:szCs w:val="22"/>
                <w:vertAlign w:val="subscript"/>
              </w:rPr>
              <w:t>ijlmno</w:t>
            </w:r>
            <w:proofErr w:type="spellEnd"/>
          </w:p>
        </w:tc>
        <w:tc>
          <w:tcPr>
            <w:tcW w:w="6981" w:type="dxa"/>
          </w:tcPr>
          <w:p w14:paraId="20D7DEBC" w14:textId="77777777" w:rsidR="00A95F60" w:rsidRPr="00BC2196" w:rsidRDefault="00A95F60" w:rsidP="005E3C48">
            <w:pPr>
              <w:rPr>
                <w:rFonts w:cs="Times New Roman"/>
                <w:szCs w:val="22"/>
              </w:rPr>
            </w:pPr>
            <w:r w:rsidRPr="00BA3F3D">
              <w:rPr>
                <w:rFonts w:cs="Times New Roman"/>
                <w:szCs w:val="22"/>
              </w:rPr>
              <w:t xml:space="preserve">= observed value of a given </w:t>
            </w:r>
            <w:r>
              <w:rPr>
                <w:rFonts w:cs="Times New Roman"/>
                <w:szCs w:val="22"/>
              </w:rPr>
              <w:t>trait</w:t>
            </w:r>
            <w:r w:rsidRPr="00BA3F3D">
              <w:rPr>
                <w:rFonts w:cs="Times New Roman"/>
                <w:szCs w:val="22"/>
              </w:rPr>
              <w:t xml:space="preserve"> for </w:t>
            </w:r>
            <w:r>
              <w:rPr>
                <w:rFonts w:cs="Times New Roman"/>
                <w:szCs w:val="22"/>
              </w:rPr>
              <w:t xml:space="preserve">the </w:t>
            </w:r>
            <w:proofErr w:type="spellStart"/>
            <w:r>
              <w:rPr>
                <w:rFonts w:cs="Times New Roman"/>
                <w:i/>
                <w:szCs w:val="22"/>
              </w:rPr>
              <w:t>o</w:t>
            </w:r>
            <w:r w:rsidRPr="008B4003">
              <w:rPr>
                <w:rFonts w:cs="Times New Roman"/>
                <w:i/>
                <w:szCs w:val="22"/>
              </w:rPr>
              <w:t>th</w:t>
            </w:r>
            <w:proofErr w:type="spellEnd"/>
            <w:r>
              <w:rPr>
                <w:rFonts w:cs="Times New Roman"/>
                <w:szCs w:val="22"/>
              </w:rPr>
              <w:t xml:space="preserve"> replication within the </w:t>
            </w:r>
            <w:r>
              <w:rPr>
                <w:rFonts w:cs="Times New Roman"/>
                <w:i/>
                <w:szCs w:val="22"/>
              </w:rPr>
              <w:t>n</w:t>
            </w:r>
            <w:r w:rsidRPr="008B4003">
              <w:rPr>
                <w:rFonts w:cs="Times New Roman"/>
                <w:i/>
                <w:szCs w:val="22"/>
              </w:rPr>
              <w:t>th</w:t>
            </w:r>
            <w:r>
              <w:rPr>
                <w:rFonts w:cs="Times New Roman"/>
                <w:szCs w:val="22"/>
              </w:rPr>
              <w:t xml:space="preserve"> block within the </w:t>
            </w:r>
            <w:proofErr w:type="spellStart"/>
            <w:r>
              <w:rPr>
                <w:rFonts w:cs="Times New Roman"/>
                <w:i/>
                <w:szCs w:val="22"/>
              </w:rPr>
              <w:t>m</w:t>
            </w:r>
            <w:r w:rsidRPr="008B4003">
              <w:rPr>
                <w:rFonts w:cs="Times New Roman"/>
                <w:i/>
                <w:szCs w:val="22"/>
              </w:rPr>
              <w:t>th</w:t>
            </w:r>
            <w:proofErr w:type="spellEnd"/>
            <w:r>
              <w:rPr>
                <w:rFonts w:cs="Times New Roman"/>
                <w:szCs w:val="22"/>
              </w:rPr>
              <w:t xml:space="preserve"> location within the </w:t>
            </w:r>
            <w:proofErr w:type="spellStart"/>
            <w:r>
              <w:rPr>
                <w:rFonts w:cs="Times New Roman"/>
                <w:i/>
                <w:szCs w:val="22"/>
              </w:rPr>
              <w:t>l</w:t>
            </w:r>
            <w:r w:rsidRPr="008B4003">
              <w:rPr>
                <w:rFonts w:cs="Times New Roman"/>
                <w:i/>
                <w:szCs w:val="22"/>
              </w:rPr>
              <w:t>th</w:t>
            </w:r>
            <w:proofErr w:type="spellEnd"/>
            <w:r>
              <w:rPr>
                <w:rFonts w:cs="Times New Roman"/>
                <w:szCs w:val="22"/>
              </w:rPr>
              <w:t xml:space="preserve"> year of the combination of the </w:t>
            </w:r>
            <w:proofErr w:type="spellStart"/>
            <w:r w:rsidRPr="009B34EB">
              <w:rPr>
                <w:rFonts w:cs="Times New Roman"/>
                <w:i/>
                <w:szCs w:val="22"/>
              </w:rPr>
              <w:t>ith</w:t>
            </w:r>
            <w:proofErr w:type="spellEnd"/>
            <w:r>
              <w:rPr>
                <w:rFonts w:cs="Times New Roman"/>
                <w:szCs w:val="22"/>
              </w:rPr>
              <w:t xml:space="preserve"> male parent and </w:t>
            </w:r>
            <w:proofErr w:type="spellStart"/>
            <w:r>
              <w:rPr>
                <w:rFonts w:cs="Times New Roman"/>
                <w:i/>
                <w:szCs w:val="22"/>
              </w:rPr>
              <w:t>j</w:t>
            </w:r>
            <w:r w:rsidRPr="009B34EB">
              <w:rPr>
                <w:rFonts w:cs="Times New Roman"/>
                <w:i/>
                <w:szCs w:val="22"/>
              </w:rPr>
              <w:t>th</w:t>
            </w:r>
            <w:proofErr w:type="spellEnd"/>
            <w:r>
              <w:rPr>
                <w:rFonts w:cs="Times New Roman"/>
                <w:szCs w:val="22"/>
              </w:rPr>
              <w:t xml:space="preserve"> female parent</w:t>
            </w:r>
          </w:p>
        </w:tc>
      </w:tr>
      <w:tr w:rsidR="00A95F60" w:rsidRPr="00BA3F3D" w14:paraId="4FD1D641" w14:textId="77777777" w:rsidTr="005E3C48">
        <w:tc>
          <w:tcPr>
            <w:tcW w:w="1551" w:type="dxa"/>
          </w:tcPr>
          <w:p w14:paraId="554445CE" w14:textId="77777777" w:rsidR="00A95F60" w:rsidRPr="00BA3F3D" w:rsidRDefault="00A95F60" w:rsidP="005E3C48">
            <w:pPr>
              <w:rPr>
                <w:rFonts w:cs="Times New Roman"/>
                <w:i/>
                <w:szCs w:val="22"/>
              </w:rPr>
            </w:pPr>
            <w:r w:rsidRPr="00BA3F3D">
              <w:rPr>
                <w:rFonts w:cs="Times New Roman"/>
                <w:i/>
                <w:szCs w:val="22"/>
              </w:rPr>
              <w:t>µ</w:t>
            </w:r>
          </w:p>
        </w:tc>
        <w:tc>
          <w:tcPr>
            <w:tcW w:w="6981" w:type="dxa"/>
          </w:tcPr>
          <w:p w14:paraId="3736E3E7" w14:textId="77777777" w:rsidR="00A95F60" w:rsidRPr="00BA3F3D" w:rsidRDefault="00A95F60" w:rsidP="005E3C48">
            <w:pPr>
              <w:rPr>
                <w:rFonts w:cs="Times New Roman"/>
                <w:szCs w:val="22"/>
              </w:rPr>
            </w:pPr>
            <w:r w:rsidRPr="00BA3F3D">
              <w:rPr>
                <w:rFonts w:cs="Times New Roman"/>
                <w:szCs w:val="22"/>
              </w:rPr>
              <w:t>= overall population mean of a given trait</w:t>
            </w:r>
          </w:p>
        </w:tc>
      </w:tr>
      <w:tr w:rsidR="00A95F60" w:rsidRPr="00BA3F3D" w14:paraId="133A0316" w14:textId="77777777" w:rsidTr="005E3C48">
        <w:tc>
          <w:tcPr>
            <w:tcW w:w="1551" w:type="dxa"/>
          </w:tcPr>
          <w:p w14:paraId="40156470" w14:textId="77777777" w:rsidR="00A95F60" w:rsidRPr="00BA3F3D" w:rsidRDefault="00A95F60" w:rsidP="005E3C48">
            <w:pPr>
              <w:rPr>
                <w:rFonts w:cs="Times New Roman"/>
                <w:i/>
                <w:szCs w:val="22"/>
              </w:rPr>
            </w:pPr>
            <w:proofErr w:type="spellStart"/>
            <w:r>
              <w:rPr>
                <w:rFonts w:cs="Times New Roman"/>
                <w:i/>
                <w:szCs w:val="22"/>
              </w:rPr>
              <w:t>G</w:t>
            </w:r>
            <w:r w:rsidRPr="00BA3F3D">
              <w:rPr>
                <w:rFonts w:cs="Times New Roman"/>
                <w:i/>
                <w:szCs w:val="22"/>
                <w:vertAlign w:val="subscript"/>
              </w:rPr>
              <w:t>i</w:t>
            </w:r>
            <w:proofErr w:type="spellEnd"/>
            <w:r>
              <w:rPr>
                <w:rFonts w:cs="Times New Roman"/>
                <w:i/>
                <w:szCs w:val="22"/>
              </w:rPr>
              <w:t xml:space="preserve"> </w:t>
            </w:r>
          </w:p>
        </w:tc>
        <w:tc>
          <w:tcPr>
            <w:tcW w:w="6981" w:type="dxa"/>
          </w:tcPr>
          <w:p w14:paraId="0FBAFAF3" w14:textId="77777777" w:rsidR="00A95F60" w:rsidRPr="00BA3F3D" w:rsidRDefault="00A95F60" w:rsidP="005E3C48">
            <w:pPr>
              <w:rPr>
                <w:rFonts w:cs="Times New Roman"/>
                <w:szCs w:val="22"/>
              </w:rPr>
            </w:pPr>
            <w:r>
              <w:rPr>
                <w:rFonts w:cs="Times New Roman"/>
                <w:szCs w:val="22"/>
              </w:rPr>
              <w:t xml:space="preserve">= effect of the </w:t>
            </w:r>
            <w:proofErr w:type="spellStart"/>
            <w:r w:rsidRPr="009B34EB">
              <w:rPr>
                <w:rFonts w:cs="Times New Roman"/>
                <w:i/>
                <w:szCs w:val="22"/>
              </w:rPr>
              <w:t>ith</w:t>
            </w:r>
            <w:proofErr w:type="spellEnd"/>
            <w:r>
              <w:rPr>
                <w:rFonts w:cs="Times New Roman"/>
                <w:szCs w:val="22"/>
              </w:rPr>
              <w:t xml:space="preserve"> male parent, </w:t>
            </w:r>
            <w:proofErr w:type="spellStart"/>
            <w:r w:rsidRPr="009B34EB">
              <w:rPr>
                <w:rFonts w:cs="Times New Roman"/>
                <w:i/>
                <w:szCs w:val="22"/>
              </w:rPr>
              <w:t>i</w:t>
            </w:r>
            <w:proofErr w:type="spellEnd"/>
            <w:r>
              <w:rPr>
                <w:rFonts w:cs="Times New Roman"/>
                <w:szCs w:val="22"/>
              </w:rPr>
              <w:t xml:space="preserve"> = 1 to 8</w:t>
            </w:r>
          </w:p>
        </w:tc>
      </w:tr>
      <w:tr w:rsidR="00A95F60" w:rsidRPr="00BA3F3D" w14:paraId="749986AE" w14:textId="77777777" w:rsidTr="005E3C48">
        <w:tc>
          <w:tcPr>
            <w:tcW w:w="1551" w:type="dxa"/>
          </w:tcPr>
          <w:p w14:paraId="33952F6C" w14:textId="77777777" w:rsidR="00A95F60" w:rsidRPr="00BA3F3D" w:rsidRDefault="00A95F60" w:rsidP="005E3C48">
            <w:pPr>
              <w:rPr>
                <w:rFonts w:cs="Times New Roman"/>
                <w:i/>
                <w:szCs w:val="22"/>
              </w:rPr>
            </w:pPr>
            <w:proofErr w:type="spellStart"/>
            <w:r>
              <w:rPr>
                <w:rFonts w:cs="Times New Roman"/>
                <w:i/>
                <w:szCs w:val="22"/>
              </w:rPr>
              <w:t>G</w:t>
            </w:r>
            <w:r>
              <w:rPr>
                <w:rFonts w:cs="Times New Roman"/>
                <w:i/>
                <w:szCs w:val="22"/>
                <w:vertAlign w:val="subscript"/>
              </w:rPr>
              <w:t>j</w:t>
            </w:r>
            <w:proofErr w:type="spellEnd"/>
          </w:p>
        </w:tc>
        <w:tc>
          <w:tcPr>
            <w:tcW w:w="6981" w:type="dxa"/>
          </w:tcPr>
          <w:p w14:paraId="7D490032" w14:textId="77777777" w:rsidR="00A95F60" w:rsidRPr="00BA3F3D" w:rsidRDefault="00A95F60" w:rsidP="005E3C48">
            <w:pPr>
              <w:rPr>
                <w:rFonts w:cs="Times New Roman"/>
                <w:szCs w:val="22"/>
              </w:rPr>
            </w:pPr>
            <w:r>
              <w:rPr>
                <w:rFonts w:cs="Times New Roman"/>
                <w:szCs w:val="22"/>
              </w:rPr>
              <w:t xml:space="preserve">= effect of the </w:t>
            </w:r>
            <w:proofErr w:type="spellStart"/>
            <w:r>
              <w:rPr>
                <w:rFonts w:cs="Times New Roman"/>
                <w:i/>
                <w:szCs w:val="22"/>
              </w:rPr>
              <w:t>j</w:t>
            </w:r>
            <w:r w:rsidRPr="009B34EB">
              <w:rPr>
                <w:rFonts w:cs="Times New Roman"/>
                <w:i/>
                <w:szCs w:val="22"/>
              </w:rPr>
              <w:t>th</w:t>
            </w:r>
            <w:proofErr w:type="spellEnd"/>
            <w:r>
              <w:rPr>
                <w:rFonts w:cs="Times New Roman"/>
                <w:szCs w:val="22"/>
              </w:rPr>
              <w:t xml:space="preserve"> female parent, </w:t>
            </w:r>
            <w:r>
              <w:rPr>
                <w:rFonts w:cs="Times New Roman"/>
                <w:i/>
                <w:szCs w:val="22"/>
              </w:rPr>
              <w:t>j</w:t>
            </w:r>
            <w:r>
              <w:rPr>
                <w:rFonts w:cs="Times New Roman"/>
                <w:szCs w:val="22"/>
              </w:rPr>
              <w:t xml:space="preserve"> = 1 to 8</w:t>
            </w:r>
          </w:p>
        </w:tc>
      </w:tr>
      <w:tr w:rsidR="00A95F60" w:rsidRPr="00BA3F3D" w14:paraId="62069D98" w14:textId="77777777" w:rsidTr="005E3C48">
        <w:tc>
          <w:tcPr>
            <w:tcW w:w="1551" w:type="dxa"/>
          </w:tcPr>
          <w:p w14:paraId="40D0BF9E" w14:textId="77777777" w:rsidR="00A95F60" w:rsidRPr="00BA3F3D" w:rsidRDefault="00A95F60" w:rsidP="005E3C48">
            <w:pPr>
              <w:rPr>
                <w:rFonts w:cs="Times New Roman"/>
                <w:i/>
                <w:szCs w:val="22"/>
                <w:vertAlign w:val="subscript"/>
              </w:rPr>
            </w:pPr>
            <w:proofErr w:type="spellStart"/>
            <w:r>
              <w:rPr>
                <w:rFonts w:cs="Times New Roman"/>
                <w:i/>
                <w:szCs w:val="22"/>
              </w:rPr>
              <w:t>G</w:t>
            </w:r>
            <w:r>
              <w:rPr>
                <w:rFonts w:cs="Times New Roman"/>
                <w:i/>
                <w:szCs w:val="22"/>
                <w:vertAlign w:val="subscript"/>
              </w:rPr>
              <w:t>k</w:t>
            </w:r>
            <w:proofErr w:type="spellEnd"/>
          </w:p>
        </w:tc>
        <w:tc>
          <w:tcPr>
            <w:tcW w:w="6981" w:type="dxa"/>
          </w:tcPr>
          <w:p w14:paraId="2353D45C" w14:textId="77777777" w:rsidR="00A95F60" w:rsidRPr="009B34EB" w:rsidRDefault="00A95F60" w:rsidP="005E3C48">
            <w:pPr>
              <w:jc w:val="both"/>
              <w:rPr>
                <w:rFonts w:cs="Times New Roman"/>
                <w:szCs w:val="22"/>
              </w:rPr>
            </w:pPr>
            <w:r>
              <w:rPr>
                <w:rFonts w:cs="Times New Roman"/>
                <w:szCs w:val="22"/>
              </w:rPr>
              <w:t>= Since parents plants can be used as both male and female parents, GCA was modeled using a multimember effect in PROC GLIMMIX to combine male (</w:t>
            </w:r>
            <w:proofErr w:type="spellStart"/>
            <w:r w:rsidRPr="009B34EB">
              <w:rPr>
                <w:rFonts w:cs="Times New Roman"/>
                <w:i/>
                <w:szCs w:val="22"/>
              </w:rPr>
              <w:t>G</w:t>
            </w:r>
            <w:r w:rsidRPr="009B34EB">
              <w:rPr>
                <w:rFonts w:cs="Times New Roman"/>
                <w:i/>
                <w:szCs w:val="22"/>
                <w:vertAlign w:val="subscript"/>
              </w:rPr>
              <w:t>i</w:t>
            </w:r>
            <w:proofErr w:type="spellEnd"/>
            <w:r>
              <w:rPr>
                <w:rFonts w:cs="Times New Roman"/>
                <w:i/>
                <w:szCs w:val="22"/>
              </w:rPr>
              <w:t>)</w:t>
            </w:r>
            <w:r>
              <w:rPr>
                <w:rFonts w:cs="Times New Roman"/>
                <w:szCs w:val="22"/>
              </w:rPr>
              <w:t xml:space="preserve"> and female (</w:t>
            </w:r>
            <w:proofErr w:type="spellStart"/>
            <w:r>
              <w:rPr>
                <w:rFonts w:cs="Times New Roman"/>
                <w:szCs w:val="22"/>
              </w:rPr>
              <w:t>G</w:t>
            </w:r>
            <w:r w:rsidRPr="009B34EB">
              <w:rPr>
                <w:rFonts w:cs="Times New Roman"/>
                <w:i/>
                <w:szCs w:val="22"/>
                <w:vertAlign w:val="subscript"/>
              </w:rPr>
              <w:t>j</w:t>
            </w:r>
            <w:proofErr w:type="spellEnd"/>
            <w:r>
              <w:rPr>
                <w:rFonts w:cs="Times New Roman"/>
                <w:i/>
                <w:szCs w:val="22"/>
              </w:rPr>
              <w:t>)</w:t>
            </w:r>
            <w:r>
              <w:rPr>
                <w:rFonts w:cs="Times New Roman"/>
                <w:szCs w:val="22"/>
              </w:rPr>
              <w:t xml:space="preserve"> effects into a single GCA estimate for each parental line, </w:t>
            </w:r>
            <w:proofErr w:type="spellStart"/>
            <w:r>
              <w:rPr>
                <w:rFonts w:cs="Times New Roman"/>
                <w:i/>
                <w:szCs w:val="22"/>
              </w:rPr>
              <w:t>G</w:t>
            </w:r>
            <w:r>
              <w:rPr>
                <w:rFonts w:cs="Times New Roman"/>
                <w:i/>
                <w:szCs w:val="22"/>
                <w:vertAlign w:val="subscript"/>
              </w:rPr>
              <w:t>k</w:t>
            </w:r>
            <w:proofErr w:type="spellEnd"/>
            <w:r>
              <w:rPr>
                <w:rFonts w:cs="Times New Roman"/>
                <w:i/>
                <w:szCs w:val="22"/>
              </w:rPr>
              <w:t xml:space="preserve"> = </w:t>
            </w:r>
            <w:proofErr w:type="spellStart"/>
            <w:r>
              <w:rPr>
                <w:rFonts w:cs="Times New Roman"/>
                <w:i/>
                <w:szCs w:val="22"/>
              </w:rPr>
              <w:t>G</w:t>
            </w:r>
            <w:r w:rsidRPr="00BA3F3D">
              <w:rPr>
                <w:rFonts w:cs="Times New Roman"/>
                <w:i/>
                <w:szCs w:val="22"/>
                <w:vertAlign w:val="subscript"/>
              </w:rPr>
              <w:t>i</w:t>
            </w:r>
            <w:proofErr w:type="spellEnd"/>
            <w:r>
              <w:rPr>
                <w:rFonts w:cs="Times New Roman"/>
                <w:szCs w:val="22"/>
                <w:vertAlign w:val="subscript"/>
              </w:rPr>
              <w:t xml:space="preserve"> </w:t>
            </w:r>
            <w:r>
              <w:rPr>
                <w:rFonts w:cs="Times New Roman"/>
                <w:szCs w:val="22"/>
              </w:rPr>
              <w:t xml:space="preserve">+ </w:t>
            </w:r>
            <w:proofErr w:type="spellStart"/>
            <w:r>
              <w:rPr>
                <w:rFonts w:cs="Times New Roman"/>
                <w:szCs w:val="22"/>
              </w:rPr>
              <w:t>G</w:t>
            </w:r>
            <w:r w:rsidRPr="009B34EB">
              <w:rPr>
                <w:rFonts w:cs="Times New Roman"/>
                <w:i/>
                <w:szCs w:val="22"/>
                <w:vertAlign w:val="subscript"/>
              </w:rPr>
              <w:t>j</w:t>
            </w:r>
            <w:proofErr w:type="spellEnd"/>
          </w:p>
        </w:tc>
      </w:tr>
      <w:tr w:rsidR="00A95F60" w:rsidRPr="00BA3F3D" w14:paraId="49BF6DC0" w14:textId="77777777" w:rsidTr="005E3C48">
        <w:tc>
          <w:tcPr>
            <w:tcW w:w="1551" w:type="dxa"/>
          </w:tcPr>
          <w:p w14:paraId="32D8B7B2" w14:textId="77777777" w:rsidR="00A95F60" w:rsidRPr="00BA3F3D" w:rsidRDefault="00A95F60" w:rsidP="005E3C48">
            <w:pPr>
              <w:rPr>
                <w:rFonts w:cs="Times New Roman"/>
                <w:i/>
                <w:szCs w:val="22"/>
                <w:vertAlign w:val="subscript"/>
              </w:rPr>
            </w:pPr>
            <w:proofErr w:type="spellStart"/>
            <w:r>
              <w:rPr>
                <w:rFonts w:cs="Times New Roman"/>
                <w:i/>
                <w:szCs w:val="22"/>
              </w:rPr>
              <w:t>S</w:t>
            </w:r>
            <w:r w:rsidRPr="009B34EB">
              <w:rPr>
                <w:rFonts w:cs="Times New Roman"/>
                <w:i/>
                <w:szCs w:val="22"/>
                <w:vertAlign w:val="subscript"/>
              </w:rPr>
              <w:t>i</w:t>
            </w:r>
            <w:r w:rsidRPr="00BA3F3D">
              <w:rPr>
                <w:rFonts w:cs="Times New Roman"/>
                <w:i/>
                <w:szCs w:val="22"/>
                <w:vertAlign w:val="subscript"/>
              </w:rPr>
              <w:t>j</w:t>
            </w:r>
            <w:proofErr w:type="spellEnd"/>
          </w:p>
        </w:tc>
        <w:tc>
          <w:tcPr>
            <w:tcW w:w="6981" w:type="dxa"/>
          </w:tcPr>
          <w:p w14:paraId="3F0BFB96" w14:textId="77777777" w:rsidR="00A95F60" w:rsidRPr="00BA3F3D" w:rsidRDefault="00A95F60" w:rsidP="005E3C48">
            <w:pPr>
              <w:jc w:val="both"/>
              <w:rPr>
                <w:rFonts w:cs="Times New Roman"/>
                <w:szCs w:val="22"/>
              </w:rPr>
            </w:pPr>
            <w:r w:rsidRPr="00BA3F3D">
              <w:rPr>
                <w:rFonts w:cs="Times New Roman"/>
                <w:szCs w:val="22"/>
              </w:rPr>
              <w:t xml:space="preserve">= </w:t>
            </w:r>
            <w:r>
              <w:rPr>
                <w:rFonts w:cs="Times New Roman"/>
                <w:szCs w:val="22"/>
              </w:rPr>
              <w:t xml:space="preserve">effect of the interaction of male parent </w:t>
            </w:r>
            <w:proofErr w:type="spellStart"/>
            <w:r>
              <w:rPr>
                <w:rFonts w:cs="Times New Roman"/>
                <w:i/>
                <w:szCs w:val="22"/>
              </w:rPr>
              <w:t>i</w:t>
            </w:r>
            <w:proofErr w:type="spellEnd"/>
            <w:r>
              <w:rPr>
                <w:rFonts w:cs="Times New Roman"/>
                <w:szCs w:val="22"/>
              </w:rPr>
              <w:t xml:space="preserve"> and female parent </w:t>
            </w:r>
            <w:r>
              <w:rPr>
                <w:rFonts w:cs="Times New Roman"/>
                <w:i/>
                <w:szCs w:val="22"/>
              </w:rPr>
              <w:t xml:space="preserve">j </w:t>
            </w:r>
            <w:r>
              <w:rPr>
                <w:rFonts w:cs="Times New Roman"/>
                <w:szCs w:val="22"/>
              </w:rPr>
              <w:t xml:space="preserve"> where parental order is retained and </w:t>
            </w:r>
            <w:proofErr w:type="spellStart"/>
            <w:r>
              <w:rPr>
                <w:rFonts w:cs="Times New Roman"/>
                <w:szCs w:val="22"/>
              </w:rPr>
              <w:t>selfs</w:t>
            </w:r>
            <w:proofErr w:type="spellEnd"/>
            <w:r>
              <w:rPr>
                <w:rFonts w:cs="Times New Roman"/>
                <w:szCs w:val="22"/>
              </w:rPr>
              <w:t xml:space="preserve"> are excluded, </w:t>
            </w:r>
            <w:proofErr w:type="spellStart"/>
            <w:r>
              <w:rPr>
                <w:rFonts w:cs="Times New Roman"/>
                <w:i/>
                <w:szCs w:val="22"/>
              </w:rPr>
              <w:t>ij</w:t>
            </w:r>
            <w:proofErr w:type="spellEnd"/>
            <w:r>
              <w:rPr>
                <w:rFonts w:cs="Times New Roman"/>
                <w:szCs w:val="22"/>
              </w:rPr>
              <w:t xml:space="preserve"> = (8)(8-1) = 56</w:t>
            </w:r>
            <w:r w:rsidRPr="00BA3F3D">
              <w:rPr>
                <w:rFonts w:cs="Times New Roman"/>
                <w:szCs w:val="22"/>
              </w:rPr>
              <w:t xml:space="preserve"> </w:t>
            </w:r>
          </w:p>
        </w:tc>
      </w:tr>
      <w:tr w:rsidR="00A95F60" w:rsidRPr="00BA3F3D" w14:paraId="6AB9F9DC" w14:textId="77777777" w:rsidTr="005E3C48">
        <w:tc>
          <w:tcPr>
            <w:tcW w:w="1551" w:type="dxa"/>
          </w:tcPr>
          <w:p w14:paraId="4FE24ACC" w14:textId="77777777" w:rsidR="00A95F60" w:rsidRPr="00BA3F3D" w:rsidRDefault="00A95F60" w:rsidP="005E3C48">
            <w:pPr>
              <w:rPr>
                <w:rFonts w:cs="Times New Roman"/>
                <w:i/>
                <w:szCs w:val="22"/>
                <w:vertAlign w:val="subscript"/>
              </w:rPr>
            </w:pPr>
            <w:r w:rsidRPr="00BA3F3D">
              <w:rPr>
                <w:rFonts w:cs="Times New Roman"/>
                <w:i/>
                <w:szCs w:val="22"/>
              </w:rPr>
              <w:t>T</w:t>
            </w:r>
            <w:r>
              <w:rPr>
                <w:rFonts w:cs="Times New Roman"/>
                <w:i/>
                <w:szCs w:val="22"/>
                <w:vertAlign w:val="subscript"/>
              </w:rPr>
              <w:t>l</w:t>
            </w:r>
          </w:p>
        </w:tc>
        <w:tc>
          <w:tcPr>
            <w:tcW w:w="6981" w:type="dxa"/>
          </w:tcPr>
          <w:p w14:paraId="375C4B1A" w14:textId="77777777" w:rsidR="00A95F60" w:rsidRPr="00BA3F3D" w:rsidRDefault="00A95F60" w:rsidP="005E3C48">
            <w:pPr>
              <w:rPr>
                <w:rFonts w:cs="Times New Roman"/>
                <w:szCs w:val="22"/>
              </w:rPr>
            </w:pPr>
            <w:r w:rsidRPr="00BA3F3D">
              <w:rPr>
                <w:rFonts w:cs="Times New Roman"/>
                <w:szCs w:val="22"/>
              </w:rPr>
              <w:t xml:space="preserve">=effect of year </w:t>
            </w:r>
            <w:r>
              <w:rPr>
                <w:rFonts w:cs="Times New Roman"/>
                <w:i/>
                <w:szCs w:val="22"/>
              </w:rPr>
              <w:t>l</w:t>
            </w:r>
            <w:r w:rsidRPr="00BA3F3D">
              <w:rPr>
                <w:rFonts w:cs="Times New Roman"/>
                <w:szCs w:val="22"/>
              </w:rPr>
              <w:t xml:space="preserve">, </w:t>
            </w:r>
            <w:r>
              <w:rPr>
                <w:rFonts w:cs="Times New Roman"/>
                <w:i/>
                <w:szCs w:val="22"/>
              </w:rPr>
              <w:t>l</w:t>
            </w:r>
            <w:r w:rsidRPr="00BA3F3D">
              <w:rPr>
                <w:rFonts w:cs="Times New Roman"/>
                <w:i/>
                <w:szCs w:val="22"/>
              </w:rPr>
              <w:t xml:space="preserve"> </w:t>
            </w:r>
            <w:r w:rsidRPr="00BA3F3D">
              <w:rPr>
                <w:rFonts w:cs="Times New Roman"/>
                <w:szCs w:val="22"/>
              </w:rPr>
              <w:t>= 2012, 2013</w:t>
            </w:r>
          </w:p>
        </w:tc>
      </w:tr>
      <w:tr w:rsidR="00A95F60" w:rsidRPr="00BA3F3D" w14:paraId="7A0CBF36" w14:textId="77777777" w:rsidTr="005E3C48">
        <w:tc>
          <w:tcPr>
            <w:tcW w:w="1551" w:type="dxa"/>
          </w:tcPr>
          <w:p w14:paraId="7BB36FD1" w14:textId="77777777" w:rsidR="00A95F60" w:rsidRPr="00BA3F3D" w:rsidRDefault="00A95F60" w:rsidP="005E3C48">
            <w:pPr>
              <w:rPr>
                <w:rFonts w:cs="Times New Roman"/>
                <w:i/>
                <w:szCs w:val="22"/>
                <w:vertAlign w:val="subscript"/>
              </w:rPr>
            </w:pPr>
            <w:r w:rsidRPr="00BA3F3D">
              <w:rPr>
                <w:rFonts w:cs="Times New Roman"/>
                <w:i/>
                <w:szCs w:val="22"/>
              </w:rPr>
              <w:lastRenderedPageBreak/>
              <w:t>L</w:t>
            </w:r>
            <w:r>
              <w:rPr>
                <w:rFonts w:cs="Times New Roman"/>
                <w:i/>
                <w:szCs w:val="22"/>
                <w:vertAlign w:val="subscript"/>
              </w:rPr>
              <w:t>m</w:t>
            </w:r>
          </w:p>
        </w:tc>
        <w:tc>
          <w:tcPr>
            <w:tcW w:w="6981" w:type="dxa"/>
          </w:tcPr>
          <w:p w14:paraId="2DD5B1A4" w14:textId="77777777" w:rsidR="00A95F60" w:rsidRPr="00BA3F3D" w:rsidRDefault="00A95F60" w:rsidP="005E3C48">
            <w:pPr>
              <w:rPr>
                <w:rFonts w:cs="Times New Roman"/>
                <w:szCs w:val="22"/>
              </w:rPr>
            </w:pPr>
            <w:r w:rsidRPr="00BA3F3D">
              <w:rPr>
                <w:rFonts w:cs="Times New Roman"/>
                <w:szCs w:val="22"/>
              </w:rPr>
              <w:t xml:space="preserve">= effect of location </w:t>
            </w:r>
            <w:r>
              <w:rPr>
                <w:rFonts w:cs="Times New Roman"/>
                <w:i/>
                <w:szCs w:val="22"/>
              </w:rPr>
              <w:t>m</w:t>
            </w:r>
            <w:r w:rsidRPr="00BA3F3D">
              <w:rPr>
                <w:rFonts w:cs="Times New Roman"/>
                <w:szCs w:val="22"/>
              </w:rPr>
              <w:t xml:space="preserve">, </w:t>
            </w:r>
            <w:r>
              <w:rPr>
                <w:rFonts w:cs="Times New Roman"/>
                <w:i/>
                <w:szCs w:val="22"/>
              </w:rPr>
              <w:t>m</w:t>
            </w:r>
            <w:r w:rsidRPr="00BA3F3D">
              <w:rPr>
                <w:rFonts w:cs="Times New Roman"/>
                <w:i/>
                <w:szCs w:val="22"/>
              </w:rPr>
              <w:t xml:space="preserve"> </w:t>
            </w:r>
            <w:r>
              <w:rPr>
                <w:rFonts w:cs="Times New Roman"/>
                <w:szCs w:val="22"/>
              </w:rPr>
              <w:t xml:space="preserve">= 1 to </w:t>
            </w:r>
            <w:r w:rsidRPr="00BA3F3D">
              <w:rPr>
                <w:rFonts w:cs="Times New Roman"/>
                <w:szCs w:val="22"/>
              </w:rPr>
              <w:t>2</w:t>
            </w:r>
          </w:p>
        </w:tc>
      </w:tr>
      <w:tr w:rsidR="00A95F60" w:rsidRPr="00BA3F3D" w14:paraId="275B4469" w14:textId="77777777" w:rsidTr="005E3C48">
        <w:tc>
          <w:tcPr>
            <w:tcW w:w="1551" w:type="dxa"/>
          </w:tcPr>
          <w:p w14:paraId="56106444" w14:textId="77777777" w:rsidR="00A95F60" w:rsidRPr="00BA3F3D" w:rsidRDefault="00A95F60" w:rsidP="005E3C48">
            <w:pPr>
              <w:rPr>
                <w:rFonts w:cs="Times New Roman"/>
                <w:i/>
                <w:szCs w:val="22"/>
                <w:vertAlign w:val="subscript"/>
              </w:rPr>
            </w:pPr>
            <w:r w:rsidRPr="00BA3F3D">
              <w:rPr>
                <w:rFonts w:cs="Times New Roman"/>
                <w:i/>
                <w:szCs w:val="22"/>
              </w:rPr>
              <w:t>B(L)</w:t>
            </w:r>
            <w:r>
              <w:rPr>
                <w:rFonts w:cs="Times New Roman"/>
                <w:i/>
                <w:szCs w:val="22"/>
                <w:vertAlign w:val="subscript"/>
              </w:rPr>
              <w:t>n</w:t>
            </w:r>
            <w:r w:rsidRPr="00BA3F3D">
              <w:rPr>
                <w:rFonts w:cs="Times New Roman"/>
                <w:i/>
                <w:szCs w:val="22"/>
                <w:vertAlign w:val="subscript"/>
              </w:rPr>
              <w:t>(</w:t>
            </w:r>
            <w:r>
              <w:rPr>
                <w:rFonts w:cs="Times New Roman"/>
                <w:i/>
                <w:szCs w:val="22"/>
                <w:vertAlign w:val="subscript"/>
              </w:rPr>
              <w:t>m</w:t>
            </w:r>
            <w:r w:rsidRPr="00BA3F3D">
              <w:rPr>
                <w:rFonts w:cs="Times New Roman"/>
                <w:i/>
                <w:szCs w:val="22"/>
                <w:vertAlign w:val="subscript"/>
              </w:rPr>
              <w:t>)</w:t>
            </w:r>
          </w:p>
        </w:tc>
        <w:tc>
          <w:tcPr>
            <w:tcW w:w="6981" w:type="dxa"/>
          </w:tcPr>
          <w:p w14:paraId="4DE3630A" w14:textId="77777777" w:rsidR="00A95F60" w:rsidRPr="00BA3F3D" w:rsidRDefault="00A95F60" w:rsidP="005E3C48">
            <w:pPr>
              <w:rPr>
                <w:rFonts w:cs="Times New Roman"/>
                <w:szCs w:val="22"/>
              </w:rPr>
            </w:pPr>
            <w:r w:rsidRPr="00BA3F3D">
              <w:rPr>
                <w:rFonts w:cs="Times New Roman"/>
                <w:szCs w:val="22"/>
              </w:rPr>
              <w:t xml:space="preserve">= effect of block </w:t>
            </w:r>
            <w:r>
              <w:rPr>
                <w:rFonts w:cs="Times New Roman"/>
                <w:i/>
                <w:szCs w:val="22"/>
              </w:rPr>
              <w:t>n</w:t>
            </w:r>
            <w:r w:rsidRPr="00BA3F3D">
              <w:rPr>
                <w:rFonts w:cs="Times New Roman"/>
                <w:i/>
                <w:szCs w:val="22"/>
              </w:rPr>
              <w:t xml:space="preserve"> </w:t>
            </w:r>
            <w:r w:rsidRPr="00BA3F3D">
              <w:rPr>
                <w:rFonts w:cs="Times New Roman"/>
                <w:szCs w:val="22"/>
              </w:rPr>
              <w:t xml:space="preserve">within location </w:t>
            </w:r>
            <w:r>
              <w:rPr>
                <w:rFonts w:cs="Times New Roman"/>
                <w:i/>
                <w:szCs w:val="22"/>
              </w:rPr>
              <w:t>m</w:t>
            </w:r>
            <w:r w:rsidRPr="00BA3F3D">
              <w:rPr>
                <w:rFonts w:cs="Times New Roman"/>
                <w:i/>
                <w:szCs w:val="22"/>
              </w:rPr>
              <w:t xml:space="preserve">, </w:t>
            </w:r>
            <w:r>
              <w:rPr>
                <w:rFonts w:cs="Times New Roman"/>
                <w:i/>
                <w:szCs w:val="22"/>
              </w:rPr>
              <w:t>n</w:t>
            </w:r>
            <w:r w:rsidRPr="00BA3F3D">
              <w:rPr>
                <w:rFonts w:cs="Times New Roman"/>
                <w:szCs w:val="22"/>
              </w:rPr>
              <w:t xml:space="preserve"> = 1</w:t>
            </w:r>
            <w:r>
              <w:rPr>
                <w:rFonts w:cs="Times New Roman"/>
                <w:szCs w:val="22"/>
              </w:rPr>
              <w:t xml:space="preserve"> to </w:t>
            </w:r>
            <w:r w:rsidRPr="00BA3F3D">
              <w:rPr>
                <w:rFonts w:cs="Times New Roman"/>
                <w:szCs w:val="22"/>
              </w:rPr>
              <w:t>4</w:t>
            </w:r>
          </w:p>
        </w:tc>
      </w:tr>
      <w:tr w:rsidR="00A95F60" w:rsidRPr="00BA3F3D" w14:paraId="5E90E551" w14:textId="77777777" w:rsidTr="005E3C48">
        <w:tc>
          <w:tcPr>
            <w:tcW w:w="1551" w:type="dxa"/>
          </w:tcPr>
          <w:p w14:paraId="735C3873" w14:textId="77777777" w:rsidR="00A95F60" w:rsidRPr="00BA3F3D" w:rsidRDefault="00A95F60" w:rsidP="005E3C48">
            <w:pPr>
              <w:rPr>
                <w:rFonts w:cs="Times New Roman"/>
                <w:i/>
                <w:szCs w:val="22"/>
                <w:vertAlign w:val="subscript"/>
              </w:rPr>
            </w:pPr>
            <w:proofErr w:type="spellStart"/>
            <w:r w:rsidRPr="00BA3F3D">
              <w:rPr>
                <w:rFonts w:cs="Times New Roman"/>
                <w:i/>
                <w:szCs w:val="22"/>
              </w:rPr>
              <w:t>TL</w:t>
            </w:r>
            <w:r w:rsidRPr="00BA3F3D">
              <w:rPr>
                <w:rFonts w:cs="Times New Roman"/>
                <w:i/>
                <w:szCs w:val="22"/>
                <w:vertAlign w:val="subscript"/>
              </w:rPr>
              <w:t>l</w:t>
            </w:r>
            <w:r>
              <w:rPr>
                <w:rFonts w:cs="Times New Roman"/>
                <w:i/>
                <w:szCs w:val="22"/>
                <w:vertAlign w:val="subscript"/>
              </w:rPr>
              <w:t>m</w:t>
            </w:r>
            <w:proofErr w:type="spellEnd"/>
          </w:p>
        </w:tc>
        <w:tc>
          <w:tcPr>
            <w:tcW w:w="6981" w:type="dxa"/>
          </w:tcPr>
          <w:p w14:paraId="33EE787B" w14:textId="77777777" w:rsidR="00A95F60" w:rsidRPr="00BA3F3D" w:rsidRDefault="00A95F60" w:rsidP="005E3C48">
            <w:pPr>
              <w:rPr>
                <w:rFonts w:cs="Times New Roman"/>
                <w:szCs w:val="22"/>
              </w:rPr>
            </w:pPr>
            <w:r w:rsidRPr="00BA3F3D">
              <w:rPr>
                <w:rFonts w:cs="Times New Roman"/>
                <w:szCs w:val="22"/>
              </w:rPr>
              <w:t xml:space="preserve">= interaction effect between year </w:t>
            </w:r>
            <w:r>
              <w:rPr>
                <w:rFonts w:cs="Times New Roman"/>
                <w:i/>
                <w:szCs w:val="22"/>
              </w:rPr>
              <w:t>l</w:t>
            </w:r>
            <w:r w:rsidRPr="00BA3F3D">
              <w:rPr>
                <w:rFonts w:cs="Times New Roman"/>
                <w:szCs w:val="22"/>
              </w:rPr>
              <w:t xml:space="preserve"> and location </w:t>
            </w:r>
            <w:r>
              <w:rPr>
                <w:rFonts w:cs="Times New Roman"/>
                <w:i/>
                <w:szCs w:val="22"/>
              </w:rPr>
              <w:t>m</w:t>
            </w:r>
          </w:p>
        </w:tc>
      </w:tr>
      <w:tr w:rsidR="00A95F60" w:rsidRPr="00BA3F3D" w14:paraId="07F05B46" w14:textId="77777777" w:rsidTr="005E3C48">
        <w:tc>
          <w:tcPr>
            <w:tcW w:w="1551" w:type="dxa"/>
          </w:tcPr>
          <w:p w14:paraId="77BA3E12" w14:textId="77777777" w:rsidR="00A95F60" w:rsidRPr="00BA3F3D" w:rsidRDefault="00A95F60" w:rsidP="005E3C48">
            <w:pPr>
              <w:rPr>
                <w:rFonts w:cs="Times New Roman"/>
                <w:i/>
                <w:szCs w:val="22"/>
                <w:vertAlign w:val="subscript"/>
              </w:rPr>
            </w:pPr>
            <w:r>
              <w:rPr>
                <w:rFonts w:cs="Times New Roman"/>
                <w:i/>
                <w:szCs w:val="22"/>
              </w:rPr>
              <w:t>B(</w:t>
            </w:r>
            <w:r w:rsidRPr="00BA3F3D">
              <w:rPr>
                <w:rFonts w:cs="Times New Roman"/>
                <w:i/>
                <w:szCs w:val="22"/>
              </w:rPr>
              <w:t>T</w:t>
            </w:r>
            <w:r>
              <w:rPr>
                <w:rFonts w:cs="Times New Roman"/>
                <w:i/>
                <w:szCs w:val="22"/>
              </w:rPr>
              <w:t>L</w:t>
            </w:r>
            <w:r w:rsidRPr="00BA3F3D">
              <w:rPr>
                <w:rFonts w:cs="Times New Roman"/>
                <w:i/>
                <w:szCs w:val="22"/>
              </w:rPr>
              <w:t>)</w:t>
            </w:r>
            <w:r>
              <w:rPr>
                <w:rFonts w:cs="Times New Roman"/>
                <w:i/>
                <w:szCs w:val="22"/>
                <w:vertAlign w:val="subscript"/>
              </w:rPr>
              <w:t>n</w:t>
            </w:r>
            <w:r w:rsidRPr="00BA3F3D">
              <w:rPr>
                <w:rFonts w:cs="Times New Roman"/>
                <w:i/>
                <w:szCs w:val="22"/>
                <w:vertAlign w:val="subscript"/>
              </w:rPr>
              <w:t>(</w:t>
            </w:r>
            <w:r>
              <w:rPr>
                <w:rFonts w:cs="Times New Roman"/>
                <w:i/>
                <w:szCs w:val="22"/>
                <w:vertAlign w:val="subscript"/>
              </w:rPr>
              <w:t>lm</w:t>
            </w:r>
            <w:r w:rsidRPr="00BA3F3D">
              <w:rPr>
                <w:rFonts w:cs="Times New Roman"/>
                <w:i/>
                <w:szCs w:val="22"/>
                <w:vertAlign w:val="subscript"/>
              </w:rPr>
              <w:t>)</w:t>
            </w:r>
          </w:p>
        </w:tc>
        <w:tc>
          <w:tcPr>
            <w:tcW w:w="6981" w:type="dxa"/>
          </w:tcPr>
          <w:p w14:paraId="3EEC3D16" w14:textId="77777777" w:rsidR="00A95F60" w:rsidRPr="00BC2196" w:rsidRDefault="00A95F60" w:rsidP="005E3C48">
            <w:pPr>
              <w:rPr>
                <w:rFonts w:cs="Times New Roman"/>
                <w:i/>
                <w:szCs w:val="22"/>
              </w:rPr>
            </w:pPr>
            <w:r w:rsidRPr="00BA3F3D">
              <w:rPr>
                <w:rFonts w:cs="Times New Roman"/>
                <w:szCs w:val="22"/>
              </w:rPr>
              <w:t xml:space="preserve">= interaction effect between block </w:t>
            </w:r>
            <w:r>
              <w:rPr>
                <w:rFonts w:cs="Times New Roman"/>
                <w:i/>
                <w:szCs w:val="22"/>
              </w:rPr>
              <w:t>n</w:t>
            </w:r>
            <w:r w:rsidRPr="00BA3F3D">
              <w:rPr>
                <w:rFonts w:cs="Times New Roman"/>
                <w:szCs w:val="22"/>
              </w:rPr>
              <w:t xml:space="preserve"> within </w:t>
            </w:r>
            <w:r>
              <w:rPr>
                <w:rFonts w:cs="Times New Roman"/>
                <w:szCs w:val="22"/>
              </w:rPr>
              <w:t>location</w:t>
            </w:r>
            <w:r w:rsidRPr="00BA3F3D">
              <w:rPr>
                <w:rFonts w:cs="Times New Roman"/>
                <w:szCs w:val="22"/>
              </w:rPr>
              <w:t xml:space="preserve"> </w:t>
            </w:r>
            <w:r>
              <w:rPr>
                <w:rFonts w:cs="Times New Roman"/>
                <w:i/>
                <w:szCs w:val="22"/>
              </w:rPr>
              <w:t>m</w:t>
            </w:r>
            <w:r>
              <w:rPr>
                <w:rFonts w:cs="Times New Roman"/>
                <w:szCs w:val="22"/>
              </w:rPr>
              <w:t xml:space="preserve"> by year </w:t>
            </w:r>
            <w:r>
              <w:rPr>
                <w:rFonts w:cs="Times New Roman"/>
                <w:i/>
                <w:szCs w:val="22"/>
              </w:rPr>
              <w:t>l</w:t>
            </w:r>
          </w:p>
        </w:tc>
      </w:tr>
      <w:tr w:rsidR="00A95F60" w:rsidRPr="00BA3F3D" w14:paraId="54802F6B" w14:textId="77777777" w:rsidTr="005E3C48">
        <w:tc>
          <w:tcPr>
            <w:tcW w:w="1551" w:type="dxa"/>
          </w:tcPr>
          <w:p w14:paraId="2AEA3D96" w14:textId="77777777" w:rsidR="00A95F60" w:rsidRPr="00BA3F3D" w:rsidRDefault="00A95F60" w:rsidP="005E3C48">
            <w:pPr>
              <w:rPr>
                <w:rFonts w:cs="Times New Roman"/>
                <w:i/>
                <w:szCs w:val="22"/>
              </w:rPr>
            </w:pPr>
            <w:proofErr w:type="spellStart"/>
            <w:r>
              <w:rPr>
                <w:rFonts w:cs="Times New Roman"/>
                <w:i/>
                <w:szCs w:val="22"/>
              </w:rPr>
              <w:t>G</w:t>
            </w:r>
            <w:r w:rsidRPr="00BA3F3D">
              <w:rPr>
                <w:rFonts w:cs="Times New Roman"/>
                <w:i/>
                <w:szCs w:val="22"/>
              </w:rPr>
              <w:t>T</w:t>
            </w:r>
            <w:r w:rsidRPr="00BA3F3D">
              <w:rPr>
                <w:rFonts w:cs="Times New Roman"/>
                <w:i/>
                <w:szCs w:val="22"/>
                <w:vertAlign w:val="subscript"/>
              </w:rPr>
              <w:t>k</w:t>
            </w:r>
            <w:r>
              <w:rPr>
                <w:rFonts w:cs="Times New Roman"/>
                <w:i/>
                <w:szCs w:val="22"/>
                <w:vertAlign w:val="subscript"/>
              </w:rPr>
              <w:t>l</w:t>
            </w:r>
            <w:proofErr w:type="spellEnd"/>
          </w:p>
        </w:tc>
        <w:tc>
          <w:tcPr>
            <w:tcW w:w="6981" w:type="dxa"/>
          </w:tcPr>
          <w:p w14:paraId="77495CF6" w14:textId="77777777" w:rsidR="00A95F60" w:rsidRPr="00BA3F3D" w:rsidRDefault="00A95F60" w:rsidP="005E3C48">
            <w:pPr>
              <w:rPr>
                <w:rFonts w:cs="Times New Roman"/>
                <w:i/>
                <w:szCs w:val="22"/>
              </w:rPr>
            </w:pPr>
            <w:r w:rsidRPr="00BA3F3D">
              <w:rPr>
                <w:rFonts w:cs="Times New Roman"/>
                <w:szCs w:val="22"/>
              </w:rPr>
              <w:t xml:space="preserve">= interaction effect between </w:t>
            </w:r>
            <w:r>
              <w:rPr>
                <w:rFonts w:cs="Times New Roman"/>
                <w:szCs w:val="22"/>
              </w:rPr>
              <w:t>GCA</w:t>
            </w:r>
            <w:r w:rsidRPr="00BA3F3D">
              <w:rPr>
                <w:rFonts w:cs="Times New Roman"/>
                <w:szCs w:val="22"/>
              </w:rPr>
              <w:t xml:space="preserve"> </w:t>
            </w:r>
            <w:r>
              <w:rPr>
                <w:rFonts w:cs="Times New Roman"/>
                <w:i/>
                <w:szCs w:val="22"/>
              </w:rPr>
              <w:t>k</w:t>
            </w:r>
            <w:r w:rsidRPr="00BA3F3D">
              <w:rPr>
                <w:rFonts w:cs="Times New Roman"/>
                <w:szCs w:val="22"/>
              </w:rPr>
              <w:t xml:space="preserve"> and year </w:t>
            </w:r>
            <w:r>
              <w:rPr>
                <w:rFonts w:cs="Times New Roman"/>
                <w:i/>
                <w:szCs w:val="22"/>
              </w:rPr>
              <w:t>l</w:t>
            </w:r>
          </w:p>
        </w:tc>
      </w:tr>
      <w:tr w:rsidR="00A95F60" w:rsidRPr="00BA3F3D" w14:paraId="0F023879" w14:textId="77777777" w:rsidTr="005E3C48">
        <w:tc>
          <w:tcPr>
            <w:tcW w:w="1551" w:type="dxa"/>
          </w:tcPr>
          <w:p w14:paraId="54A804FF" w14:textId="77777777" w:rsidR="00A95F60" w:rsidRPr="00BA3F3D" w:rsidRDefault="00A95F60" w:rsidP="005E3C48">
            <w:pPr>
              <w:rPr>
                <w:rFonts w:cs="Times New Roman"/>
                <w:i/>
                <w:szCs w:val="22"/>
                <w:vertAlign w:val="subscript"/>
              </w:rPr>
            </w:pPr>
            <w:proofErr w:type="spellStart"/>
            <w:r>
              <w:rPr>
                <w:rFonts w:cs="Times New Roman"/>
                <w:i/>
                <w:szCs w:val="22"/>
              </w:rPr>
              <w:t>G</w:t>
            </w:r>
            <w:r w:rsidRPr="00BA3F3D">
              <w:rPr>
                <w:rFonts w:cs="Times New Roman"/>
                <w:i/>
                <w:szCs w:val="22"/>
              </w:rPr>
              <w:t>L</w:t>
            </w:r>
            <w:r>
              <w:rPr>
                <w:rFonts w:cs="Times New Roman"/>
                <w:i/>
                <w:szCs w:val="22"/>
                <w:vertAlign w:val="subscript"/>
              </w:rPr>
              <w:t>km</w:t>
            </w:r>
            <w:proofErr w:type="spellEnd"/>
          </w:p>
        </w:tc>
        <w:tc>
          <w:tcPr>
            <w:tcW w:w="6981" w:type="dxa"/>
          </w:tcPr>
          <w:p w14:paraId="4CD47E68" w14:textId="77777777" w:rsidR="00A95F60" w:rsidRPr="00BA3F3D" w:rsidRDefault="00A95F60" w:rsidP="005E3C48">
            <w:pPr>
              <w:rPr>
                <w:rFonts w:cs="Times New Roman"/>
                <w:i/>
                <w:szCs w:val="22"/>
              </w:rPr>
            </w:pPr>
            <w:r w:rsidRPr="00BA3F3D">
              <w:rPr>
                <w:rFonts w:cs="Times New Roman"/>
                <w:szCs w:val="22"/>
              </w:rPr>
              <w:t xml:space="preserve">= interaction effect between </w:t>
            </w:r>
            <w:r>
              <w:rPr>
                <w:rFonts w:cs="Times New Roman"/>
                <w:szCs w:val="22"/>
              </w:rPr>
              <w:t>GCA</w:t>
            </w:r>
            <w:r w:rsidRPr="00BA3F3D">
              <w:rPr>
                <w:rFonts w:cs="Times New Roman"/>
                <w:szCs w:val="22"/>
              </w:rPr>
              <w:t xml:space="preserve"> </w:t>
            </w:r>
            <w:r>
              <w:rPr>
                <w:rFonts w:cs="Times New Roman"/>
                <w:i/>
                <w:szCs w:val="22"/>
              </w:rPr>
              <w:t>k</w:t>
            </w:r>
            <w:r w:rsidRPr="00BA3F3D">
              <w:rPr>
                <w:rFonts w:cs="Times New Roman"/>
                <w:szCs w:val="22"/>
              </w:rPr>
              <w:t xml:space="preserve"> and location </w:t>
            </w:r>
            <w:r>
              <w:rPr>
                <w:rFonts w:cs="Times New Roman"/>
                <w:i/>
                <w:szCs w:val="22"/>
              </w:rPr>
              <w:t>m</w:t>
            </w:r>
          </w:p>
        </w:tc>
      </w:tr>
      <w:tr w:rsidR="00A95F60" w:rsidRPr="00BA3F3D" w14:paraId="7E7D6768" w14:textId="77777777" w:rsidTr="005E3C48">
        <w:tc>
          <w:tcPr>
            <w:tcW w:w="1551" w:type="dxa"/>
          </w:tcPr>
          <w:p w14:paraId="633D2184" w14:textId="77777777" w:rsidR="00A95F60" w:rsidRPr="00BA3F3D" w:rsidRDefault="00A95F60" w:rsidP="005E3C48">
            <w:pPr>
              <w:rPr>
                <w:rFonts w:cs="Times New Roman"/>
                <w:i/>
                <w:szCs w:val="22"/>
                <w:vertAlign w:val="subscript"/>
              </w:rPr>
            </w:pPr>
            <w:proofErr w:type="spellStart"/>
            <w:r>
              <w:rPr>
                <w:rFonts w:cs="Times New Roman"/>
                <w:i/>
                <w:szCs w:val="22"/>
              </w:rPr>
              <w:t>G</w:t>
            </w:r>
            <w:r w:rsidRPr="00BA3F3D">
              <w:rPr>
                <w:rFonts w:cs="Times New Roman"/>
                <w:i/>
                <w:szCs w:val="22"/>
              </w:rPr>
              <w:t>TL</w:t>
            </w:r>
            <w:r w:rsidRPr="00BA3F3D">
              <w:rPr>
                <w:rFonts w:cs="Times New Roman"/>
                <w:i/>
                <w:szCs w:val="22"/>
                <w:vertAlign w:val="subscript"/>
              </w:rPr>
              <w:t>kl</w:t>
            </w:r>
            <w:r>
              <w:rPr>
                <w:rFonts w:cs="Times New Roman"/>
                <w:i/>
                <w:szCs w:val="22"/>
                <w:vertAlign w:val="subscript"/>
              </w:rPr>
              <w:t>m</w:t>
            </w:r>
            <w:proofErr w:type="spellEnd"/>
          </w:p>
        </w:tc>
        <w:tc>
          <w:tcPr>
            <w:tcW w:w="6981" w:type="dxa"/>
          </w:tcPr>
          <w:p w14:paraId="3B3BC18F" w14:textId="77777777" w:rsidR="00A95F60" w:rsidRPr="00BA3F3D" w:rsidRDefault="00A95F60" w:rsidP="005E3C48">
            <w:pPr>
              <w:rPr>
                <w:rFonts w:cs="Times New Roman"/>
                <w:i/>
                <w:szCs w:val="22"/>
              </w:rPr>
            </w:pPr>
            <w:r w:rsidRPr="00BA3F3D">
              <w:rPr>
                <w:rFonts w:cs="Times New Roman"/>
                <w:szCs w:val="22"/>
              </w:rPr>
              <w:t xml:space="preserve">= interaction effect between </w:t>
            </w:r>
            <w:r>
              <w:rPr>
                <w:rFonts w:cs="Times New Roman"/>
                <w:szCs w:val="22"/>
              </w:rPr>
              <w:t>GCA</w:t>
            </w:r>
            <w:r w:rsidRPr="00BA3F3D">
              <w:rPr>
                <w:rFonts w:cs="Times New Roman"/>
                <w:szCs w:val="22"/>
              </w:rPr>
              <w:t xml:space="preserve"> </w:t>
            </w:r>
            <w:r>
              <w:rPr>
                <w:rFonts w:cs="Times New Roman"/>
                <w:i/>
                <w:szCs w:val="22"/>
              </w:rPr>
              <w:t>k</w:t>
            </w:r>
            <w:r w:rsidRPr="00BA3F3D">
              <w:rPr>
                <w:rFonts w:cs="Times New Roman"/>
                <w:szCs w:val="22"/>
              </w:rPr>
              <w:t xml:space="preserve">, year </w:t>
            </w:r>
            <w:r>
              <w:rPr>
                <w:rFonts w:cs="Times New Roman"/>
                <w:i/>
                <w:szCs w:val="22"/>
              </w:rPr>
              <w:t>l</w:t>
            </w:r>
            <w:r w:rsidRPr="00BA3F3D">
              <w:rPr>
                <w:rFonts w:cs="Times New Roman"/>
                <w:szCs w:val="22"/>
              </w:rPr>
              <w:t xml:space="preserve">, and location </w:t>
            </w:r>
            <w:r>
              <w:rPr>
                <w:rFonts w:cs="Times New Roman"/>
                <w:i/>
                <w:szCs w:val="22"/>
              </w:rPr>
              <w:t>m</w:t>
            </w:r>
          </w:p>
        </w:tc>
      </w:tr>
      <w:tr w:rsidR="00A95F60" w:rsidRPr="00BA3F3D" w14:paraId="434DDA83" w14:textId="77777777" w:rsidTr="005E3C48">
        <w:tc>
          <w:tcPr>
            <w:tcW w:w="1551" w:type="dxa"/>
          </w:tcPr>
          <w:p w14:paraId="2BF50688" w14:textId="77777777" w:rsidR="00A95F60" w:rsidRPr="00BA3F3D" w:rsidRDefault="00A95F60" w:rsidP="005E3C48">
            <w:pPr>
              <w:rPr>
                <w:rFonts w:cs="Times New Roman"/>
                <w:i/>
                <w:szCs w:val="22"/>
                <w:vertAlign w:val="subscript"/>
              </w:rPr>
            </w:pPr>
            <w:r>
              <w:rPr>
                <w:rFonts w:cs="Times New Roman"/>
                <w:i/>
                <w:szCs w:val="22"/>
              </w:rPr>
              <w:t>B(GL</w:t>
            </w:r>
            <w:r w:rsidRPr="00BA3F3D">
              <w:rPr>
                <w:rFonts w:cs="Times New Roman"/>
                <w:i/>
                <w:szCs w:val="22"/>
              </w:rPr>
              <w:t>)</w:t>
            </w:r>
            <w:r>
              <w:rPr>
                <w:rFonts w:cs="Times New Roman"/>
                <w:i/>
                <w:szCs w:val="22"/>
                <w:vertAlign w:val="subscript"/>
              </w:rPr>
              <w:t>n(km</w:t>
            </w:r>
            <w:r w:rsidRPr="00BA3F3D">
              <w:rPr>
                <w:rFonts w:cs="Times New Roman"/>
                <w:i/>
                <w:szCs w:val="22"/>
                <w:vertAlign w:val="subscript"/>
              </w:rPr>
              <w:t>)</w:t>
            </w:r>
          </w:p>
        </w:tc>
        <w:tc>
          <w:tcPr>
            <w:tcW w:w="6981" w:type="dxa"/>
          </w:tcPr>
          <w:p w14:paraId="72084BB9" w14:textId="77777777" w:rsidR="00A95F60" w:rsidRPr="00BA3F3D" w:rsidRDefault="00A95F60" w:rsidP="005E3C48">
            <w:pPr>
              <w:rPr>
                <w:rFonts w:cs="Times New Roman"/>
                <w:i/>
                <w:szCs w:val="22"/>
              </w:rPr>
            </w:pPr>
            <w:r w:rsidRPr="00BA3F3D">
              <w:rPr>
                <w:rFonts w:cs="Times New Roman"/>
                <w:szCs w:val="22"/>
              </w:rPr>
              <w:t xml:space="preserve">= interaction effect between block </w:t>
            </w:r>
            <w:r>
              <w:rPr>
                <w:rFonts w:cs="Times New Roman"/>
                <w:i/>
                <w:szCs w:val="22"/>
              </w:rPr>
              <w:t>n</w:t>
            </w:r>
            <w:r w:rsidRPr="00BA3F3D">
              <w:rPr>
                <w:rFonts w:cs="Times New Roman"/>
                <w:i/>
                <w:szCs w:val="22"/>
              </w:rPr>
              <w:t xml:space="preserve"> </w:t>
            </w:r>
            <w:r w:rsidRPr="00BA3F3D">
              <w:rPr>
                <w:rFonts w:cs="Times New Roman"/>
                <w:szCs w:val="22"/>
              </w:rPr>
              <w:t xml:space="preserve">within location </w:t>
            </w:r>
            <w:r>
              <w:rPr>
                <w:rFonts w:cs="Times New Roman"/>
                <w:i/>
                <w:szCs w:val="22"/>
              </w:rPr>
              <w:t>m</w:t>
            </w:r>
            <w:r w:rsidRPr="00BA3F3D">
              <w:rPr>
                <w:rFonts w:cs="Times New Roman"/>
                <w:szCs w:val="22"/>
              </w:rPr>
              <w:t xml:space="preserve"> </w:t>
            </w:r>
            <w:r>
              <w:rPr>
                <w:rFonts w:cs="Times New Roman"/>
                <w:szCs w:val="22"/>
              </w:rPr>
              <w:t>and</w:t>
            </w:r>
            <w:r w:rsidRPr="00BA3F3D">
              <w:rPr>
                <w:rFonts w:cs="Times New Roman"/>
                <w:szCs w:val="22"/>
              </w:rPr>
              <w:t xml:space="preserve"> </w:t>
            </w:r>
            <w:r>
              <w:rPr>
                <w:rFonts w:cs="Times New Roman"/>
                <w:szCs w:val="22"/>
              </w:rPr>
              <w:t>GCA</w:t>
            </w:r>
            <w:r w:rsidRPr="00BA3F3D">
              <w:rPr>
                <w:rFonts w:cs="Times New Roman"/>
                <w:szCs w:val="22"/>
              </w:rPr>
              <w:t xml:space="preserve"> </w:t>
            </w:r>
            <w:r>
              <w:rPr>
                <w:rFonts w:cs="Times New Roman"/>
                <w:i/>
                <w:szCs w:val="22"/>
              </w:rPr>
              <w:t>k</w:t>
            </w:r>
          </w:p>
        </w:tc>
      </w:tr>
      <w:tr w:rsidR="00A95F60" w:rsidRPr="00BA3F3D" w14:paraId="175F1CC0" w14:textId="77777777" w:rsidTr="005E3C48">
        <w:tc>
          <w:tcPr>
            <w:tcW w:w="1551" w:type="dxa"/>
          </w:tcPr>
          <w:p w14:paraId="1CC4B96B" w14:textId="77777777" w:rsidR="00A95F60" w:rsidRPr="00BA3F3D" w:rsidRDefault="00A95F60" w:rsidP="005E3C48">
            <w:pPr>
              <w:rPr>
                <w:rFonts w:cs="Times New Roman"/>
                <w:i/>
                <w:szCs w:val="22"/>
              </w:rPr>
            </w:pPr>
            <w:r>
              <w:rPr>
                <w:rFonts w:cs="Times New Roman"/>
                <w:i/>
                <w:szCs w:val="22"/>
              </w:rPr>
              <w:t>B(G</w:t>
            </w:r>
            <w:r w:rsidRPr="00BA3F3D">
              <w:rPr>
                <w:rFonts w:cs="Times New Roman"/>
                <w:i/>
                <w:szCs w:val="22"/>
              </w:rPr>
              <w:t>T</w:t>
            </w:r>
            <w:r>
              <w:rPr>
                <w:rFonts w:cs="Times New Roman"/>
                <w:i/>
                <w:szCs w:val="22"/>
              </w:rPr>
              <w:t>L</w:t>
            </w:r>
            <w:r w:rsidRPr="00BA3F3D">
              <w:rPr>
                <w:rFonts w:cs="Times New Roman"/>
                <w:i/>
                <w:szCs w:val="22"/>
              </w:rPr>
              <w:t>)</w:t>
            </w:r>
            <w:r>
              <w:rPr>
                <w:rFonts w:cs="Times New Roman"/>
                <w:i/>
                <w:szCs w:val="22"/>
                <w:vertAlign w:val="subscript"/>
              </w:rPr>
              <w:t>n(</w:t>
            </w:r>
            <w:proofErr w:type="spellStart"/>
            <w:r w:rsidRPr="00BA3F3D">
              <w:rPr>
                <w:rFonts w:cs="Times New Roman"/>
                <w:i/>
                <w:szCs w:val="22"/>
                <w:vertAlign w:val="subscript"/>
              </w:rPr>
              <w:t>k</w:t>
            </w:r>
            <w:r>
              <w:rPr>
                <w:rFonts w:cs="Times New Roman"/>
                <w:i/>
                <w:szCs w:val="22"/>
                <w:vertAlign w:val="subscript"/>
              </w:rPr>
              <w:t>lm</w:t>
            </w:r>
            <w:proofErr w:type="spellEnd"/>
            <w:r w:rsidRPr="00BA3F3D">
              <w:rPr>
                <w:rFonts w:cs="Times New Roman"/>
                <w:i/>
                <w:szCs w:val="22"/>
                <w:vertAlign w:val="subscript"/>
              </w:rPr>
              <w:t>)</w:t>
            </w:r>
          </w:p>
        </w:tc>
        <w:tc>
          <w:tcPr>
            <w:tcW w:w="6981" w:type="dxa"/>
          </w:tcPr>
          <w:p w14:paraId="420A11F1" w14:textId="77777777" w:rsidR="00A95F60" w:rsidRPr="00BA3F3D" w:rsidRDefault="00A95F60" w:rsidP="005E3C48">
            <w:pPr>
              <w:rPr>
                <w:rFonts w:cs="Times New Roman"/>
                <w:i/>
                <w:szCs w:val="22"/>
              </w:rPr>
            </w:pPr>
            <w:r w:rsidRPr="00BA3F3D">
              <w:rPr>
                <w:rFonts w:cs="Times New Roman"/>
                <w:szCs w:val="22"/>
              </w:rPr>
              <w:t xml:space="preserve">= interaction effect between block </w:t>
            </w:r>
            <w:r>
              <w:rPr>
                <w:rFonts w:cs="Times New Roman"/>
                <w:i/>
                <w:szCs w:val="22"/>
              </w:rPr>
              <w:t>n</w:t>
            </w:r>
            <w:r w:rsidRPr="00BA3F3D">
              <w:rPr>
                <w:rFonts w:cs="Times New Roman"/>
                <w:szCs w:val="22"/>
              </w:rPr>
              <w:t xml:space="preserve"> within location </w:t>
            </w:r>
            <w:r>
              <w:rPr>
                <w:rFonts w:cs="Times New Roman"/>
                <w:i/>
                <w:szCs w:val="22"/>
              </w:rPr>
              <w:t>m</w:t>
            </w:r>
            <w:r>
              <w:rPr>
                <w:rFonts w:cs="Times New Roman"/>
                <w:szCs w:val="22"/>
              </w:rPr>
              <w:t>,</w:t>
            </w:r>
            <w:r w:rsidRPr="00BA3F3D">
              <w:rPr>
                <w:rFonts w:cs="Times New Roman"/>
                <w:szCs w:val="22"/>
              </w:rPr>
              <w:t xml:space="preserve"> </w:t>
            </w:r>
            <w:r>
              <w:rPr>
                <w:rFonts w:cs="Times New Roman"/>
                <w:szCs w:val="22"/>
              </w:rPr>
              <w:t>GCA</w:t>
            </w:r>
            <w:r w:rsidRPr="00BA3F3D">
              <w:rPr>
                <w:rFonts w:cs="Times New Roman"/>
                <w:szCs w:val="22"/>
              </w:rPr>
              <w:t xml:space="preserve"> </w:t>
            </w:r>
            <w:r>
              <w:rPr>
                <w:rFonts w:cs="Times New Roman"/>
                <w:i/>
                <w:szCs w:val="22"/>
              </w:rPr>
              <w:t>k</w:t>
            </w:r>
            <w:r>
              <w:rPr>
                <w:rFonts w:cs="Times New Roman"/>
                <w:szCs w:val="22"/>
              </w:rPr>
              <w:t xml:space="preserve">, and </w:t>
            </w:r>
            <w:r w:rsidRPr="00BA3F3D">
              <w:rPr>
                <w:rFonts w:cs="Times New Roman"/>
                <w:szCs w:val="22"/>
              </w:rPr>
              <w:t xml:space="preserve">year </w:t>
            </w:r>
            <w:r>
              <w:rPr>
                <w:rFonts w:cs="Times New Roman"/>
                <w:i/>
                <w:szCs w:val="22"/>
              </w:rPr>
              <w:t>l</w:t>
            </w:r>
          </w:p>
        </w:tc>
      </w:tr>
      <w:tr w:rsidR="00A95F60" w:rsidRPr="00BA3F3D" w14:paraId="7D7B1CDE" w14:textId="77777777" w:rsidTr="005E3C48">
        <w:tc>
          <w:tcPr>
            <w:tcW w:w="1551" w:type="dxa"/>
          </w:tcPr>
          <w:p w14:paraId="36DEAF31" w14:textId="77777777" w:rsidR="00A95F60" w:rsidRDefault="00A95F60" w:rsidP="005E3C48">
            <w:pPr>
              <w:rPr>
                <w:rFonts w:cs="Times New Roman"/>
                <w:i/>
                <w:szCs w:val="22"/>
              </w:rPr>
            </w:pPr>
            <w:proofErr w:type="spellStart"/>
            <w:r>
              <w:rPr>
                <w:rFonts w:cs="Times New Roman"/>
                <w:i/>
                <w:szCs w:val="22"/>
              </w:rPr>
              <w:t>ST</w:t>
            </w:r>
            <w:r>
              <w:rPr>
                <w:rFonts w:cs="Times New Roman"/>
                <w:i/>
                <w:szCs w:val="22"/>
                <w:vertAlign w:val="subscript"/>
              </w:rPr>
              <w:t>ijl</w:t>
            </w:r>
            <w:proofErr w:type="spellEnd"/>
          </w:p>
        </w:tc>
        <w:tc>
          <w:tcPr>
            <w:tcW w:w="6981" w:type="dxa"/>
          </w:tcPr>
          <w:p w14:paraId="17F3C28B" w14:textId="77777777" w:rsidR="00A95F60" w:rsidRPr="00BA3F3D" w:rsidRDefault="00A95F60" w:rsidP="005E3C48">
            <w:pPr>
              <w:rPr>
                <w:rFonts w:cs="Times New Roman"/>
                <w:szCs w:val="22"/>
              </w:rPr>
            </w:pPr>
            <w:r w:rsidRPr="00BA3F3D">
              <w:rPr>
                <w:rFonts w:cs="Times New Roman"/>
                <w:szCs w:val="22"/>
              </w:rPr>
              <w:t>= interaction effect between</w:t>
            </w:r>
            <w:r>
              <w:rPr>
                <w:rFonts w:cs="Times New Roman"/>
                <w:szCs w:val="22"/>
              </w:rPr>
              <w:t xml:space="preserve"> SCA</w:t>
            </w:r>
            <w:r w:rsidRPr="00BA3F3D">
              <w:rPr>
                <w:rFonts w:cs="Times New Roman"/>
                <w:szCs w:val="22"/>
              </w:rPr>
              <w:t xml:space="preserve"> </w:t>
            </w:r>
            <w:proofErr w:type="spellStart"/>
            <w:r w:rsidRPr="00BC2196">
              <w:rPr>
                <w:rFonts w:cs="Times New Roman"/>
                <w:i/>
                <w:szCs w:val="22"/>
              </w:rPr>
              <w:t>i</w:t>
            </w:r>
            <w:r>
              <w:rPr>
                <w:rFonts w:cs="Times New Roman"/>
                <w:i/>
                <w:szCs w:val="22"/>
              </w:rPr>
              <w:t>j</w:t>
            </w:r>
            <w:proofErr w:type="spellEnd"/>
            <w:r>
              <w:rPr>
                <w:rFonts w:cs="Times New Roman"/>
                <w:szCs w:val="22"/>
              </w:rPr>
              <w:t xml:space="preserve"> and</w:t>
            </w:r>
            <w:r w:rsidRPr="00BA3F3D">
              <w:rPr>
                <w:rFonts w:cs="Times New Roman"/>
                <w:szCs w:val="22"/>
              </w:rPr>
              <w:t xml:space="preserve"> </w:t>
            </w:r>
            <w:r>
              <w:rPr>
                <w:rFonts w:cs="Times New Roman"/>
                <w:szCs w:val="22"/>
              </w:rPr>
              <w:t>year</w:t>
            </w:r>
            <w:r w:rsidRPr="00BA3F3D">
              <w:rPr>
                <w:rFonts w:cs="Times New Roman"/>
                <w:szCs w:val="22"/>
              </w:rPr>
              <w:t xml:space="preserve"> </w:t>
            </w:r>
            <w:r>
              <w:rPr>
                <w:rFonts w:cs="Times New Roman"/>
                <w:i/>
                <w:szCs w:val="22"/>
              </w:rPr>
              <w:t>l</w:t>
            </w:r>
            <w:r>
              <w:rPr>
                <w:rFonts w:cs="Times New Roman"/>
                <w:szCs w:val="22"/>
              </w:rPr>
              <w:t xml:space="preserve"> </w:t>
            </w:r>
          </w:p>
        </w:tc>
      </w:tr>
      <w:tr w:rsidR="00A95F60" w:rsidRPr="00BA3F3D" w14:paraId="4F612634" w14:textId="77777777" w:rsidTr="005E3C48">
        <w:tc>
          <w:tcPr>
            <w:tcW w:w="1551" w:type="dxa"/>
          </w:tcPr>
          <w:p w14:paraId="770F70B3" w14:textId="77777777" w:rsidR="00A95F60" w:rsidRPr="00BA3F3D" w:rsidRDefault="00A95F60" w:rsidP="005E3C48">
            <w:pPr>
              <w:rPr>
                <w:rFonts w:cs="Times New Roman"/>
                <w:i/>
                <w:szCs w:val="22"/>
                <w:vertAlign w:val="subscript"/>
              </w:rPr>
            </w:pPr>
            <w:proofErr w:type="spellStart"/>
            <w:r>
              <w:rPr>
                <w:rFonts w:cs="Times New Roman"/>
                <w:i/>
                <w:szCs w:val="22"/>
              </w:rPr>
              <w:t>S</w:t>
            </w:r>
            <w:r w:rsidRPr="00BA3F3D">
              <w:rPr>
                <w:rFonts w:cs="Times New Roman"/>
                <w:i/>
                <w:szCs w:val="22"/>
              </w:rPr>
              <w:t>L</w:t>
            </w:r>
            <w:r>
              <w:rPr>
                <w:rFonts w:cs="Times New Roman"/>
                <w:i/>
                <w:szCs w:val="22"/>
                <w:vertAlign w:val="subscript"/>
              </w:rPr>
              <w:t>ijm</w:t>
            </w:r>
            <w:proofErr w:type="spellEnd"/>
          </w:p>
        </w:tc>
        <w:tc>
          <w:tcPr>
            <w:tcW w:w="6981" w:type="dxa"/>
          </w:tcPr>
          <w:p w14:paraId="26636D34" w14:textId="77777777" w:rsidR="00A95F60" w:rsidRPr="00BA3F3D" w:rsidRDefault="00A95F60" w:rsidP="005E3C48">
            <w:pPr>
              <w:rPr>
                <w:rFonts w:cs="Times New Roman"/>
                <w:i/>
                <w:szCs w:val="22"/>
              </w:rPr>
            </w:pPr>
            <w:r w:rsidRPr="00BA3F3D">
              <w:rPr>
                <w:rFonts w:cs="Times New Roman"/>
                <w:szCs w:val="22"/>
              </w:rPr>
              <w:t>= interaction effect between</w:t>
            </w:r>
            <w:r>
              <w:rPr>
                <w:rFonts w:cs="Times New Roman"/>
                <w:szCs w:val="22"/>
              </w:rPr>
              <w:t xml:space="preserve"> SCA</w:t>
            </w:r>
            <w:r w:rsidRPr="00BA3F3D">
              <w:rPr>
                <w:rFonts w:cs="Times New Roman"/>
                <w:szCs w:val="22"/>
              </w:rPr>
              <w:t xml:space="preserve"> </w:t>
            </w:r>
            <w:proofErr w:type="spellStart"/>
            <w:r>
              <w:rPr>
                <w:rFonts w:cs="Times New Roman"/>
                <w:i/>
                <w:szCs w:val="22"/>
              </w:rPr>
              <w:t>ij</w:t>
            </w:r>
            <w:proofErr w:type="spellEnd"/>
            <w:r>
              <w:rPr>
                <w:rFonts w:cs="Times New Roman"/>
                <w:szCs w:val="22"/>
              </w:rPr>
              <w:t xml:space="preserve"> and</w:t>
            </w:r>
            <w:r w:rsidRPr="00BA3F3D">
              <w:rPr>
                <w:rFonts w:cs="Times New Roman"/>
                <w:szCs w:val="22"/>
              </w:rPr>
              <w:t xml:space="preserve"> location </w:t>
            </w:r>
            <w:r>
              <w:rPr>
                <w:rFonts w:cs="Times New Roman"/>
                <w:i/>
                <w:szCs w:val="22"/>
              </w:rPr>
              <w:t>m</w:t>
            </w:r>
            <w:r>
              <w:rPr>
                <w:rFonts w:cs="Times New Roman"/>
                <w:szCs w:val="22"/>
              </w:rPr>
              <w:t xml:space="preserve"> </w:t>
            </w:r>
          </w:p>
        </w:tc>
      </w:tr>
      <w:tr w:rsidR="00A95F60" w:rsidRPr="00BA3F3D" w14:paraId="74D42895" w14:textId="77777777" w:rsidTr="005E3C48">
        <w:tc>
          <w:tcPr>
            <w:tcW w:w="1551" w:type="dxa"/>
          </w:tcPr>
          <w:p w14:paraId="5D036936" w14:textId="77777777" w:rsidR="00A95F60" w:rsidRPr="00BA3F3D" w:rsidRDefault="00A95F60" w:rsidP="005E3C48">
            <w:pPr>
              <w:rPr>
                <w:rFonts w:cs="Times New Roman"/>
                <w:i/>
                <w:szCs w:val="22"/>
                <w:vertAlign w:val="subscript"/>
              </w:rPr>
            </w:pPr>
            <w:proofErr w:type="spellStart"/>
            <w:r>
              <w:rPr>
                <w:rFonts w:cs="Times New Roman"/>
                <w:i/>
                <w:szCs w:val="22"/>
              </w:rPr>
              <w:t>S</w:t>
            </w:r>
            <w:r w:rsidRPr="00BA3F3D">
              <w:rPr>
                <w:rFonts w:cs="Times New Roman"/>
                <w:i/>
                <w:szCs w:val="22"/>
              </w:rPr>
              <w:t>TL</w:t>
            </w:r>
            <w:r>
              <w:rPr>
                <w:rFonts w:cs="Times New Roman"/>
                <w:i/>
                <w:szCs w:val="22"/>
                <w:vertAlign w:val="subscript"/>
              </w:rPr>
              <w:t>ijlm</w:t>
            </w:r>
            <w:proofErr w:type="spellEnd"/>
          </w:p>
        </w:tc>
        <w:tc>
          <w:tcPr>
            <w:tcW w:w="6981" w:type="dxa"/>
          </w:tcPr>
          <w:p w14:paraId="66E83207" w14:textId="77777777" w:rsidR="00A95F60" w:rsidRPr="00BA3F3D" w:rsidRDefault="00A95F60" w:rsidP="005E3C48">
            <w:pPr>
              <w:rPr>
                <w:rFonts w:cs="Times New Roman"/>
                <w:i/>
                <w:szCs w:val="22"/>
              </w:rPr>
            </w:pPr>
            <w:r w:rsidRPr="00BA3F3D">
              <w:rPr>
                <w:rFonts w:cs="Times New Roman"/>
                <w:szCs w:val="22"/>
              </w:rPr>
              <w:t xml:space="preserve">= interaction effect between </w:t>
            </w:r>
            <w:r>
              <w:rPr>
                <w:rFonts w:cs="Times New Roman"/>
                <w:szCs w:val="22"/>
              </w:rPr>
              <w:t xml:space="preserve">SCA </w:t>
            </w:r>
            <w:r w:rsidRPr="00BA3F3D">
              <w:rPr>
                <w:rFonts w:cs="Times New Roman"/>
                <w:szCs w:val="22"/>
              </w:rPr>
              <w:t xml:space="preserve"> </w:t>
            </w:r>
            <w:proofErr w:type="spellStart"/>
            <w:r>
              <w:rPr>
                <w:rFonts w:cs="Times New Roman"/>
                <w:i/>
                <w:szCs w:val="22"/>
              </w:rPr>
              <w:t>ij</w:t>
            </w:r>
            <w:proofErr w:type="spellEnd"/>
            <w:r w:rsidRPr="00BA3F3D">
              <w:rPr>
                <w:rFonts w:cs="Times New Roman"/>
                <w:szCs w:val="22"/>
              </w:rPr>
              <w:t xml:space="preserve"> </w:t>
            </w:r>
            <w:r>
              <w:rPr>
                <w:rFonts w:cs="Times New Roman"/>
                <w:szCs w:val="22"/>
              </w:rPr>
              <w:t xml:space="preserve">, </w:t>
            </w:r>
            <w:r w:rsidRPr="00BA3F3D">
              <w:rPr>
                <w:rFonts w:cs="Times New Roman"/>
                <w:szCs w:val="22"/>
              </w:rPr>
              <w:t xml:space="preserve">year </w:t>
            </w:r>
            <w:r>
              <w:rPr>
                <w:rFonts w:cs="Times New Roman"/>
                <w:i/>
                <w:szCs w:val="22"/>
              </w:rPr>
              <w:t>l</w:t>
            </w:r>
            <w:r w:rsidRPr="00BA3F3D">
              <w:rPr>
                <w:rFonts w:cs="Times New Roman"/>
                <w:szCs w:val="22"/>
              </w:rPr>
              <w:t xml:space="preserve">, </w:t>
            </w:r>
            <w:r>
              <w:rPr>
                <w:rFonts w:cs="Times New Roman"/>
                <w:szCs w:val="22"/>
              </w:rPr>
              <w:t xml:space="preserve">and </w:t>
            </w:r>
            <w:r w:rsidRPr="00BA3F3D">
              <w:rPr>
                <w:rFonts w:cs="Times New Roman"/>
                <w:szCs w:val="22"/>
              </w:rPr>
              <w:t xml:space="preserve">location </w:t>
            </w:r>
            <w:r>
              <w:rPr>
                <w:rFonts w:cs="Times New Roman"/>
                <w:i/>
                <w:szCs w:val="22"/>
              </w:rPr>
              <w:t>m</w:t>
            </w:r>
          </w:p>
        </w:tc>
      </w:tr>
      <w:tr w:rsidR="00A95F60" w:rsidRPr="00BA3F3D" w14:paraId="0D302EE2" w14:textId="77777777" w:rsidTr="005E3C48">
        <w:tc>
          <w:tcPr>
            <w:tcW w:w="1551" w:type="dxa"/>
          </w:tcPr>
          <w:p w14:paraId="0A25C781" w14:textId="77777777" w:rsidR="00A95F60" w:rsidRPr="00BA3F3D" w:rsidRDefault="00A95F60" w:rsidP="005E3C48">
            <w:pPr>
              <w:rPr>
                <w:rFonts w:cs="Times New Roman"/>
                <w:i/>
                <w:szCs w:val="22"/>
                <w:vertAlign w:val="subscript"/>
              </w:rPr>
            </w:pPr>
            <w:r w:rsidRPr="00BA3F3D">
              <w:rPr>
                <w:rFonts w:cs="Times New Roman"/>
                <w:i/>
                <w:szCs w:val="22"/>
              </w:rPr>
              <w:t>B(</w:t>
            </w:r>
            <w:r>
              <w:rPr>
                <w:rFonts w:cs="Times New Roman"/>
                <w:i/>
                <w:szCs w:val="22"/>
              </w:rPr>
              <w:t>S</w:t>
            </w:r>
            <w:r w:rsidRPr="00BA3F3D">
              <w:rPr>
                <w:rFonts w:cs="Times New Roman"/>
                <w:i/>
                <w:szCs w:val="22"/>
              </w:rPr>
              <w:t>L)</w:t>
            </w:r>
            <w:r>
              <w:rPr>
                <w:rFonts w:cs="Times New Roman"/>
                <w:i/>
                <w:szCs w:val="22"/>
                <w:vertAlign w:val="subscript"/>
              </w:rPr>
              <w:t>n(</w:t>
            </w:r>
            <w:proofErr w:type="spellStart"/>
            <w:r>
              <w:rPr>
                <w:rFonts w:cs="Times New Roman"/>
                <w:i/>
                <w:szCs w:val="22"/>
                <w:vertAlign w:val="subscript"/>
              </w:rPr>
              <w:t>ijm</w:t>
            </w:r>
            <w:proofErr w:type="spellEnd"/>
            <w:r w:rsidRPr="00BA3F3D">
              <w:rPr>
                <w:rFonts w:cs="Times New Roman"/>
                <w:i/>
                <w:szCs w:val="22"/>
                <w:vertAlign w:val="subscript"/>
              </w:rPr>
              <w:t>)</w:t>
            </w:r>
          </w:p>
        </w:tc>
        <w:tc>
          <w:tcPr>
            <w:tcW w:w="6981" w:type="dxa"/>
          </w:tcPr>
          <w:p w14:paraId="66635E94" w14:textId="77777777" w:rsidR="00A95F60" w:rsidRPr="00BA3F3D" w:rsidRDefault="00A95F60" w:rsidP="005E3C48">
            <w:pPr>
              <w:rPr>
                <w:rFonts w:cs="Times New Roman"/>
                <w:szCs w:val="22"/>
              </w:rPr>
            </w:pPr>
            <w:r w:rsidRPr="00BA3F3D">
              <w:rPr>
                <w:rFonts w:cs="Times New Roman"/>
                <w:szCs w:val="22"/>
              </w:rPr>
              <w:t xml:space="preserve">= interaction effect between block </w:t>
            </w:r>
            <w:r>
              <w:rPr>
                <w:rFonts w:cs="Times New Roman"/>
                <w:i/>
                <w:szCs w:val="22"/>
              </w:rPr>
              <w:t>n</w:t>
            </w:r>
            <w:r w:rsidRPr="00BA3F3D">
              <w:rPr>
                <w:rFonts w:cs="Times New Roman"/>
                <w:i/>
                <w:szCs w:val="22"/>
              </w:rPr>
              <w:t xml:space="preserve"> </w:t>
            </w:r>
            <w:r w:rsidRPr="00BA3F3D">
              <w:rPr>
                <w:rFonts w:cs="Times New Roman"/>
                <w:szCs w:val="22"/>
              </w:rPr>
              <w:t xml:space="preserve">within </w:t>
            </w:r>
            <w:r>
              <w:rPr>
                <w:rFonts w:cs="Times New Roman"/>
                <w:szCs w:val="22"/>
              </w:rPr>
              <w:t xml:space="preserve">location </w:t>
            </w:r>
            <w:r>
              <w:rPr>
                <w:rFonts w:cs="Times New Roman"/>
                <w:i/>
                <w:szCs w:val="22"/>
              </w:rPr>
              <w:t xml:space="preserve">m </w:t>
            </w:r>
            <w:r>
              <w:rPr>
                <w:rFonts w:cs="Times New Roman"/>
                <w:szCs w:val="22"/>
              </w:rPr>
              <w:t xml:space="preserve"> and SCA </w:t>
            </w:r>
            <w:proofErr w:type="spellStart"/>
            <w:r>
              <w:rPr>
                <w:rFonts w:cs="Times New Roman"/>
                <w:i/>
                <w:szCs w:val="22"/>
              </w:rPr>
              <w:t>ij</w:t>
            </w:r>
            <w:proofErr w:type="spellEnd"/>
            <w:r>
              <w:rPr>
                <w:rFonts w:cs="Times New Roman"/>
                <w:i/>
                <w:szCs w:val="22"/>
              </w:rPr>
              <w:t xml:space="preserve"> </w:t>
            </w:r>
          </w:p>
        </w:tc>
      </w:tr>
      <w:tr w:rsidR="00A95F60" w:rsidRPr="00BA3F3D" w14:paraId="4E918B13" w14:textId="77777777" w:rsidTr="005E3C48">
        <w:tc>
          <w:tcPr>
            <w:tcW w:w="1551" w:type="dxa"/>
          </w:tcPr>
          <w:p w14:paraId="0C8342C9" w14:textId="77777777" w:rsidR="00A95F60" w:rsidRPr="00BA3F3D" w:rsidRDefault="00A95F60" w:rsidP="005E3C48">
            <w:pPr>
              <w:rPr>
                <w:rFonts w:cs="Times New Roman"/>
                <w:i/>
                <w:szCs w:val="22"/>
                <w:vertAlign w:val="subscript"/>
              </w:rPr>
            </w:pPr>
            <w:r w:rsidRPr="00BA3F3D">
              <w:rPr>
                <w:rFonts w:cs="Times New Roman"/>
                <w:i/>
                <w:szCs w:val="22"/>
              </w:rPr>
              <w:t>B(</w:t>
            </w:r>
            <w:r>
              <w:rPr>
                <w:rFonts w:cs="Times New Roman"/>
                <w:i/>
                <w:szCs w:val="22"/>
              </w:rPr>
              <w:t>ST</w:t>
            </w:r>
            <w:r w:rsidRPr="00BA3F3D">
              <w:rPr>
                <w:rFonts w:cs="Times New Roman"/>
                <w:i/>
                <w:szCs w:val="22"/>
              </w:rPr>
              <w:t>L)</w:t>
            </w:r>
            <w:r>
              <w:rPr>
                <w:rFonts w:cs="Times New Roman"/>
                <w:i/>
                <w:szCs w:val="22"/>
                <w:vertAlign w:val="subscript"/>
              </w:rPr>
              <w:t>n</w:t>
            </w:r>
            <w:r w:rsidRPr="00BA3F3D">
              <w:rPr>
                <w:rFonts w:cs="Times New Roman"/>
                <w:i/>
                <w:szCs w:val="22"/>
                <w:vertAlign w:val="subscript"/>
              </w:rPr>
              <w:t>(</w:t>
            </w:r>
            <w:proofErr w:type="spellStart"/>
            <w:r>
              <w:rPr>
                <w:rFonts w:cs="Times New Roman"/>
                <w:i/>
                <w:szCs w:val="22"/>
                <w:vertAlign w:val="subscript"/>
              </w:rPr>
              <w:t>ijlm</w:t>
            </w:r>
            <w:proofErr w:type="spellEnd"/>
            <w:r w:rsidRPr="00BA3F3D">
              <w:rPr>
                <w:rFonts w:cs="Times New Roman"/>
                <w:i/>
                <w:szCs w:val="22"/>
                <w:vertAlign w:val="subscript"/>
              </w:rPr>
              <w:t>)</w:t>
            </w:r>
          </w:p>
        </w:tc>
        <w:tc>
          <w:tcPr>
            <w:tcW w:w="6981" w:type="dxa"/>
          </w:tcPr>
          <w:p w14:paraId="22A5D2B7" w14:textId="77777777" w:rsidR="00A95F60" w:rsidRPr="00BA3F3D" w:rsidRDefault="00A95F60" w:rsidP="005E3C48">
            <w:pPr>
              <w:rPr>
                <w:rFonts w:cs="Times New Roman"/>
                <w:szCs w:val="22"/>
              </w:rPr>
            </w:pPr>
            <w:r w:rsidRPr="00BA3F3D">
              <w:rPr>
                <w:rFonts w:cs="Times New Roman"/>
                <w:szCs w:val="22"/>
              </w:rPr>
              <w:t xml:space="preserve">= interaction effect between block </w:t>
            </w:r>
            <w:r>
              <w:rPr>
                <w:rFonts w:cs="Times New Roman"/>
                <w:i/>
                <w:szCs w:val="22"/>
              </w:rPr>
              <w:t>n</w:t>
            </w:r>
            <w:r w:rsidRPr="00BA3F3D">
              <w:rPr>
                <w:rFonts w:cs="Times New Roman"/>
                <w:szCs w:val="22"/>
              </w:rPr>
              <w:t xml:space="preserve"> within</w:t>
            </w:r>
            <w:r>
              <w:rPr>
                <w:rFonts w:cs="Times New Roman"/>
                <w:szCs w:val="22"/>
              </w:rPr>
              <w:t xml:space="preserve"> location </w:t>
            </w:r>
            <w:r>
              <w:rPr>
                <w:rFonts w:cs="Times New Roman"/>
                <w:i/>
                <w:szCs w:val="22"/>
              </w:rPr>
              <w:t>m</w:t>
            </w:r>
            <w:r>
              <w:rPr>
                <w:rFonts w:cs="Times New Roman"/>
                <w:szCs w:val="22"/>
              </w:rPr>
              <w:t xml:space="preserve">, SCA </w:t>
            </w:r>
            <w:r w:rsidRPr="00BA3F3D">
              <w:rPr>
                <w:rFonts w:cs="Times New Roman"/>
                <w:szCs w:val="22"/>
              </w:rPr>
              <w:t xml:space="preserve"> </w:t>
            </w:r>
            <w:proofErr w:type="spellStart"/>
            <w:r>
              <w:rPr>
                <w:rFonts w:cs="Times New Roman"/>
                <w:i/>
                <w:szCs w:val="22"/>
              </w:rPr>
              <w:t>ij</w:t>
            </w:r>
            <w:proofErr w:type="spellEnd"/>
            <w:r>
              <w:rPr>
                <w:rFonts w:cs="Times New Roman"/>
                <w:szCs w:val="22"/>
              </w:rPr>
              <w:t xml:space="preserve">, </w:t>
            </w:r>
            <w:r w:rsidRPr="00BA3F3D">
              <w:rPr>
                <w:rFonts w:cs="Times New Roman"/>
                <w:szCs w:val="22"/>
              </w:rPr>
              <w:t xml:space="preserve">and year </w:t>
            </w:r>
            <w:r>
              <w:rPr>
                <w:rFonts w:cs="Times New Roman"/>
                <w:i/>
                <w:szCs w:val="22"/>
              </w:rPr>
              <w:t>l</w:t>
            </w:r>
          </w:p>
        </w:tc>
      </w:tr>
      <w:tr w:rsidR="00A95F60" w:rsidRPr="00BA3F3D" w14:paraId="7C7D2F01" w14:textId="77777777" w:rsidTr="005E3C48">
        <w:tc>
          <w:tcPr>
            <w:tcW w:w="1551" w:type="dxa"/>
          </w:tcPr>
          <w:p w14:paraId="40913484" w14:textId="77777777" w:rsidR="00A95F60" w:rsidRPr="00BA3F3D" w:rsidRDefault="00A95F60" w:rsidP="005E3C48">
            <w:pPr>
              <w:rPr>
                <w:rFonts w:cs="Times New Roman"/>
                <w:i/>
                <w:szCs w:val="22"/>
              </w:rPr>
            </w:pPr>
            <w:proofErr w:type="spellStart"/>
            <w:r w:rsidRPr="00BA3F3D">
              <w:rPr>
                <w:rFonts w:cs="Times New Roman"/>
                <w:i/>
                <w:szCs w:val="22"/>
              </w:rPr>
              <w:t>E</w:t>
            </w:r>
            <w:r>
              <w:rPr>
                <w:rFonts w:cs="Times New Roman"/>
                <w:i/>
                <w:szCs w:val="22"/>
                <w:vertAlign w:val="subscript"/>
              </w:rPr>
              <w:t>o</w:t>
            </w:r>
            <w:proofErr w:type="spellEnd"/>
            <w:r>
              <w:rPr>
                <w:rFonts w:cs="Times New Roman"/>
                <w:i/>
                <w:szCs w:val="22"/>
                <w:vertAlign w:val="subscript"/>
              </w:rPr>
              <w:t>(</w:t>
            </w:r>
            <w:proofErr w:type="spellStart"/>
            <w:r>
              <w:rPr>
                <w:rFonts w:cs="Times New Roman"/>
                <w:i/>
                <w:szCs w:val="22"/>
                <w:vertAlign w:val="subscript"/>
              </w:rPr>
              <w:t>ijlmn</w:t>
            </w:r>
            <w:proofErr w:type="spellEnd"/>
            <w:r>
              <w:rPr>
                <w:rFonts w:cs="Times New Roman"/>
                <w:i/>
                <w:szCs w:val="22"/>
                <w:vertAlign w:val="subscript"/>
              </w:rPr>
              <w:t>)</w:t>
            </w:r>
          </w:p>
        </w:tc>
        <w:tc>
          <w:tcPr>
            <w:tcW w:w="6981" w:type="dxa"/>
          </w:tcPr>
          <w:p w14:paraId="1D9872EA" w14:textId="77777777" w:rsidR="00A95F60" w:rsidRPr="00BA3F3D" w:rsidRDefault="00A95F60" w:rsidP="005E3C48">
            <w:pPr>
              <w:rPr>
                <w:rFonts w:cs="Times New Roman"/>
                <w:i/>
                <w:szCs w:val="22"/>
              </w:rPr>
            </w:pPr>
            <w:r w:rsidRPr="00BA3F3D">
              <w:rPr>
                <w:rFonts w:cs="Times New Roman"/>
                <w:szCs w:val="22"/>
              </w:rPr>
              <w:t>= experimental error</w:t>
            </w:r>
            <w:r>
              <w:rPr>
                <w:rFonts w:cs="Times New Roman"/>
                <w:szCs w:val="22"/>
              </w:rPr>
              <w:t xml:space="preserve"> or residual</w:t>
            </w:r>
          </w:p>
        </w:tc>
      </w:tr>
    </w:tbl>
    <w:p w14:paraId="69813BD0" w14:textId="77777777" w:rsidR="00A95F60" w:rsidRPr="00BA3F3D" w:rsidRDefault="00A95F60" w:rsidP="00A95F60">
      <w:pPr>
        <w:rPr>
          <w:rFonts w:eastAsiaTheme="minorHAnsi" w:cs="Times New Roman"/>
          <w:szCs w:val="22"/>
        </w:rPr>
      </w:pPr>
    </w:p>
    <w:p w14:paraId="3BBF1988" w14:textId="6184A933" w:rsidR="00FA43A1" w:rsidRDefault="00A95F60" w:rsidP="00A95F60">
      <w:pPr>
        <w:ind w:firstLine="720"/>
        <w:rPr>
          <w:rFonts w:eastAsiaTheme="minorHAnsi" w:cs="Times New Roman"/>
          <w:szCs w:val="22"/>
        </w:rPr>
      </w:pPr>
      <w:r>
        <w:rPr>
          <w:rFonts w:eastAsiaTheme="minorHAnsi" w:cs="Times New Roman"/>
          <w:szCs w:val="22"/>
        </w:rPr>
        <w:t xml:space="preserve">Griffing’s mixed model A </w:t>
      </w:r>
      <w:r w:rsidR="000B7ED3">
        <w:rPr>
          <w:rFonts w:eastAsiaTheme="minorHAnsi" w:cs="Times New Roman"/>
          <w:szCs w:val="22"/>
        </w:rPr>
        <w:t>analysis</w:t>
      </w:r>
      <w:r w:rsidR="00AE42CF">
        <w:rPr>
          <w:rFonts w:eastAsiaTheme="minorHAnsi" w:cs="Times New Roman"/>
          <w:szCs w:val="22"/>
        </w:rPr>
        <w:t xml:space="preserve"> was used</w:t>
      </w:r>
      <w:r>
        <w:rPr>
          <w:rFonts w:eastAsiaTheme="minorHAnsi" w:cs="Times New Roman"/>
          <w:szCs w:val="22"/>
        </w:rPr>
        <w:t xml:space="preserve"> in which GCA and SCA are considered random while location, year, and block are considered fixed </w:t>
      </w:r>
      <w:r>
        <w:rPr>
          <w:rFonts w:eastAsiaTheme="minorHAnsi" w:cs="Times New Roman"/>
          <w:szCs w:val="22"/>
        </w:rPr>
        <w:fldChar w:fldCharType="begin"/>
      </w:r>
      <w:r>
        <w:rPr>
          <w:rFonts w:eastAsiaTheme="minorHAnsi" w:cs="Times New Roman"/>
          <w:szCs w:val="22"/>
        </w:rPr>
        <w:instrText xml:space="preserve"> ADDIN EN.CITE &lt;EndNote&gt;&lt;Cite&gt;&lt;Author&gt;Griffing&lt;/Author&gt;&lt;Year&gt;1956&lt;/Year&gt;&lt;RecNum&gt;262&lt;/RecNum&gt;&lt;DisplayText&gt;(Griffing, 1956)&lt;/DisplayText&gt;&lt;record&gt;&lt;rec-number&gt;262&lt;/rec-number&gt;&lt;foreign-keys&gt;&lt;key app="EN" db-id="9zfxt259rawwvce0pfa5efeuatdw0pz5va5z" timestamp="1326988408"&gt;262&lt;/key&gt;&lt;/foreign-keys&gt;&lt;ref-type name="Journal Article"&gt;17&lt;/ref-type&gt;&lt;contributors&gt;&lt;authors&gt;&lt;author&gt;Griffing, B.&lt;/author&gt;&lt;/authors&gt;&lt;/contributors&gt;&lt;titles&gt;&lt;title&gt;Concept of general and specific combining ability in relation to diallel crossing systems&lt;/title&gt;&lt;secondary-title&gt;Austr. J. Biol. Sci.&lt;/secondary-title&gt;&lt;/titles&gt;&lt;periodical&gt;&lt;full-title&gt;Austr. J. Biol. Sci.&lt;/full-title&gt;&lt;/periodical&gt;&lt;pages&gt;463-493&lt;/pages&gt;&lt;volume&gt;9&lt;/volume&gt;&lt;dates&gt;&lt;year&gt;1956&lt;/year&gt;&lt;/dates&gt;&lt;urls&gt;&lt;/urls&gt;&lt;/record&gt;&lt;/Cite&gt;&lt;/EndNote&gt;</w:instrText>
      </w:r>
      <w:r>
        <w:rPr>
          <w:rFonts w:eastAsiaTheme="minorHAnsi" w:cs="Times New Roman"/>
          <w:szCs w:val="22"/>
        </w:rPr>
        <w:fldChar w:fldCharType="separate"/>
      </w:r>
      <w:r>
        <w:rPr>
          <w:rFonts w:eastAsiaTheme="minorHAnsi" w:cs="Times New Roman"/>
          <w:noProof/>
          <w:szCs w:val="22"/>
        </w:rPr>
        <w:t>(</w:t>
      </w:r>
      <w:hyperlink w:anchor="_ENREF_40" w:tooltip="Griffing, 1956 #262" w:history="1">
        <w:r w:rsidR="00FB5014">
          <w:rPr>
            <w:rFonts w:eastAsiaTheme="minorHAnsi" w:cs="Times New Roman"/>
            <w:noProof/>
            <w:szCs w:val="22"/>
          </w:rPr>
          <w:t>Griffing, 1956</w:t>
        </w:r>
      </w:hyperlink>
      <w:r>
        <w:rPr>
          <w:rFonts w:eastAsiaTheme="minorHAnsi" w:cs="Times New Roman"/>
          <w:noProof/>
          <w:szCs w:val="22"/>
        </w:rPr>
        <w:t>)</w:t>
      </w:r>
      <w:r>
        <w:rPr>
          <w:rFonts w:eastAsiaTheme="minorHAnsi" w:cs="Times New Roman"/>
          <w:szCs w:val="22"/>
        </w:rPr>
        <w:fldChar w:fldCharType="end"/>
      </w:r>
      <w:r>
        <w:rPr>
          <w:rFonts w:eastAsiaTheme="minorHAnsi" w:cs="Times New Roman"/>
          <w:szCs w:val="22"/>
        </w:rPr>
        <w:t xml:space="preserve">. </w:t>
      </w:r>
      <w:r w:rsidR="00FA43A1">
        <w:rPr>
          <w:rFonts w:eastAsiaTheme="minorHAnsi" w:cs="Times New Roman"/>
          <w:szCs w:val="22"/>
        </w:rPr>
        <w:t>Doing so allows for extrapolation of results to the population at large rather than the specific parent</w:t>
      </w:r>
      <w:r w:rsidR="00952A43">
        <w:rPr>
          <w:rFonts w:eastAsiaTheme="minorHAnsi" w:cs="Times New Roman"/>
          <w:szCs w:val="22"/>
        </w:rPr>
        <w:t>s</w:t>
      </w:r>
      <w:r w:rsidR="00FA43A1">
        <w:rPr>
          <w:rFonts w:eastAsiaTheme="minorHAnsi" w:cs="Times New Roman"/>
          <w:szCs w:val="22"/>
        </w:rPr>
        <w:t xml:space="preserve"> selected. Location was excluded from the model for calculations of GCA and SCA for each </w:t>
      </w:r>
      <w:r w:rsidR="001531F3">
        <w:rPr>
          <w:rFonts w:eastAsiaTheme="minorHAnsi" w:cs="Times New Roman"/>
          <w:szCs w:val="22"/>
        </w:rPr>
        <w:t>nursery</w:t>
      </w:r>
      <w:r w:rsidR="00FA43A1">
        <w:rPr>
          <w:rFonts w:eastAsiaTheme="minorHAnsi" w:cs="Times New Roman"/>
          <w:szCs w:val="22"/>
        </w:rPr>
        <w:t xml:space="preserve"> but </w:t>
      </w:r>
      <w:r w:rsidR="00FA43A1">
        <w:rPr>
          <w:rFonts w:eastAsiaTheme="minorHAnsi" w:cs="Times New Roman"/>
          <w:szCs w:val="22"/>
        </w:rPr>
        <w:lastRenderedPageBreak/>
        <w:t xml:space="preserve">was added to the model to determine mean trait differences between the two </w:t>
      </w:r>
      <w:r w:rsidR="001531F3">
        <w:rPr>
          <w:rFonts w:eastAsiaTheme="minorHAnsi" w:cs="Times New Roman"/>
          <w:szCs w:val="22"/>
        </w:rPr>
        <w:t>nurseries</w:t>
      </w:r>
      <w:r w:rsidR="00FA43A1">
        <w:rPr>
          <w:rFonts w:eastAsiaTheme="minorHAnsi" w:cs="Times New Roman"/>
          <w:szCs w:val="22"/>
        </w:rPr>
        <w:t xml:space="preserve"> and years. To determine maternal effects, a separate model was analyzed that included all effects listed above but in which SCA was divided into an SCA effect and reciprocal SCA effect by identifying each combination of parents in the SCA effect and using a multipl</w:t>
      </w:r>
      <w:r w:rsidR="000B7ED3">
        <w:rPr>
          <w:rFonts w:eastAsiaTheme="minorHAnsi" w:cs="Times New Roman"/>
          <w:szCs w:val="22"/>
        </w:rPr>
        <w:t>i</w:t>
      </w:r>
      <w:r w:rsidR="00FA43A1">
        <w:rPr>
          <w:rFonts w:eastAsiaTheme="minorHAnsi" w:cs="Times New Roman"/>
          <w:szCs w:val="22"/>
        </w:rPr>
        <w:t xml:space="preserve">er of 1 or -1 to distinguish crosses and reciprocals. </w:t>
      </w:r>
    </w:p>
    <w:p w14:paraId="24528116" w14:textId="2ED9BAB6" w:rsidR="00043399" w:rsidRPr="00A4101C" w:rsidRDefault="00043399" w:rsidP="00043399">
      <w:pPr>
        <w:ind w:firstLine="720"/>
        <w:rPr>
          <w:rFonts w:eastAsiaTheme="minorHAnsi" w:cs="Times New Roman"/>
        </w:rPr>
      </w:pPr>
      <w:r w:rsidRPr="00A4101C">
        <w:rPr>
          <w:rFonts w:eastAsiaTheme="minorHAnsi" w:cs="Times New Roman"/>
        </w:rPr>
        <w:t xml:space="preserve">Genetic variance components for a tetraploid were estimated using the following formula </w:t>
      </w:r>
      <w:r w:rsidR="00301182" w:rsidRPr="00A4101C">
        <w:rPr>
          <w:rFonts w:eastAsiaTheme="minorHAnsi" w:cs="Times New Roman"/>
        </w:rPr>
        <w:fldChar w:fldCharType="begin"/>
      </w:r>
      <w:r w:rsidR="003D2B24">
        <w:rPr>
          <w:rFonts w:eastAsiaTheme="minorHAnsi" w:cs="Times New Roman"/>
        </w:rPr>
        <w:instrText xml:space="preserve"> ADDIN EN.CITE &lt;EndNote&gt;&lt;Cite&gt;&lt;Author&gt;Wricke&lt;/Author&gt;&lt;Year&gt;1986&lt;/Year&gt;&lt;RecNum&gt;261&lt;/RecNum&gt;&lt;DisplayText&gt;(Wricke and Weber, 1986)&lt;/DisplayText&gt;&lt;record&gt;&lt;rec-number&gt;261&lt;/rec-number&gt;&lt;foreign-keys&gt;&lt;key app="EN" db-id="9zfxt259rawwvce0pfa5efeuatdw0pz5va5z" timestamp="1326988292"&gt;261&lt;/key&gt;&lt;/foreign-keys&gt;&lt;ref-type name="Book"&gt;6&lt;/ref-type&gt;&lt;contributors&gt;&lt;authors&gt;&lt;author&gt;Wricke, Gunter&lt;/author&gt;&lt;author&gt;Weber, W. Eberhard&lt;/author&gt;&lt;/authors&gt;&lt;/contributors&gt;&lt;titles&gt;&lt;title&gt;Quantitative Genetics and Selection in Plant Breeding. &lt;/title&gt;&lt;/titles&gt;&lt;dates&gt;&lt;year&gt;1986&lt;/year&gt;&lt;/dates&gt;&lt;pub-location&gt;New York&lt;/pub-location&gt;&lt;publisher&gt;Walter de Gruyter&lt;/publisher&gt;&lt;urls&gt;&lt;/urls&gt;&lt;/record&gt;&lt;/Cite&gt;&lt;/EndNote&gt;</w:instrText>
      </w:r>
      <w:r w:rsidR="00301182" w:rsidRPr="00A4101C">
        <w:rPr>
          <w:rFonts w:eastAsiaTheme="minorHAnsi" w:cs="Times New Roman"/>
        </w:rPr>
        <w:fldChar w:fldCharType="separate"/>
      </w:r>
      <w:r w:rsidRPr="00A4101C">
        <w:rPr>
          <w:rFonts w:eastAsiaTheme="minorHAnsi" w:cs="Times New Roman"/>
          <w:noProof/>
        </w:rPr>
        <w:t>(</w:t>
      </w:r>
      <w:hyperlink w:anchor="_ENREF_104" w:tooltip="Wricke, 1986 #261" w:history="1">
        <w:r w:rsidR="00FB5014" w:rsidRPr="00A4101C">
          <w:rPr>
            <w:rFonts w:eastAsiaTheme="minorHAnsi" w:cs="Times New Roman"/>
            <w:noProof/>
          </w:rPr>
          <w:t>Wricke and Weber, 1986</w:t>
        </w:r>
      </w:hyperlink>
      <w:r w:rsidRPr="00A4101C">
        <w:rPr>
          <w:rFonts w:eastAsiaTheme="minorHAnsi" w:cs="Times New Roman"/>
          <w:noProof/>
        </w:rPr>
        <w:t>)</w:t>
      </w:r>
      <w:r w:rsidR="00301182" w:rsidRPr="00A4101C">
        <w:rPr>
          <w:rFonts w:eastAsiaTheme="minorHAnsi" w:cs="Times New Roman"/>
        </w:rPr>
        <w:fldChar w:fldCharType="end"/>
      </w:r>
      <w:r w:rsidRPr="00A4101C">
        <w:rPr>
          <w:rFonts w:eastAsiaTheme="minorHAnsi" w:cs="Times New Roman"/>
        </w:rPr>
        <w:t xml:space="preserve">:  </w:t>
      </w:r>
    </w:p>
    <w:p w14:paraId="0C2EE7A3" w14:textId="77777777" w:rsidR="00043399" w:rsidRPr="00A4101C" w:rsidRDefault="00043399" w:rsidP="00043399">
      <w:pPr>
        <w:rPr>
          <w:rFonts w:eastAsiaTheme="minorHAnsi" w:cs="Times New Roman"/>
          <w:vertAlign w:val="subscript"/>
        </w:rPr>
      </w:pPr>
      <w:r w:rsidRPr="00A4101C">
        <w:rPr>
          <w:rFonts w:eastAsiaTheme="minorHAnsi" w:cs="Times New Roman"/>
        </w:rPr>
        <w:t>σ</w:t>
      </w:r>
      <w:r w:rsidRPr="00A4101C">
        <w:rPr>
          <w:rFonts w:eastAsiaTheme="minorHAnsi" w:cs="Times New Roman"/>
          <w:vertAlign w:val="superscript"/>
        </w:rPr>
        <w:t>2</w:t>
      </w:r>
      <w:r w:rsidRPr="00A4101C">
        <w:rPr>
          <w:rFonts w:eastAsiaTheme="minorHAnsi" w:cs="Times New Roman"/>
          <w:vertAlign w:val="subscript"/>
        </w:rPr>
        <w:t>A</w:t>
      </w:r>
      <w:r w:rsidRPr="00A4101C">
        <w:rPr>
          <w:rFonts w:eastAsiaTheme="minorHAnsi" w:cs="Times New Roman"/>
        </w:rPr>
        <w:t xml:space="preserve"> = 4s</w:t>
      </w:r>
      <w:r w:rsidRPr="00A4101C">
        <w:rPr>
          <w:rFonts w:eastAsiaTheme="minorHAnsi" w:cs="Times New Roman"/>
          <w:vertAlign w:val="superscript"/>
        </w:rPr>
        <w:t>2</w:t>
      </w:r>
      <w:r w:rsidRPr="00A4101C">
        <w:rPr>
          <w:rFonts w:eastAsiaTheme="minorHAnsi" w:cs="Times New Roman"/>
          <w:vertAlign w:val="subscript"/>
        </w:rPr>
        <w:t>gca</w:t>
      </w:r>
      <w:r w:rsidRPr="00A4101C">
        <w:rPr>
          <w:rFonts w:eastAsiaTheme="minorHAnsi" w:cs="Times New Roman"/>
        </w:rPr>
        <w:t xml:space="preserve"> – 2/3 σ</w:t>
      </w:r>
      <w:r w:rsidRPr="00A4101C">
        <w:rPr>
          <w:rFonts w:eastAsiaTheme="minorHAnsi" w:cs="Times New Roman"/>
          <w:vertAlign w:val="superscript"/>
        </w:rPr>
        <w:t xml:space="preserve"> 2</w:t>
      </w:r>
      <w:r w:rsidRPr="00A4101C">
        <w:rPr>
          <w:rFonts w:eastAsiaTheme="minorHAnsi" w:cs="Times New Roman"/>
          <w:vertAlign w:val="subscript"/>
        </w:rPr>
        <w:t>sca</w:t>
      </w:r>
    </w:p>
    <w:p w14:paraId="7E7905FE" w14:textId="77777777" w:rsidR="00043399" w:rsidRPr="00A4101C" w:rsidRDefault="00043399" w:rsidP="00043399">
      <w:pPr>
        <w:rPr>
          <w:rFonts w:eastAsiaTheme="minorHAnsi" w:cs="Times New Roman"/>
        </w:rPr>
      </w:pPr>
      <w:r w:rsidRPr="00A4101C">
        <w:rPr>
          <w:rFonts w:eastAsiaTheme="minorHAnsi" w:cs="Times New Roman"/>
        </w:rPr>
        <w:t>σ</w:t>
      </w:r>
      <w:r w:rsidRPr="00A4101C">
        <w:rPr>
          <w:rFonts w:eastAsiaTheme="minorHAnsi" w:cs="Times New Roman"/>
          <w:vertAlign w:val="superscript"/>
        </w:rPr>
        <w:t>2</w:t>
      </w:r>
      <w:r w:rsidRPr="00A4101C">
        <w:rPr>
          <w:rFonts w:eastAsiaTheme="minorHAnsi" w:cs="Times New Roman"/>
          <w:vertAlign w:val="subscript"/>
        </w:rPr>
        <w:t>D</w:t>
      </w:r>
      <w:r w:rsidRPr="00A4101C">
        <w:rPr>
          <w:rFonts w:eastAsiaTheme="minorHAnsi" w:cs="Times New Roman"/>
        </w:rPr>
        <w:t xml:space="preserve"> = 6 σ</w:t>
      </w:r>
      <w:r w:rsidRPr="00A4101C">
        <w:rPr>
          <w:rFonts w:eastAsiaTheme="minorHAnsi" w:cs="Times New Roman"/>
          <w:vertAlign w:val="superscript"/>
        </w:rPr>
        <w:t xml:space="preserve"> 2</w:t>
      </w:r>
      <w:r w:rsidRPr="00A4101C">
        <w:rPr>
          <w:rFonts w:eastAsiaTheme="minorHAnsi" w:cs="Times New Roman"/>
          <w:vertAlign w:val="subscript"/>
        </w:rPr>
        <w:t>sca</w:t>
      </w:r>
      <w:r w:rsidRPr="00A4101C">
        <w:rPr>
          <w:rFonts w:eastAsiaTheme="minorHAnsi" w:cs="Times New Roman"/>
        </w:rPr>
        <w:t xml:space="preserve">. </w:t>
      </w:r>
    </w:p>
    <w:p w14:paraId="03E7E0CE" w14:textId="77777777" w:rsidR="00043399" w:rsidRPr="00A4101C" w:rsidRDefault="00043399" w:rsidP="00043399">
      <w:pPr>
        <w:ind w:firstLine="720"/>
        <w:rPr>
          <w:rFonts w:eastAsiaTheme="minorHAnsi" w:cs="Times New Roman"/>
        </w:rPr>
      </w:pPr>
      <w:r w:rsidRPr="00A4101C">
        <w:rPr>
          <w:rFonts w:eastAsiaTheme="minorHAnsi" w:cs="Times New Roman"/>
        </w:rPr>
        <w:t>Narrow-sense heritability (</w:t>
      </w:r>
      <w:r w:rsidRPr="00A4101C">
        <w:rPr>
          <w:rFonts w:eastAsiaTheme="minorHAnsi" w:cs="Times New Roman"/>
          <w:i/>
        </w:rPr>
        <w:t>h</w:t>
      </w:r>
      <w:r w:rsidRPr="00A4101C">
        <w:rPr>
          <w:rFonts w:eastAsiaTheme="minorHAnsi" w:cs="Times New Roman"/>
          <w:i/>
          <w:vertAlign w:val="superscript"/>
        </w:rPr>
        <w:t>2</w:t>
      </w:r>
      <w:r w:rsidRPr="00A4101C">
        <w:rPr>
          <w:rFonts w:eastAsiaTheme="minorHAnsi" w:cs="Times New Roman"/>
        </w:rPr>
        <w:t xml:space="preserve">) was estimated using the following formula:  </w:t>
      </w:r>
    </w:p>
    <w:p w14:paraId="71A7F84E" w14:textId="52567E0C" w:rsidR="00043399" w:rsidRPr="00A4101C" w:rsidRDefault="00043399" w:rsidP="00043399">
      <w:pPr>
        <w:ind w:firstLine="720"/>
        <w:rPr>
          <w:rFonts w:eastAsiaTheme="minorHAnsi" w:cs="Times New Roman"/>
          <w:i/>
          <w:vertAlign w:val="subscript"/>
        </w:rPr>
      </w:pPr>
      <w:r w:rsidRPr="00A4101C">
        <w:rPr>
          <w:rFonts w:eastAsiaTheme="minorHAnsi" w:cs="Times New Roman"/>
          <w:i/>
        </w:rPr>
        <w:t>h</w:t>
      </w:r>
      <w:r w:rsidRPr="00A4101C">
        <w:rPr>
          <w:rFonts w:eastAsiaTheme="minorHAnsi" w:cs="Times New Roman"/>
          <w:i/>
          <w:vertAlign w:val="superscript"/>
        </w:rPr>
        <w:t>2</w:t>
      </w:r>
      <w:r w:rsidRPr="00A4101C">
        <w:rPr>
          <w:rFonts w:eastAsiaTheme="minorHAnsi" w:cs="Times New Roman"/>
          <w:i/>
        </w:rPr>
        <w:t xml:space="preserve"> = σ</w:t>
      </w:r>
      <w:r w:rsidRPr="00A4101C">
        <w:rPr>
          <w:rFonts w:eastAsiaTheme="minorHAnsi" w:cs="Times New Roman"/>
          <w:i/>
          <w:vertAlign w:val="superscript"/>
        </w:rPr>
        <w:t>2</w:t>
      </w:r>
      <w:r w:rsidR="00893CD8">
        <w:rPr>
          <w:rFonts w:eastAsiaTheme="minorHAnsi" w:cs="Times New Roman"/>
          <w:i/>
          <w:vertAlign w:val="subscript"/>
        </w:rPr>
        <w:t>A</w:t>
      </w:r>
      <w:r w:rsidRPr="00A4101C">
        <w:rPr>
          <w:rFonts w:eastAsiaTheme="minorHAnsi" w:cs="Times New Roman"/>
          <w:i/>
        </w:rPr>
        <w:t>/ σ</w:t>
      </w:r>
      <w:r w:rsidRPr="00A4101C">
        <w:rPr>
          <w:rFonts w:eastAsiaTheme="minorHAnsi" w:cs="Times New Roman"/>
          <w:i/>
          <w:vertAlign w:val="superscript"/>
        </w:rPr>
        <w:t>2</w:t>
      </w:r>
      <w:r w:rsidR="00893CD8">
        <w:rPr>
          <w:rFonts w:eastAsiaTheme="minorHAnsi" w:cs="Times New Roman"/>
          <w:i/>
          <w:vertAlign w:val="subscript"/>
        </w:rPr>
        <w:t>P</w:t>
      </w:r>
    </w:p>
    <w:p w14:paraId="53EDAE63" w14:textId="48EC915E" w:rsidR="00043399" w:rsidRPr="00A4101C" w:rsidRDefault="00043399" w:rsidP="00043399">
      <w:pPr>
        <w:rPr>
          <w:rFonts w:eastAsiaTheme="minorHAnsi" w:cs="Times New Roman"/>
        </w:rPr>
      </w:pPr>
      <w:proofErr w:type="gramStart"/>
      <w:r w:rsidRPr="00A4101C">
        <w:rPr>
          <w:rFonts w:eastAsiaTheme="minorHAnsi" w:cs="Times New Roman"/>
        </w:rPr>
        <w:t>where</w:t>
      </w:r>
      <w:proofErr w:type="gramEnd"/>
      <w:r w:rsidRPr="00A4101C">
        <w:rPr>
          <w:rFonts w:eastAsiaTheme="minorHAnsi" w:cs="Times New Roman"/>
        </w:rPr>
        <w:t xml:space="preserve"> </w:t>
      </w:r>
      <w:r w:rsidRPr="00A4101C">
        <w:rPr>
          <w:rFonts w:eastAsiaTheme="minorHAnsi" w:cs="Times New Roman"/>
          <w:i/>
        </w:rPr>
        <w:t>σ</w:t>
      </w:r>
      <w:r w:rsidRPr="00A4101C">
        <w:rPr>
          <w:rFonts w:eastAsiaTheme="minorHAnsi" w:cs="Times New Roman"/>
          <w:i/>
          <w:vertAlign w:val="superscript"/>
        </w:rPr>
        <w:t>2</w:t>
      </w:r>
      <w:r w:rsidR="00893CD8">
        <w:rPr>
          <w:rFonts w:eastAsiaTheme="minorHAnsi" w:cs="Times New Roman"/>
          <w:i/>
          <w:vertAlign w:val="subscript"/>
        </w:rPr>
        <w:t>P</w:t>
      </w:r>
      <w:r w:rsidRPr="00A4101C">
        <w:rPr>
          <w:rFonts w:eastAsiaTheme="minorHAnsi" w:cs="Times New Roman"/>
          <w:vertAlign w:val="subscript"/>
        </w:rPr>
        <w:t xml:space="preserve"> </w:t>
      </w:r>
      <w:r w:rsidRPr="00A4101C">
        <w:rPr>
          <w:rFonts w:eastAsiaTheme="minorHAnsi" w:cs="Times New Roman"/>
        </w:rPr>
        <w:t xml:space="preserve">= the sum of additive, dominance, and residual variance components. </w:t>
      </w:r>
    </w:p>
    <w:p w14:paraId="6047F516" w14:textId="77777777" w:rsidR="00043399" w:rsidRPr="00A4101C" w:rsidRDefault="00043399" w:rsidP="00043399">
      <w:pPr>
        <w:ind w:firstLine="720"/>
        <w:rPr>
          <w:rFonts w:eastAsiaTheme="minorHAnsi" w:cs="Times New Roman"/>
        </w:rPr>
      </w:pPr>
      <w:r w:rsidRPr="00A4101C">
        <w:rPr>
          <w:rFonts w:eastAsiaTheme="minorHAnsi" w:cs="Times New Roman"/>
        </w:rPr>
        <w:t>Broad-sense heritability (</w:t>
      </w:r>
      <w:r w:rsidRPr="00A4101C">
        <w:rPr>
          <w:rFonts w:eastAsiaTheme="minorHAnsi" w:cs="Times New Roman"/>
          <w:i/>
        </w:rPr>
        <w:t>H</w:t>
      </w:r>
      <w:r w:rsidRPr="00A4101C">
        <w:rPr>
          <w:rFonts w:eastAsiaTheme="minorHAnsi" w:cs="Times New Roman"/>
          <w:i/>
          <w:vertAlign w:val="superscript"/>
        </w:rPr>
        <w:t>2</w:t>
      </w:r>
      <w:r w:rsidRPr="00A4101C">
        <w:rPr>
          <w:rFonts w:eastAsiaTheme="minorHAnsi" w:cs="Times New Roman"/>
        </w:rPr>
        <w:t xml:space="preserve">) was estimated using the following formula: </w:t>
      </w:r>
    </w:p>
    <w:p w14:paraId="43924720" w14:textId="7249E7BF" w:rsidR="00043399" w:rsidRPr="00A4101C" w:rsidRDefault="00043399" w:rsidP="00043399">
      <w:pPr>
        <w:ind w:firstLine="720"/>
        <w:rPr>
          <w:rFonts w:eastAsiaTheme="minorHAnsi" w:cs="Times New Roman"/>
          <w:i/>
          <w:vertAlign w:val="subscript"/>
        </w:rPr>
      </w:pPr>
      <w:r w:rsidRPr="00A4101C">
        <w:rPr>
          <w:rFonts w:eastAsiaTheme="minorHAnsi" w:cs="Times New Roman"/>
          <w:i/>
        </w:rPr>
        <w:t>H</w:t>
      </w:r>
      <w:r w:rsidRPr="00A4101C">
        <w:rPr>
          <w:rFonts w:eastAsiaTheme="minorHAnsi" w:cs="Times New Roman"/>
          <w:i/>
          <w:vertAlign w:val="superscript"/>
        </w:rPr>
        <w:t>2</w:t>
      </w:r>
      <w:r w:rsidRPr="00A4101C">
        <w:rPr>
          <w:rFonts w:eastAsiaTheme="minorHAnsi" w:cs="Times New Roman"/>
          <w:i/>
        </w:rPr>
        <w:t xml:space="preserve"> = (σ</w:t>
      </w:r>
      <w:r w:rsidRPr="00A4101C">
        <w:rPr>
          <w:rFonts w:eastAsiaTheme="minorHAnsi" w:cs="Times New Roman"/>
          <w:i/>
          <w:vertAlign w:val="superscript"/>
        </w:rPr>
        <w:t>2</w:t>
      </w:r>
      <w:r w:rsidR="00893CD8">
        <w:rPr>
          <w:rFonts w:eastAsiaTheme="minorHAnsi" w:cs="Times New Roman"/>
          <w:i/>
          <w:vertAlign w:val="subscript"/>
        </w:rPr>
        <w:t>A</w:t>
      </w:r>
      <w:r w:rsidRPr="00A4101C">
        <w:rPr>
          <w:rFonts w:eastAsiaTheme="minorHAnsi" w:cs="Times New Roman"/>
          <w:i/>
          <w:vertAlign w:val="subscript"/>
        </w:rPr>
        <w:t xml:space="preserve">+ </w:t>
      </w:r>
      <w:r w:rsidRPr="00A4101C">
        <w:rPr>
          <w:rFonts w:eastAsiaTheme="minorHAnsi" w:cs="Times New Roman"/>
          <w:i/>
        </w:rPr>
        <w:t>σ</w:t>
      </w:r>
      <w:r w:rsidRPr="00A4101C">
        <w:rPr>
          <w:rFonts w:eastAsiaTheme="minorHAnsi" w:cs="Times New Roman"/>
          <w:i/>
          <w:vertAlign w:val="superscript"/>
        </w:rPr>
        <w:t>2</w:t>
      </w:r>
      <w:r w:rsidR="00893CD8">
        <w:rPr>
          <w:rFonts w:eastAsiaTheme="minorHAnsi" w:cs="Times New Roman"/>
          <w:i/>
          <w:vertAlign w:val="subscript"/>
        </w:rPr>
        <w:t>D</w:t>
      </w:r>
      <w:r w:rsidRPr="00A4101C">
        <w:rPr>
          <w:rFonts w:eastAsiaTheme="minorHAnsi" w:cs="Times New Roman"/>
          <w:i/>
        </w:rPr>
        <w:t>)/ σ</w:t>
      </w:r>
      <w:r w:rsidRPr="00A4101C">
        <w:rPr>
          <w:rFonts w:eastAsiaTheme="minorHAnsi" w:cs="Times New Roman"/>
          <w:i/>
          <w:vertAlign w:val="superscript"/>
        </w:rPr>
        <w:t>2</w:t>
      </w:r>
      <w:r w:rsidR="00893CD8">
        <w:rPr>
          <w:rFonts w:eastAsiaTheme="minorHAnsi" w:cs="Times New Roman"/>
          <w:i/>
          <w:vertAlign w:val="subscript"/>
        </w:rPr>
        <w:t>P</w:t>
      </w:r>
    </w:p>
    <w:p w14:paraId="5DBF734F" w14:textId="02097FFA" w:rsidR="00043399" w:rsidRPr="00A4101C" w:rsidRDefault="00043399" w:rsidP="00043399">
      <w:pPr>
        <w:ind w:firstLine="720"/>
        <w:rPr>
          <w:rFonts w:eastAsiaTheme="minorHAnsi" w:cs="Times New Roman"/>
        </w:rPr>
      </w:pPr>
      <w:r w:rsidRPr="00A4101C">
        <w:rPr>
          <w:rFonts w:eastAsiaTheme="minorHAnsi" w:cs="Times New Roman"/>
        </w:rPr>
        <w:t>High parent heterosis was calculated for al</w:t>
      </w:r>
      <w:r w:rsidR="00AE42CF">
        <w:rPr>
          <w:rFonts w:eastAsiaTheme="minorHAnsi" w:cs="Times New Roman"/>
        </w:rPr>
        <w:t>l quantitative traits including</w:t>
      </w:r>
      <w:r w:rsidRPr="00A4101C">
        <w:rPr>
          <w:rFonts w:eastAsiaTheme="minorHAnsi" w:cs="Times New Roman"/>
        </w:rPr>
        <w:t xml:space="preserve"> biomass yield, </w:t>
      </w:r>
      <w:r>
        <w:rPr>
          <w:rFonts w:eastAsiaTheme="minorHAnsi" w:cs="Times New Roman"/>
        </w:rPr>
        <w:t>predicted ethanol yield</w:t>
      </w:r>
      <w:r w:rsidRPr="00A4101C">
        <w:rPr>
          <w:rFonts w:eastAsiaTheme="minorHAnsi" w:cs="Times New Roman"/>
        </w:rPr>
        <w:t xml:space="preserve">, plant height (fall and spring), tiller number, tiller diameter, and </w:t>
      </w:r>
      <w:r w:rsidR="00B8390A">
        <w:rPr>
          <w:rFonts w:eastAsiaTheme="minorHAnsi" w:cs="Times New Roman"/>
        </w:rPr>
        <w:t>leaf width</w:t>
      </w:r>
      <w:r w:rsidRPr="00A4101C">
        <w:rPr>
          <w:rFonts w:eastAsiaTheme="minorHAnsi" w:cs="Times New Roman"/>
        </w:rPr>
        <w:t xml:space="preserve">. High-parent heterosis, defined as progeny performance relative to </w:t>
      </w:r>
      <w:r w:rsidR="00AE42CF">
        <w:rPr>
          <w:rFonts w:eastAsiaTheme="minorHAnsi" w:cs="Times New Roman"/>
        </w:rPr>
        <w:t xml:space="preserve">the </w:t>
      </w:r>
      <w:r w:rsidRPr="00A4101C">
        <w:rPr>
          <w:rFonts w:eastAsiaTheme="minorHAnsi" w:cs="Times New Roman"/>
        </w:rPr>
        <w:t>high parent performance, was calculated for each trait using the following formula:</w:t>
      </w:r>
    </w:p>
    <w:p w14:paraId="14B791FE" w14:textId="36C9E626" w:rsidR="00043399" w:rsidRPr="00A4101C" w:rsidRDefault="00043399" w:rsidP="00043399">
      <w:pPr>
        <w:ind w:firstLine="720"/>
        <w:rPr>
          <w:rFonts w:eastAsiaTheme="minorHAnsi" w:cs="Times New Roman"/>
        </w:rPr>
      </w:pPr>
      <w:r w:rsidRPr="00A4101C">
        <w:rPr>
          <w:rFonts w:eastAsiaTheme="minorHAnsi" w:cs="Times New Roman"/>
        </w:rPr>
        <w:t xml:space="preserve">High parent heterosis = Hybrid mean – High parent mean </w:t>
      </w:r>
      <w:r w:rsidR="00301182" w:rsidRPr="00A4101C">
        <w:rPr>
          <w:rFonts w:eastAsiaTheme="minorHAnsi" w:cs="Times New Roman"/>
        </w:rPr>
        <w:fldChar w:fldCharType="begin"/>
      </w:r>
      <w:r>
        <w:rPr>
          <w:rFonts w:eastAsiaTheme="minorHAnsi" w:cs="Times New Roman"/>
        </w:rPr>
        <w:instrText xml:space="preserve"> ADDIN EN.CITE &lt;EndNote&gt;&lt;Cite&gt;&lt;Author&gt;Martinez-Reyna&lt;/Author&gt;&lt;Year&gt;2008&lt;/Year&gt;&lt;RecNum&gt;259&lt;/RecNum&gt;&lt;DisplayText&gt;(Martinez-Reyna and Vogel, 2008)&lt;/DisplayText&gt;&lt;record&gt;&lt;rec-number&gt;259&lt;/rec-number&gt;&lt;foreign-keys&gt;&lt;key app="EN" db-id="9zfxt259rawwvce0pfa5efeuatdw0pz5va5z" timestamp="1323887732"&gt;259&lt;/key&gt;&lt;/foreign-keys&gt;&lt;ref-type name="Journal Article"&gt;17&lt;/ref-type&gt;&lt;contributors&gt;&lt;authors&gt;&lt;author&gt;Martinez-Reyna, J.M.&lt;/author&gt;&lt;author&gt;Vogel, K.P.&lt;/author&gt;&lt;/authors&gt;&lt;/contributors&gt;&lt;titles&gt;&lt;title&gt;Heterosis in switchgrass:  Spaced plants&lt;/title&gt;&lt;secondary-title&gt;Crop Sci.&lt;/secondary-title&gt;&lt;/titles&gt;&lt;periodical&gt;&lt;full-title&gt;Crop Sci.&lt;/full-title&gt;&lt;/periodical&gt;&lt;pages&gt;1312-1320&lt;/pages&gt;&lt;volume&gt;48&lt;/volume&gt;&lt;section&gt;1312&lt;/section&gt;&lt;dates&gt;&lt;year&gt;2008&lt;/year&gt;&lt;/dates&gt;&lt;urls&gt;&lt;/urls&gt;&lt;/record&gt;&lt;/Cite&gt;&lt;/EndNote&gt;</w:instrText>
      </w:r>
      <w:r w:rsidR="00301182" w:rsidRPr="00A4101C">
        <w:rPr>
          <w:rFonts w:eastAsiaTheme="minorHAnsi" w:cs="Times New Roman"/>
        </w:rPr>
        <w:fldChar w:fldCharType="separate"/>
      </w:r>
      <w:r>
        <w:rPr>
          <w:rFonts w:eastAsiaTheme="minorHAnsi" w:cs="Times New Roman"/>
          <w:noProof/>
        </w:rPr>
        <w:t>(</w:t>
      </w:r>
      <w:hyperlink w:anchor="_ENREF_68" w:tooltip="Martinez-Reyna, 2008 #259" w:history="1">
        <w:r w:rsidR="00FB5014">
          <w:rPr>
            <w:rFonts w:eastAsiaTheme="minorHAnsi" w:cs="Times New Roman"/>
            <w:noProof/>
          </w:rPr>
          <w:t>Martinez-Reyna and Vogel, 2008</w:t>
        </w:r>
      </w:hyperlink>
      <w:r>
        <w:rPr>
          <w:rFonts w:eastAsiaTheme="minorHAnsi" w:cs="Times New Roman"/>
          <w:noProof/>
        </w:rPr>
        <w:t>)</w:t>
      </w:r>
      <w:r w:rsidR="00301182" w:rsidRPr="00A4101C">
        <w:rPr>
          <w:rFonts w:eastAsiaTheme="minorHAnsi" w:cs="Times New Roman"/>
        </w:rPr>
        <w:fldChar w:fldCharType="end"/>
      </w:r>
    </w:p>
    <w:p w14:paraId="61686D27" w14:textId="29A310DD" w:rsidR="00043399" w:rsidRPr="00A4101C" w:rsidRDefault="00043399" w:rsidP="00043399">
      <w:pPr>
        <w:rPr>
          <w:rFonts w:eastAsiaTheme="minorHAnsi" w:cs="Times New Roman"/>
        </w:rPr>
      </w:pPr>
      <w:r w:rsidRPr="00A4101C">
        <w:rPr>
          <w:rFonts w:eastAsiaTheme="minorHAnsi" w:cs="Times New Roman"/>
        </w:rPr>
        <w:t xml:space="preserve">Using this formula allowed for heterosis to be analyzed using mean separation statistics. Data were analyzed </w:t>
      </w:r>
      <w:r w:rsidR="005A7553">
        <w:rPr>
          <w:rFonts w:eastAsiaTheme="minorHAnsi" w:cs="Times New Roman"/>
        </w:rPr>
        <w:t>with</w:t>
      </w:r>
      <w:r w:rsidRPr="00A4101C">
        <w:rPr>
          <w:rFonts w:eastAsiaTheme="minorHAnsi" w:cs="Times New Roman"/>
        </w:rPr>
        <w:t xml:space="preserve"> the </w:t>
      </w:r>
      <w:r w:rsidR="00E0063E">
        <w:rPr>
          <w:rFonts w:eastAsiaTheme="minorHAnsi" w:cs="Times New Roman"/>
        </w:rPr>
        <w:t>GLIMMIX</w:t>
      </w:r>
      <w:r w:rsidRPr="00A4101C">
        <w:rPr>
          <w:rFonts w:eastAsiaTheme="minorHAnsi" w:cs="Times New Roman"/>
        </w:rPr>
        <w:t xml:space="preserve"> procedure in SAS </w:t>
      </w:r>
      <w:r w:rsidR="005A7553">
        <w:rPr>
          <w:rFonts w:eastAsiaTheme="minorHAnsi" w:cs="Times New Roman"/>
        </w:rPr>
        <w:t>using</w:t>
      </w:r>
      <w:r w:rsidRPr="00A4101C">
        <w:rPr>
          <w:rFonts w:eastAsiaTheme="minorHAnsi" w:cs="Times New Roman"/>
        </w:rPr>
        <w:t xml:space="preserve"> the same model defined </w:t>
      </w:r>
      <w:r w:rsidR="00AB2B26">
        <w:rPr>
          <w:rFonts w:eastAsiaTheme="minorHAnsi" w:cs="Times New Roman"/>
        </w:rPr>
        <w:t xml:space="preserve">above but with GCA and SCA specified as fixed effects and the remaining effects specified as random. </w:t>
      </w:r>
      <w:r w:rsidRPr="00A4101C">
        <w:rPr>
          <w:rFonts w:eastAsiaTheme="minorHAnsi" w:cs="Times New Roman"/>
        </w:rPr>
        <w:t xml:space="preserve"> </w:t>
      </w:r>
    </w:p>
    <w:p w14:paraId="7E304DA0" w14:textId="13BB3443" w:rsidR="00043399" w:rsidRPr="00A4101C" w:rsidRDefault="00043399" w:rsidP="00043399">
      <w:pPr>
        <w:ind w:firstLine="720"/>
        <w:rPr>
          <w:rFonts w:eastAsiaTheme="minorHAnsi" w:cs="Times New Roman"/>
        </w:rPr>
      </w:pPr>
      <w:r w:rsidRPr="00A4101C">
        <w:rPr>
          <w:rFonts w:eastAsiaTheme="minorHAnsi" w:cs="Times New Roman"/>
        </w:rPr>
        <w:lastRenderedPageBreak/>
        <w:t>To evaluate the efficacy o</w:t>
      </w:r>
      <w:r>
        <w:rPr>
          <w:rFonts w:eastAsiaTheme="minorHAnsi" w:cs="Times New Roman"/>
        </w:rPr>
        <w:t>f selection within a space planted nursery</w:t>
      </w:r>
      <w:r w:rsidR="00FA43A1">
        <w:rPr>
          <w:rFonts w:eastAsiaTheme="minorHAnsi" w:cs="Times New Roman"/>
        </w:rPr>
        <w:t>, the top yielding 3</w:t>
      </w:r>
      <w:r w:rsidRPr="00A4101C">
        <w:rPr>
          <w:rFonts w:eastAsiaTheme="minorHAnsi" w:cs="Times New Roman"/>
        </w:rPr>
        <w:t xml:space="preserve">0% of lines and crosses were selected within each year and matched to corresponding </w:t>
      </w:r>
      <w:r>
        <w:rPr>
          <w:rFonts w:eastAsiaTheme="minorHAnsi" w:cs="Times New Roman"/>
        </w:rPr>
        <w:t>sward planted</w:t>
      </w:r>
      <w:r w:rsidRPr="00A4101C">
        <w:rPr>
          <w:rFonts w:eastAsiaTheme="minorHAnsi" w:cs="Times New Roman"/>
        </w:rPr>
        <w:t xml:space="preserve"> biomass and ethanol value</w:t>
      </w:r>
      <w:r>
        <w:rPr>
          <w:rFonts w:eastAsiaTheme="minorHAnsi" w:cs="Times New Roman"/>
        </w:rPr>
        <w:t>s to compare the theoretical performance under production conditions</w:t>
      </w:r>
      <w:r w:rsidRPr="00A4101C">
        <w:rPr>
          <w:rFonts w:eastAsiaTheme="minorHAnsi" w:cs="Times New Roman"/>
        </w:rPr>
        <w:t xml:space="preserve"> of each set of selections: </w:t>
      </w:r>
      <w:r>
        <w:rPr>
          <w:rFonts w:eastAsiaTheme="minorHAnsi" w:cs="Times New Roman"/>
        </w:rPr>
        <w:t>space planted and sward planted.</w:t>
      </w:r>
      <w:r w:rsidRPr="00A4101C">
        <w:rPr>
          <w:rFonts w:eastAsiaTheme="minorHAnsi" w:cs="Times New Roman"/>
        </w:rPr>
        <w:t xml:space="preserve"> Performance of each selection set was compared using ANOVA with means separated using Tukey’s HSD.</w:t>
      </w:r>
      <w:r w:rsidR="00FA43A1">
        <w:rPr>
          <w:rFonts w:eastAsiaTheme="minorHAnsi" w:cs="Times New Roman"/>
        </w:rPr>
        <w:t xml:space="preserve"> </w:t>
      </w:r>
      <w:r w:rsidR="00E0063E">
        <w:rPr>
          <w:rFonts w:eastAsiaTheme="minorHAnsi" w:cs="Times New Roman"/>
        </w:rPr>
        <w:t>The percentage of crosses that were the same between the 2013 sward planted selection set and all other years and locations was also calculated</w:t>
      </w:r>
      <w:r w:rsidR="00954DB7">
        <w:rPr>
          <w:rFonts w:eastAsiaTheme="minorHAnsi" w:cs="Times New Roman"/>
        </w:rPr>
        <w:t xml:space="preserve">. </w:t>
      </w:r>
    </w:p>
    <w:p w14:paraId="1E1EF8E0" w14:textId="77777777" w:rsidR="00043399" w:rsidRDefault="00043399" w:rsidP="00043399">
      <w:pPr>
        <w:pStyle w:val="Heading2"/>
        <w:rPr>
          <w:rFonts w:eastAsiaTheme="minorHAnsi"/>
        </w:rPr>
      </w:pPr>
      <w:bookmarkStart w:id="94" w:name="_Toc404069856"/>
      <w:r>
        <w:rPr>
          <w:rFonts w:eastAsiaTheme="minorHAnsi"/>
        </w:rPr>
        <w:t>Results and Discussion</w:t>
      </w:r>
      <w:bookmarkEnd w:id="94"/>
    </w:p>
    <w:p w14:paraId="253E65B2" w14:textId="77777777" w:rsidR="00043399" w:rsidRDefault="00043399" w:rsidP="00043399">
      <w:pPr>
        <w:pStyle w:val="Heading3"/>
        <w:jc w:val="both"/>
        <w:rPr>
          <w:rFonts w:eastAsiaTheme="minorHAnsi"/>
        </w:rPr>
      </w:pPr>
      <w:bookmarkStart w:id="95" w:name="_Toc404069857"/>
      <w:r>
        <w:rPr>
          <w:rFonts w:eastAsiaTheme="minorHAnsi"/>
        </w:rPr>
        <w:t>Means</w:t>
      </w:r>
      <w:r w:rsidR="00CE44F9">
        <w:rPr>
          <w:rFonts w:eastAsiaTheme="minorHAnsi"/>
        </w:rPr>
        <w:t xml:space="preserve"> of Measured Traits</w:t>
      </w:r>
      <w:bookmarkEnd w:id="95"/>
    </w:p>
    <w:p w14:paraId="65D0199B" w14:textId="51724562" w:rsidR="00043399" w:rsidRDefault="00043399" w:rsidP="00043399">
      <w:pPr>
        <w:ind w:firstLine="720"/>
        <w:rPr>
          <w:rFonts w:eastAsiaTheme="minorHAnsi"/>
        </w:rPr>
      </w:pPr>
      <w:r>
        <w:rPr>
          <w:rFonts w:eastAsiaTheme="minorHAnsi"/>
        </w:rPr>
        <w:t>Mean biomass yield (g plant</w:t>
      </w:r>
      <w:r>
        <w:rPr>
          <w:rFonts w:eastAsiaTheme="minorHAnsi"/>
          <w:vertAlign w:val="superscript"/>
        </w:rPr>
        <w:t>-1</w:t>
      </w:r>
      <w:r>
        <w:rPr>
          <w:rFonts w:eastAsiaTheme="minorHAnsi"/>
        </w:rPr>
        <w:t xml:space="preserve">) </w:t>
      </w:r>
      <w:r w:rsidR="00E0063E">
        <w:rPr>
          <w:rFonts w:eastAsiaTheme="minorHAnsi"/>
        </w:rPr>
        <w:t>showed significant interaction between location and year (</w:t>
      </w:r>
      <w:r w:rsidR="00B7572A">
        <w:rPr>
          <w:rFonts w:eastAsiaTheme="minorHAnsi"/>
        </w:rPr>
        <w:t xml:space="preserve">P </w:t>
      </w:r>
      <w:r w:rsidR="009021A8">
        <w:rPr>
          <w:rFonts w:eastAsiaTheme="minorHAnsi"/>
        </w:rPr>
        <w:t xml:space="preserve">&lt; </w:t>
      </w:r>
      <w:r w:rsidR="00E0063E">
        <w:rPr>
          <w:rFonts w:eastAsiaTheme="minorHAnsi"/>
        </w:rPr>
        <w:t>0.001)</w:t>
      </w:r>
      <w:r w:rsidR="00024F5B">
        <w:rPr>
          <w:rFonts w:eastAsiaTheme="minorHAnsi"/>
        </w:rPr>
        <w:t xml:space="preserve"> (Figure 3-1 A)</w:t>
      </w:r>
      <w:r w:rsidR="009021A8">
        <w:rPr>
          <w:rFonts w:eastAsiaTheme="minorHAnsi"/>
        </w:rPr>
        <w:t xml:space="preserve"> </w:t>
      </w:r>
      <w:r w:rsidR="009021A8">
        <w:rPr>
          <w:rFonts w:cs="Times New Roman"/>
        </w:rPr>
        <w:t xml:space="preserve">(All tables and figures are located in </w:t>
      </w:r>
      <w:r w:rsidR="005C423F">
        <w:rPr>
          <w:rFonts w:cs="Times New Roman"/>
        </w:rPr>
        <w:t>A</w:t>
      </w:r>
      <w:r w:rsidR="009021A8">
        <w:rPr>
          <w:rFonts w:cs="Times New Roman"/>
        </w:rPr>
        <w:t>ppendix</w:t>
      </w:r>
      <w:r w:rsidR="005C423F">
        <w:rPr>
          <w:rFonts w:cs="Times New Roman"/>
        </w:rPr>
        <w:t xml:space="preserve"> III</w:t>
      </w:r>
      <w:r w:rsidR="009021A8">
        <w:rPr>
          <w:rFonts w:cs="Times New Roman"/>
        </w:rPr>
        <w:t>)</w:t>
      </w:r>
      <w:r w:rsidR="00E0063E">
        <w:rPr>
          <w:rFonts w:eastAsiaTheme="minorHAnsi"/>
        </w:rPr>
        <w:t>.</w:t>
      </w:r>
      <w:r>
        <w:rPr>
          <w:rFonts w:eastAsiaTheme="minorHAnsi"/>
        </w:rPr>
        <w:t xml:space="preserve"> Mean biomass yield </w:t>
      </w:r>
      <w:r w:rsidR="00E0063E">
        <w:rPr>
          <w:rFonts w:eastAsiaTheme="minorHAnsi"/>
        </w:rPr>
        <w:t>in the space planted nursery did not differ significantly (</w:t>
      </w:r>
      <w:r w:rsidR="00B7572A">
        <w:rPr>
          <w:rFonts w:eastAsiaTheme="minorHAnsi"/>
        </w:rPr>
        <w:t xml:space="preserve">P </w:t>
      </w:r>
      <w:r w:rsidR="009021A8">
        <w:rPr>
          <w:rFonts w:eastAsiaTheme="minorHAnsi"/>
        </w:rPr>
        <w:t xml:space="preserve">&lt; </w:t>
      </w:r>
      <w:r w:rsidR="00E0063E">
        <w:rPr>
          <w:rFonts w:eastAsiaTheme="minorHAnsi"/>
        </w:rPr>
        <w:t>0.05) from mean biomass yield in the sward planted nursery in 2012</w:t>
      </w:r>
      <w:r w:rsidR="00954DB7">
        <w:rPr>
          <w:rFonts w:eastAsiaTheme="minorHAnsi"/>
        </w:rPr>
        <w:t xml:space="preserve">. </w:t>
      </w:r>
      <w:r w:rsidR="00E0063E">
        <w:rPr>
          <w:rFonts w:eastAsiaTheme="minorHAnsi"/>
        </w:rPr>
        <w:t>However, in the second year of evaluation,</w:t>
      </w:r>
      <w:r>
        <w:rPr>
          <w:rFonts w:eastAsiaTheme="minorHAnsi"/>
        </w:rPr>
        <w:t xml:space="preserve"> the space planted nursery showed a </w:t>
      </w:r>
      <w:r w:rsidR="00E0063E">
        <w:rPr>
          <w:rFonts w:eastAsiaTheme="minorHAnsi"/>
        </w:rPr>
        <w:t>ten</w:t>
      </w:r>
      <w:r>
        <w:rPr>
          <w:rFonts w:eastAsiaTheme="minorHAnsi"/>
        </w:rPr>
        <w:t xml:space="preserve">-fold increase in biomass yield </w:t>
      </w:r>
      <w:r w:rsidR="00E0063E">
        <w:rPr>
          <w:rFonts w:eastAsiaTheme="minorHAnsi"/>
        </w:rPr>
        <w:t xml:space="preserve">while the </w:t>
      </w:r>
      <w:r>
        <w:rPr>
          <w:rFonts w:eastAsiaTheme="minorHAnsi"/>
        </w:rPr>
        <w:t xml:space="preserve">sward planted nursery showed only a four-fold increase. </w:t>
      </w:r>
    </w:p>
    <w:p w14:paraId="7B733522" w14:textId="0EB40BBA" w:rsidR="00043399" w:rsidRDefault="00043399" w:rsidP="00043399">
      <w:pPr>
        <w:rPr>
          <w:rFonts w:eastAsiaTheme="minorHAnsi"/>
        </w:rPr>
      </w:pPr>
      <w:r>
        <w:rPr>
          <w:rFonts w:eastAsiaTheme="minorHAnsi"/>
        </w:rPr>
        <w:tab/>
        <w:t xml:space="preserve">  Mean predicted ethanol yield (mg g</w:t>
      </w:r>
      <w:r>
        <w:rPr>
          <w:rFonts w:eastAsiaTheme="minorHAnsi"/>
          <w:vertAlign w:val="superscript"/>
        </w:rPr>
        <w:t>-1</w:t>
      </w:r>
      <w:r>
        <w:rPr>
          <w:rFonts w:eastAsiaTheme="minorHAnsi"/>
        </w:rPr>
        <w:t xml:space="preserve">) </w:t>
      </w:r>
      <w:r w:rsidR="00024F5B">
        <w:rPr>
          <w:rFonts w:eastAsiaTheme="minorHAnsi"/>
        </w:rPr>
        <w:t>also showed significant interaction between location and year (</w:t>
      </w:r>
      <w:r w:rsidR="00B7572A">
        <w:rPr>
          <w:rFonts w:eastAsiaTheme="minorHAnsi"/>
        </w:rPr>
        <w:t xml:space="preserve">P </w:t>
      </w:r>
      <w:r w:rsidR="009021A8">
        <w:rPr>
          <w:rFonts w:eastAsiaTheme="minorHAnsi"/>
        </w:rPr>
        <w:t xml:space="preserve">&lt; </w:t>
      </w:r>
      <w:r w:rsidR="00024F5B">
        <w:rPr>
          <w:rFonts w:eastAsiaTheme="minorHAnsi"/>
        </w:rPr>
        <w:t>0.001</w:t>
      </w:r>
      <w:r>
        <w:rPr>
          <w:rFonts w:eastAsiaTheme="minorHAnsi"/>
        </w:rPr>
        <w:t>)</w:t>
      </w:r>
      <w:r w:rsidR="00024F5B">
        <w:rPr>
          <w:rFonts w:eastAsiaTheme="minorHAnsi"/>
        </w:rPr>
        <w:t xml:space="preserve"> (</w:t>
      </w:r>
      <w:r w:rsidR="00AB2B26">
        <w:rPr>
          <w:rFonts w:eastAsiaTheme="minorHAnsi"/>
        </w:rPr>
        <w:t>Figure</w:t>
      </w:r>
      <w:r w:rsidR="00024F5B">
        <w:rPr>
          <w:rFonts w:eastAsiaTheme="minorHAnsi"/>
        </w:rPr>
        <w:t xml:space="preserve"> 3-1 B)</w:t>
      </w:r>
      <w:r>
        <w:rPr>
          <w:rFonts w:eastAsiaTheme="minorHAnsi"/>
        </w:rPr>
        <w:t>. The space planted nursery had a higher mean predicted ethanol yield (</w:t>
      </w:r>
      <w:r w:rsidR="00024F5B">
        <w:rPr>
          <w:rFonts w:eastAsiaTheme="minorHAnsi" w:cs="Times New Roman"/>
        </w:rPr>
        <w:t>x̅</w:t>
      </w:r>
      <w:r>
        <w:rPr>
          <w:rFonts w:eastAsiaTheme="minorHAnsi"/>
        </w:rPr>
        <w:t xml:space="preserve"> = 65 mg g</w:t>
      </w:r>
      <w:r w:rsidRPr="00197BF9">
        <w:rPr>
          <w:rFonts w:eastAsiaTheme="minorHAnsi"/>
          <w:vertAlign w:val="superscript"/>
        </w:rPr>
        <w:t>-1</w:t>
      </w:r>
      <w:r>
        <w:rPr>
          <w:rFonts w:eastAsiaTheme="minorHAnsi"/>
        </w:rPr>
        <w:t>) compared to the sward planted nursery (</w:t>
      </w:r>
      <w:r w:rsidR="00024F5B">
        <w:rPr>
          <w:rFonts w:eastAsiaTheme="minorHAnsi" w:cs="Times New Roman"/>
        </w:rPr>
        <w:t>x̅</w:t>
      </w:r>
      <w:r>
        <w:rPr>
          <w:rFonts w:eastAsiaTheme="minorHAnsi"/>
        </w:rPr>
        <w:t xml:space="preserve"> = </w:t>
      </w:r>
      <w:r w:rsidR="00024F5B">
        <w:rPr>
          <w:rFonts w:eastAsiaTheme="minorHAnsi"/>
        </w:rPr>
        <w:t>60</w:t>
      </w:r>
      <w:r>
        <w:rPr>
          <w:rFonts w:eastAsiaTheme="minorHAnsi"/>
        </w:rPr>
        <w:t xml:space="preserve"> mg g</w:t>
      </w:r>
      <w:r w:rsidRPr="00197BF9">
        <w:rPr>
          <w:rFonts w:eastAsiaTheme="minorHAnsi"/>
          <w:vertAlign w:val="superscript"/>
        </w:rPr>
        <w:t>-1</w:t>
      </w:r>
      <w:r>
        <w:rPr>
          <w:rFonts w:eastAsiaTheme="minorHAnsi"/>
        </w:rPr>
        <w:t xml:space="preserve">) </w:t>
      </w:r>
      <w:r w:rsidR="00024F5B">
        <w:rPr>
          <w:rFonts w:eastAsiaTheme="minorHAnsi"/>
        </w:rPr>
        <w:t>in 2012, but the mean predicted ethanol yield did not differ significantly between the two nurseries</w:t>
      </w:r>
      <w:r w:rsidR="005A7553">
        <w:rPr>
          <w:rFonts w:eastAsiaTheme="minorHAnsi"/>
        </w:rPr>
        <w:t xml:space="preserve"> in 2013</w:t>
      </w:r>
      <w:r w:rsidR="00024F5B">
        <w:rPr>
          <w:rFonts w:eastAsiaTheme="minorHAnsi"/>
        </w:rPr>
        <w:t xml:space="preserve">. </w:t>
      </w:r>
    </w:p>
    <w:p w14:paraId="0DCA53CA" w14:textId="6F779DAB" w:rsidR="00E61C16" w:rsidRDefault="00043399" w:rsidP="00043399">
      <w:pPr>
        <w:rPr>
          <w:rFonts w:eastAsiaTheme="minorHAnsi"/>
        </w:rPr>
      </w:pPr>
      <w:r>
        <w:rPr>
          <w:rFonts w:eastAsiaTheme="minorHAnsi"/>
        </w:rPr>
        <w:tab/>
        <w:t xml:space="preserve">The lower biomass and ethanol values observed in the sward planted nurseries may have been related to the differences in morphological traits between the two nurseries. </w:t>
      </w:r>
      <w:r w:rsidR="00DB2487">
        <w:rPr>
          <w:rFonts w:eastAsiaTheme="minorHAnsi"/>
        </w:rPr>
        <w:t>F1 populations</w:t>
      </w:r>
      <w:r>
        <w:rPr>
          <w:rFonts w:eastAsiaTheme="minorHAnsi"/>
        </w:rPr>
        <w:t xml:space="preserve"> </w:t>
      </w:r>
      <w:r>
        <w:rPr>
          <w:rFonts w:eastAsiaTheme="minorHAnsi"/>
        </w:rPr>
        <w:lastRenderedPageBreak/>
        <w:t>within the sward planted nursery had fewer tille</w:t>
      </w:r>
      <w:r w:rsidR="005A7553">
        <w:rPr>
          <w:rFonts w:eastAsiaTheme="minorHAnsi"/>
        </w:rPr>
        <w:t xml:space="preserve">rs, </w:t>
      </w:r>
      <w:r>
        <w:rPr>
          <w:rFonts w:eastAsiaTheme="minorHAnsi"/>
        </w:rPr>
        <w:t xml:space="preserve">smaller diameter tillers, and narrower leaves than </w:t>
      </w:r>
      <w:r w:rsidR="00DB2487">
        <w:rPr>
          <w:rFonts w:eastAsiaTheme="minorHAnsi"/>
        </w:rPr>
        <w:t>F1 populations</w:t>
      </w:r>
      <w:r>
        <w:rPr>
          <w:rFonts w:eastAsiaTheme="minorHAnsi"/>
        </w:rPr>
        <w:t xml:space="preserve"> within the space planted nursery (</w:t>
      </w:r>
      <w:r w:rsidR="00AB2B26">
        <w:rPr>
          <w:rFonts w:eastAsiaTheme="minorHAnsi"/>
        </w:rPr>
        <w:t>Figure</w:t>
      </w:r>
      <w:r>
        <w:rPr>
          <w:rFonts w:eastAsiaTheme="minorHAnsi"/>
        </w:rPr>
        <w:t xml:space="preserve"> 3-1 C-E). </w:t>
      </w:r>
      <w:r w:rsidR="00024F5B">
        <w:rPr>
          <w:rFonts w:eastAsiaTheme="minorHAnsi"/>
        </w:rPr>
        <w:t>The differences in these morphological traits became more pronounce</w:t>
      </w:r>
      <w:r w:rsidR="001531F3">
        <w:rPr>
          <w:rFonts w:eastAsiaTheme="minorHAnsi"/>
        </w:rPr>
        <w:t>d</w:t>
      </w:r>
      <w:r w:rsidR="00024F5B">
        <w:rPr>
          <w:rFonts w:eastAsiaTheme="minorHAnsi"/>
        </w:rPr>
        <w:t xml:space="preserve"> in the second year as competition increased in the sward planted plots. </w:t>
      </w:r>
      <w:r>
        <w:rPr>
          <w:rFonts w:eastAsiaTheme="minorHAnsi"/>
        </w:rPr>
        <w:t xml:space="preserve">In both nurseries, tiller number increased in the second year, with a two-fold increase observed in the space planted nursery and approximately a one and a half-fold increase observed in the sward planted nursery </w:t>
      </w:r>
      <w:r w:rsidR="005A7553">
        <w:rPr>
          <w:rFonts w:eastAsiaTheme="minorHAnsi"/>
        </w:rPr>
        <w:t>(</w:t>
      </w:r>
      <w:r w:rsidR="00AB2B26">
        <w:rPr>
          <w:rFonts w:eastAsiaTheme="minorHAnsi"/>
        </w:rPr>
        <w:t xml:space="preserve">Figure </w:t>
      </w:r>
      <w:r>
        <w:rPr>
          <w:rFonts w:eastAsiaTheme="minorHAnsi"/>
        </w:rPr>
        <w:t>3-1 C). In</w:t>
      </w:r>
      <w:r w:rsidR="00E61C16">
        <w:rPr>
          <w:rFonts w:eastAsiaTheme="minorHAnsi"/>
        </w:rPr>
        <w:t xml:space="preserve"> both nurseries, tiller diameter decreased as tiller number increased (Figure 3-1 D)</w:t>
      </w:r>
      <w:r w:rsidR="00954DB7">
        <w:rPr>
          <w:rFonts w:eastAsiaTheme="minorHAnsi"/>
        </w:rPr>
        <w:t xml:space="preserve">. </w:t>
      </w:r>
      <w:r w:rsidR="00E61C16">
        <w:rPr>
          <w:rFonts w:eastAsiaTheme="minorHAnsi"/>
        </w:rPr>
        <w:t>This reduction in tiller diameter was more pronounced in the sward planted nursery, likely</w:t>
      </w:r>
      <w:r w:rsidR="005A7553">
        <w:rPr>
          <w:rFonts w:eastAsiaTheme="minorHAnsi"/>
        </w:rPr>
        <w:t xml:space="preserve"> due to</w:t>
      </w:r>
      <w:r w:rsidR="00E61C16">
        <w:rPr>
          <w:rFonts w:eastAsiaTheme="minorHAnsi"/>
        </w:rPr>
        <w:t xml:space="preserve"> increased competition. </w:t>
      </w:r>
      <w:r>
        <w:rPr>
          <w:rFonts w:eastAsiaTheme="minorHAnsi"/>
        </w:rPr>
        <w:t xml:space="preserve">In both nurseries, </w:t>
      </w:r>
      <w:r w:rsidR="00B8390A">
        <w:rPr>
          <w:rFonts w:eastAsiaTheme="minorHAnsi"/>
        </w:rPr>
        <w:t>leaf width</w:t>
      </w:r>
      <w:r w:rsidR="005A7553">
        <w:rPr>
          <w:rFonts w:eastAsiaTheme="minorHAnsi"/>
        </w:rPr>
        <w:t xml:space="preserve"> increased in the second year;</w:t>
      </w:r>
      <w:r>
        <w:rPr>
          <w:rFonts w:eastAsiaTheme="minorHAnsi"/>
        </w:rPr>
        <w:t xml:space="preserve"> however, in the space planted nursery this increase was larger (</w:t>
      </w:r>
      <w:r w:rsidR="00AB2B26">
        <w:rPr>
          <w:rFonts w:eastAsiaTheme="minorHAnsi"/>
        </w:rPr>
        <w:t>Figure</w:t>
      </w:r>
      <w:r>
        <w:rPr>
          <w:rFonts w:eastAsiaTheme="minorHAnsi"/>
        </w:rPr>
        <w:t xml:space="preserve"> 3-1 E). </w:t>
      </w:r>
    </w:p>
    <w:p w14:paraId="25FD185E" w14:textId="232FF3B1" w:rsidR="00043399" w:rsidRDefault="00043399" w:rsidP="00E61C16">
      <w:pPr>
        <w:ind w:firstLine="720"/>
        <w:rPr>
          <w:rFonts w:eastAsiaTheme="minorHAnsi"/>
        </w:rPr>
      </w:pPr>
      <w:r>
        <w:rPr>
          <w:rFonts w:eastAsiaTheme="minorHAnsi"/>
        </w:rPr>
        <w:t xml:space="preserve">While these differences in morphological traits can help explain some of the reduction in biomass yield in the sward planted compared to the space planted nursery, the reduction in predicted ethanol yield in the sward planted nursery is more unusual. Ethanol was measured on </w:t>
      </w:r>
      <w:proofErr w:type="gramStart"/>
      <w:r>
        <w:rPr>
          <w:rFonts w:eastAsiaTheme="minorHAnsi"/>
        </w:rPr>
        <w:t>a</w:t>
      </w:r>
      <w:proofErr w:type="gramEnd"/>
      <w:r>
        <w:rPr>
          <w:rFonts w:eastAsiaTheme="minorHAnsi"/>
        </w:rPr>
        <w:t xml:space="preserve"> </w:t>
      </w:r>
      <w:r w:rsidR="00E61C16">
        <w:rPr>
          <w:rFonts w:eastAsiaTheme="minorHAnsi"/>
        </w:rPr>
        <w:t>mg g</w:t>
      </w:r>
      <w:r w:rsidR="00E61C16" w:rsidRPr="00E61C16">
        <w:rPr>
          <w:rFonts w:eastAsiaTheme="minorHAnsi"/>
          <w:vertAlign w:val="superscript"/>
        </w:rPr>
        <w:t>-1</w:t>
      </w:r>
      <w:r w:rsidR="00E61C16">
        <w:rPr>
          <w:rFonts w:eastAsiaTheme="minorHAnsi"/>
        </w:rPr>
        <w:t xml:space="preserve"> DM</w:t>
      </w:r>
      <w:r>
        <w:rPr>
          <w:rFonts w:eastAsiaTheme="minorHAnsi"/>
        </w:rPr>
        <w:t xml:space="preserve"> basis, so that predicted ethanol yield and biomass yield could be evaluated </w:t>
      </w:r>
      <w:r w:rsidR="00AB2B26">
        <w:rPr>
          <w:rFonts w:eastAsiaTheme="minorHAnsi"/>
        </w:rPr>
        <w:t>independently</w:t>
      </w:r>
      <w:r>
        <w:rPr>
          <w:rFonts w:eastAsiaTheme="minorHAnsi"/>
        </w:rPr>
        <w:t xml:space="preserve">. Numerous studies have reported lignin as a hindrance to ethanol production potential </w:t>
      </w:r>
      <w:r w:rsidR="00301182">
        <w:rPr>
          <w:rFonts w:eastAsiaTheme="minorHAnsi"/>
        </w:rPr>
        <w:fldChar w:fldCharType="begin">
          <w:fldData xml:space="preserve">PEVuZE5vdGU+PENpdGU+PEF1dGhvcj5BbmRlcnNvbjwvQXV0aG9yPjxZZWFyPjIwMDg8L1llYXI+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</w:fldData>
        </w:fldChar>
      </w:r>
      <w:r w:rsidR="00B7572A">
        <w:rPr>
          <w:rFonts w:eastAsiaTheme="minorHAnsi"/>
        </w:rPr>
        <w:instrText xml:space="preserve"> ADDIN EN.CITE </w:instrText>
      </w:r>
      <w:r w:rsidR="00B7572A">
        <w:rPr>
          <w:rFonts w:eastAsiaTheme="minorHAnsi"/>
        </w:rPr>
        <w:fldChar w:fldCharType="begin">
          <w:fldData xml:space="preserve">PEVuZE5vdGU+PENpdGU+PEF1dGhvcj5BbmRlcnNvbjwvQXV0aG9yPjxZZWFyPjIwMDg8L1llYXI+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</w:fldData>
        </w:fldChar>
      </w:r>
      <w:r w:rsidR="00B7572A">
        <w:rPr>
          <w:rFonts w:eastAsiaTheme="minorHAnsi"/>
        </w:rPr>
        <w:instrText xml:space="preserve"> ADDIN EN.CITE.DATA </w:instrText>
      </w:r>
      <w:r w:rsidR="00B7572A">
        <w:rPr>
          <w:rFonts w:eastAsiaTheme="minorHAnsi"/>
        </w:rPr>
      </w:r>
      <w:r w:rsidR="00B7572A">
        <w:rPr>
          <w:rFonts w:eastAsiaTheme="minorHAnsi"/>
        </w:rPr>
        <w:fldChar w:fldCharType="end"/>
      </w:r>
      <w:r w:rsidR="00301182">
        <w:rPr>
          <w:rFonts w:eastAsiaTheme="minorHAnsi"/>
        </w:rPr>
      </w:r>
      <w:r w:rsidR="00301182">
        <w:rPr>
          <w:rFonts w:eastAsiaTheme="minorHAnsi"/>
        </w:rPr>
        <w:fldChar w:fldCharType="separate"/>
      </w:r>
      <w:r w:rsidR="00B7572A">
        <w:rPr>
          <w:rFonts w:eastAsiaTheme="minorHAnsi"/>
          <w:noProof/>
        </w:rPr>
        <w:t>(</w:t>
      </w:r>
      <w:hyperlink w:anchor="_ENREF_3" w:tooltip="Anderson, 2008 #327" w:history="1">
        <w:r w:rsidR="00FB5014">
          <w:rPr>
            <w:rFonts w:eastAsiaTheme="minorHAnsi"/>
            <w:noProof/>
          </w:rPr>
          <w:t>Anderson and Akin, 2008</w:t>
        </w:r>
      </w:hyperlink>
      <w:r w:rsidR="00B7572A">
        <w:rPr>
          <w:rFonts w:eastAsiaTheme="minorHAnsi"/>
          <w:noProof/>
        </w:rPr>
        <w:t xml:space="preserve">; </w:t>
      </w:r>
      <w:hyperlink w:anchor="_ENREF_30" w:tooltip="Dien, 2009 #323" w:history="1">
        <w:r w:rsidR="00FB5014">
          <w:rPr>
            <w:rFonts w:eastAsiaTheme="minorHAnsi"/>
            <w:noProof/>
          </w:rPr>
          <w:t>Dien et al., 2009</w:t>
        </w:r>
      </w:hyperlink>
      <w:r w:rsidR="00B7572A">
        <w:rPr>
          <w:rFonts w:eastAsiaTheme="minorHAnsi"/>
          <w:noProof/>
        </w:rPr>
        <w:t xml:space="preserve">; </w:t>
      </w:r>
      <w:hyperlink w:anchor="_ENREF_31" w:tooltip="Dien, 2006 #324" w:history="1">
        <w:r w:rsidR="00FB5014">
          <w:rPr>
            <w:rFonts w:eastAsiaTheme="minorHAnsi"/>
            <w:noProof/>
          </w:rPr>
          <w:t>Dien et al., 2006</w:t>
        </w:r>
      </w:hyperlink>
      <w:r w:rsidR="00B7572A">
        <w:rPr>
          <w:rFonts w:eastAsiaTheme="minorHAnsi"/>
          <w:noProof/>
        </w:rPr>
        <w:t xml:space="preserve">; </w:t>
      </w:r>
      <w:hyperlink w:anchor="_ENREF_35" w:tooltip="Fu, 2011 #279" w:history="1">
        <w:r w:rsidR="00FB5014">
          <w:rPr>
            <w:rFonts w:eastAsiaTheme="minorHAnsi"/>
            <w:noProof/>
          </w:rPr>
          <w:t>Fu et al., 2011</w:t>
        </w:r>
      </w:hyperlink>
      <w:r w:rsidR="00B7572A">
        <w:rPr>
          <w:rFonts w:eastAsiaTheme="minorHAnsi"/>
          <w:noProof/>
        </w:rPr>
        <w:t xml:space="preserve">; </w:t>
      </w:r>
      <w:hyperlink w:anchor="_ENREF_87" w:tooltip="Shen, 2009 #326" w:history="1">
        <w:r w:rsidR="00FB5014">
          <w:rPr>
            <w:rFonts w:eastAsiaTheme="minorHAnsi"/>
            <w:noProof/>
          </w:rPr>
          <w:t>Shen et al., 2009</w:t>
        </w:r>
      </w:hyperlink>
      <w:r w:rsidR="00B7572A">
        <w:rPr>
          <w:rFonts w:eastAsiaTheme="minorHAnsi"/>
          <w:noProof/>
        </w:rPr>
        <w:t>)</w:t>
      </w:r>
      <w:r w:rsidR="00301182">
        <w:rPr>
          <w:rFonts w:eastAsiaTheme="minorHAnsi"/>
        </w:rPr>
        <w:fldChar w:fldCharType="end"/>
      </w:r>
      <w:r>
        <w:rPr>
          <w:rFonts w:eastAsiaTheme="minorHAnsi"/>
        </w:rPr>
        <w:t>. Plants in the sward planted nursery were smaller, with narrow leaves and stems. Smaller plants tend to be less lignified than larger plants which require greater structural integrity so predicted ethanol yield was expected to be higher in sward planted evaluations compar</w:t>
      </w:r>
      <w:r w:rsidR="005A7553">
        <w:rPr>
          <w:rFonts w:eastAsiaTheme="minorHAnsi"/>
        </w:rPr>
        <w:t>ed to space planted evaluations</w:t>
      </w:r>
      <w:r>
        <w:rPr>
          <w:rFonts w:eastAsiaTheme="minorHAnsi"/>
        </w:rPr>
        <w:t xml:space="preserve"> rather than the lower values that were observed. The relative leaf to stem proportions of plants within the sward planted nursery may be a factor to consider in future research. As plants are placed in more competitive conditions, the proportion of leaves to stems may decrease </w:t>
      </w:r>
      <w:r w:rsidR="00301182">
        <w:rPr>
          <w:rFonts w:eastAsiaTheme="minorHAnsi"/>
        </w:rPr>
        <w:fldChar w:fldCharType="begin"/>
      </w:r>
      <w:r>
        <w:rPr>
          <w:rFonts w:eastAsiaTheme="minorHAnsi"/>
        </w:rPr>
        <w:instrText xml:space="preserve"> ADDIN EN.CITE &lt;EndNote&gt;&lt;Cite&gt;&lt;Author&gt;Poorter&lt;/Author&gt;&lt;Year&gt;2012&lt;/Year&gt;&lt;RecNum&gt;331&lt;/RecNum&gt;&lt;DisplayText&gt;(Poorter et al., 2012)&lt;/DisplayText&gt;&lt;record&gt;&lt;rec-number&gt;331&lt;/rec-number&gt;&lt;foreign-keys&gt;&lt;key app="EN" db-id="9zfxt259rawwvce0pfa5efeuatdw0pz5va5z" timestamp="1412696691"&gt;331&lt;/key&gt;&lt;/foreign-keys&gt;&lt;ref-type name="Journal Article"&gt;17&lt;/ref-type&gt;&lt;contributors&gt;&lt;authors&gt;&lt;author&gt;Poorter, H.&lt;/author&gt;&lt;author&gt;Niklas, K.J.&lt;/author&gt;&lt;author&gt;Reich, P.B.&lt;/author&gt;&lt;author&gt;Oleksyn, J.&lt;/author&gt;&lt;author&gt;Poot, P.&lt;/author&gt;&lt;/authors&gt;&lt;/contributors&gt;&lt;titles&gt;&lt;title&gt;Biomass allocation to leaves, stems and roots: meta-analyses of interspecific variation and environmental control&lt;/title&gt;&lt;secondary-title&gt;New Phytol.&lt;/secondary-title&gt;&lt;/titles&gt;&lt;periodical&gt;&lt;full-title&gt;New Phytol.&lt;/full-title&gt;&lt;/periodical&gt;&lt;pages&gt;30-50&lt;/pages&gt;&lt;volume&gt;193&lt;/volume&gt;&lt;section&gt;30&lt;/section&gt;&lt;dates&gt;&lt;year&gt;2012&lt;/year&gt;&lt;/dates&gt;&lt;urls&gt;&lt;/urls&gt;&lt;/record&gt;&lt;/Cite&gt;&lt;/EndNote&gt;</w:instrText>
      </w:r>
      <w:r w:rsidR="00301182">
        <w:rPr>
          <w:rFonts w:eastAsiaTheme="minorHAnsi"/>
        </w:rPr>
        <w:fldChar w:fldCharType="separate"/>
      </w:r>
      <w:r>
        <w:rPr>
          <w:rFonts w:eastAsiaTheme="minorHAnsi"/>
          <w:noProof/>
        </w:rPr>
        <w:t>(</w:t>
      </w:r>
      <w:hyperlink w:anchor="_ENREF_78" w:tooltip="Poorter, 2012 #331" w:history="1">
        <w:r w:rsidR="00FB5014">
          <w:rPr>
            <w:rFonts w:eastAsiaTheme="minorHAnsi"/>
            <w:noProof/>
          </w:rPr>
          <w:t>Poorter et al., 2012</w:t>
        </w:r>
      </w:hyperlink>
      <w:r>
        <w:rPr>
          <w:rFonts w:eastAsiaTheme="minorHAnsi"/>
          <w:noProof/>
        </w:rPr>
        <w:t>)</w:t>
      </w:r>
      <w:r w:rsidR="00301182">
        <w:rPr>
          <w:rFonts w:eastAsiaTheme="minorHAnsi"/>
        </w:rPr>
        <w:fldChar w:fldCharType="end"/>
      </w:r>
      <w:r>
        <w:rPr>
          <w:rFonts w:eastAsiaTheme="minorHAnsi"/>
        </w:rPr>
        <w:t>. Unpublished research by DeSantis (</w:t>
      </w:r>
      <w:r w:rsidR="00E61C16">
        <w:rPr>
          <w:rFonts w:eastAsiaTheme="minorHAnsi"/>
        </w:rPr>
        <w:t xml:space="preserve">personal </w:t>
      </w:r>
      <w:r w:rsidR="00E61C16">
        <w:rPr>
          <w:rFonts w:eastAsiaTheme="minorHAnsi"/>
        </w:rPr>
        <w:lastRenderedPageBreak/>
        <w:t>communication</w:t>
      </w:r>
      <w:r>
        <w:rPr>
          <w:rFonts w:eastAsiaTheme="minorHAnsi"/>
        </w:rPr>
        <w:t xml:space="preserve">) found that switchgrass leaves have higher predicted ethanol yield than stems. If competition decreases the leaf to stem ratio, it could also result in a lower whole plant predicted ethanol yield, as was observed in the sward planted nursery. </w:t>
      </w:r>
    </w:p>
    <w:p w14:paraId="799C9986" w14:textId="77777777" w:rsidR="00043399" w:rsidRDefault="00CE44F9" w:rsidP="00043399">
      <w:pPr>
        <w:pStyle w:val="Heading3"/>
        <w:rPr>
          <w:rFonts w:eastAsiaTheme="minorHAnsi"/>
        </w:rPr>
      </w:pPr>
      <w:bookmarkStart w:id="96" w:name="_Toc404069858"/>
      <w:r>
        <w:rPr>
          <w:rFonts w:eastAsiaTheme="minorHAnsi"/>
        </w:rPr>
        <w:t xml:space="preserve">Between Nursery </w:t>
      </w:r>
      <w:r w:rsidR="00043399">
        <w:rPr>
          <w:rFonts w:eastAsiaTheme="minorHAnsi"/>
        </w:rPr>
        <w:t>Correlations</w:t>
      </w:r>
      <w:r>
        <w:rPr>
          <w:rFonts w:eastAsiaTheme="minorHAnsi"/>
        </w:rPr>
        <w:t xml:space="preserve"> of Measured Traits</w:t>
      </w:r>
      <w:bookmarkEnd w:id="96"/>
      <w:r>
        <w:rPr>
          <w:rFonts w:eastAsiaTheme="minorHAnsi"/>
        </w:rPr>
        <w:t xml:space="preserve"> </w:t>
      </w:r>
    </w:p>
    <w:p w14:paraId="07BA9F8C" w14:textId="0A7199E8" w:rsidR="00043399" w:rsidRDefault="00043399" w:rsidP="00043399">
      <w:pPr>
        <w:rPr>
          <w:rFonts w:eastAsiaTheme="minorHAnsi"/>
        </w:rPr>
      </w:pPr>
      <w:r>
        <w:rPr>
          <w:rFonts w:eastAsiaTheme="minorHAnsi"/>
        </w:rPr>
        <w:tab/>
        <w:t>Correlations between space planted and sward planted values for evaluated traits w</w:t>
      </w:r>
      <w:r w:rsidR="005A7553">
        <w:rPr>
          <w:rFonts w:eastAsiaTheme="minorHAnsi"/>
        </w:rPr>
        <w:t>ere moderate to high (r = 0.39 to</w:t>
      </w:r>
      <w:r>
        <w:rPr>
          <w:rFonts w:eastAsiaTheme="minorHAnsi"/>
        </w:rPr>
        <w:t xml:space="preserve"> 0.72)</w:t>
      </w:r>
      <w:r w:rsidR="00872336">
        <w:rPr>
          <w:rFonts w:eastAsiaTheme="minorHAnsi"/>
        </w:rPr>
        <w:t xml:space="preserve"> (Table </w:t>
      </w:r>
      <w:r w:rsidR="00AB2B26">
        <w:rPr>
          <w:rFonts w:eastAsiaTheme="minorHAnsi"/>
        </w:rPr>
        <w:t>3</w:t>
      </w:r>
      <w:r w:rsidR="00872336">
        <w:rPr>
          <w:rFonts w:eastAsiaTheme="minorHAnsi"/>
        </w:rPr>
        <w:t>-1)</w:t>
      </w:r>
      <w:r>
        <w:rPr>
          <w:rFonts w:eastAsiaTheme="minorHAnsi"/>
        </w:rPr>
        <w:t>. Predicted ethanol yield showed a consistently high correlation between the two nurseries in both 2012 (r = 0.71) and in 2013 (r = 0.72). Biomass yield had a moderately high cor</w:t>
      </w:r>
      <w:r w:rsidR="005A7553">
        <w:rPr>
          <w:rFonts w:eastAsiaTheme="minorHAnsi"/>
        </w:rPr>
        <w:t>relation in 2012 (r = 0.58);</w:t>
      </w:r>
      <w:r>
        <w:rPr>
          <w:rFonts w:eastAsiaTheme="minorHAnsi"/>
        </w:rPr>
        <w:t xml:space="preserve"> however, that correlation decreased in 2013 (r</w:t>
      </w:r>
      <w:r w:rsidR="00E61C16">
        <w:rPr>
          <w:rFonts w:eastAsiaTheme="minorHAnsi"/>
          <w:vertAlign w:val="superscript"/>
        </w:rPr>
        <w:t xml:space="preserve"> </w:t>
      </w:r>
      <w:r>
        <w:rPr>
          <w:rFonts w:eastAsiaTheme="minorHAnsi"/>
        </w:rPr>
        <w:t xml:space="preserve">= 0.39), likely due to the increasing difference in competition between the two nurseries. </w:t>
      </w:r>
    </w:p>
    <w:p w14:paraId="1D8766B3" w14:textId="77777777" w:rsidR="00CE44F9" w:rsidRDefault="00CE44F9" w:rsidP="00CE44F9">
      <w:pPr>
        <w:pStyle w:val="Heading3"/>
        <w:rPr>
          <w:rFonts w:eastAsiaTheme="minorHAnsi"/>
        </w:rPr>
      </w:pPr>
      <w:bookmarkStart w:id="97" w:name="_Toc404069859"/>
      <w:r>
        <w:rPr>
          <w:rFonts w:eastAsiaTheme="minorHAnsi"/>
        </w:rPr>
        <w:t>Within Nursery Correlations of Biomass Yield and Predicted Ethanol Yield with Morphological Traits</w:t>
      </w:r>
      <w:bookmarkEnd w:id="97"/>
    </w:p>
    <w:p w14:paraId="6E7B9447" w14:textId="098E5006" w:rsidR="00043399" w:rsidRDefault="00043399" w:rsidP="00043399">
      <w:pPr>
        <w:rPr>
          <w:rFonts w:eastAsiaTheme="minorHAnsi"/>
        </w:rPr>
      </w:pPr>
      <w:r>
        <w:rPr>
          <w:rFonts w:eastAsiaTheme="minorHAnsi"/>
        </w:rPr>
        <w:tab/>
        <w:t xml:space="preserve">Correlations within nurseries </w:t>
      </w:r>
      <w:r w:rsidR="005A7553">
        <w:rPr>
          <w:rFonts w:eastAsiaTheme="minorHAnsi"/>
        </w:rPr>
        <w:t>of</w:t>
      </w:r>
      <w:r>
        <w:rPr>
          <w:rFonts w:eastAsiaTheme="minorHAnsi"/>
        </w:rPr>
        <w:t xml:space="preserve"> morphological traits to biomass yield or predicted ethanol yield can indicate which traits might be best used for indirect selection for biomass or predicted ethanol yield prior to reproductive maturity. In the space planted nursery, more traits could be evaluated due to the ease of access to the plant material</w:t>
      </w:r>
      <w:r w:rsidR="00954DB7">
        <w:rPr>
          <w:rFonts w:eastAsiaTheme="minorHAnsi"/>
        </w:rPr>
        <w:t xml:space="preserve">. </w:t>
      </w:r>
      <w:r>
        <w:rPr>
          <w:rFonts w:eastAsiaTheme="minorHAnsi"/>
        </w:rPr>
        <w:t xml:space="preserve">In the sward planted nursery, only certain traits could be evaluated due to difficulties in distinguishing one plant from another within the simulated swards. For this reason, fall and spring </w:t>
      </w:r>
      <w:r w:rsidR="005A7553">
        <w:rPr>
          <w:rFonts w:eastAsiaTheme="minorHAnsi"/>
        </w:rPr>
        <w:t>h</w:t>
      </w:r>
      <w:r>
        <w:rPr>
          <w:rFonts w:eastAsiaTheme="minorHAnsi"/>
        </w:rPr>
        <w:t xml:space="preserve">eight, which were highly correlated to biomass yield, and </w:t>
      </w:r>
      <w:r w:rsidR="00DA675F">
        <w:rPr>
          <w:rFonts w:eastAsiaTheme="minorHAnsi"/>
        </w:rPr>
        <w:t>canopy density</w:t>
      </w:r>
      <w:r>
        <w:rPr>
          <w:rFonts w:eastAsiaTheme="minorHAnsi"/>
        </w:rPr>
        <w:t xml:space="preserve"> which was moderately correlated to biomass yield in the space planted nurseries, could not be measured on sward planted plots</w:t>
      </w:r>
      <w:r w:rsidR="00872336">
        <w:rPr>
          <w:rFonts w:eastAsiaTheme="minorHAnsi"/>
        </w:rPr>
        <w:t xml:space="preserve"> (Table 3-2)</w:t>
      </w:r>
      <w:r>
        <w:rPr>
          <w:rFonts w:eastAsiaTheme="minorHAnsi"/>
        </w:rPr>
        <w:t>. This could be somewhat alleviated by taking measurements of s</w:t>
      </w:r>
      <w:r w:rsidR="005A7553">
        <w:rPr>
          <w:rFonts w:eastAsiaTheme="minorHAnsi"/>
        </w:rPr>
        <w:t>imulated sward plots as a whole;</w:t>
      </w:r>
      <w:r>
        <w:rPr>
          <w:rFonts w:eastAsiaTheme="minorHAnsi"/>
        </w:rPr>
        <w:t xml:space="preserve"> however, in doing so, </w:t>
      </w:r>
      <w:r w:rsidR="005A7553">
        <w:rPr>
          <w:rFonts w:eastAsiaTheme="minorHAnsi"/>
        </w:rPr>
        <w:t xml:space="preserve">the variability within a cross </w:t>
      </w:r>
      <w:r w:rsidR="00AB2B26">
        <w:rPr>
          <w:rFonts w:eastAsiaTheme="minorHAnsi"/>
        </w:rPr>
        <w:t>would</w:t>
      </w:r>
      <w:r>
        <w:rPr>
          <w:rFonts w:eastAsiaTheme="minorHAnsi"/>
        </w:rPr>
        <w:t xml:space="preserve"> not be </w:t>
      </w:r>
      <w:r w:rsidR="005A7553">
        <w:rPr>
          <w:rFonts w:eastAsiaTheme="minorHAnsi"/>
        </w:rPr>
        <w:t>assessed</w:t>
      </w:r>
      <w:r>
        <w:rPr>
          <w:rFonts w:eastAsiaTheme="minorHAnsi"/>
        </w:rPr>
        <w:t xml:space="preserve">. Sward planted configurations may </w:t>
      </w:r>
      <w:r>
        <w:rPr>
          <w:rFonts w:eastAsiaTheme="minorHAnsi"/>
        </w:rPr>
        <w:lastRenderedPageBreak/>
        <w:t xml:space="preserve">also hinder evaluation of other important traits, such as disease susceptibility. In the space planted nursery </w:t>
      </w:r>
      <w:r w:rsidR="009C1A48">
        <w:rPr>
          <w:rFonts w:eastAsiaTheme="minorHAnsi"/>
        </w:rPr>
        <w:t>rust severity</w:t>
      </w:r>
      <w:r>
        <w:rPr>
          <w:rFonts w:eastAsiaTheme="minorHAnsi"/>
        </w:rPr>
        <w:t xml:space="preserve"> was negatively correlated to yield (r = -0.31), which may indicate the potential importance of screening </w:t>
      </w:r>
      <w:r w:rsidR="00E61C16">
        <w:rPr>
          <w:rFonts w:eastAsiaTheme="minorHAnsi"/>
        </w:rPr>
        <w:t>for resistance to this disease. Rust has also been shown to negatively impact ethanol yield, which further supports the importance of evaluating this trait (Sykes, 2014).</w:t>
      </w:r>
      <w:r>
        <w:rPr>
          <w:rFonts w:eastAsiaTheme="minorHAnsi"/>
        </w:rPr>
        <w:t xml:space="preserve"> In a sward planted </w:t>
      </w:r>
      <w:r w:rsidR="00E61C16">
        <w:rPr>
          <w:rFonts w:eastAsiaTheme="minorHAnsi"/>
        </w:rPr>
        <w:t xml:space="preserve">selection </w:t>
      </w:r>
      <w:r>
        <w:rPr>
          <w:rFonts w:eastAsiaTheme="minorHAnsi"/>
        </w:rPr>
        <w:t xml:space="preserve">nursery, this information would be </w:t>
      </w:r>
      <w:r w:rsidR="00E61C16">
        <w:rPr>
          <w:rFonts w:eastAsiaTheme="minorHAnsi"/>
        </w:rPr>
        <w:t>difficult to obtain</w:t>
      </w:r>
      <w:r>
        <w:rPr>
          <w:rFonts w:eastAsiaTheme="minorHAnsi"/>
        </w:rPr>
        <w:t xml:space="preserve">. Correlations of tiller number and tiller diameter with biomass yield were similar in both nurseries, although correlations within the sward planted nurseries tended to be lower. </w:t>
      </w:r>
      <w:r w:rsidR="005A7553">
        <w:rPr>
          <w:rFonts w:eastAsiaTheme="minorHAnsi"/>
        </w:rPr>
        <w:t>The correlation</w:t>
      </w:r>
      <w:r>
        <w:rPr>
          <w:rFonts w:eastAsiaTheme="minorHAnsi"/>
        </w:rPr>
        <w:t xml:space="preserve"> between </w:t>
      </w:r>
      <w:r w:rsidR="00B8390A">
        <w:rPr>
          <w:rFonts w:eastAsiaTheme="minorHAnsi"/>
        </w:rPr>
        <w:t>leaf width</w:t>
      </w:r>
      <w:r>
        <w:rPr>
          <w:rFonts w:eastAsiaTheme="minorHAnsi"/>
        </w:rPr>
        <w:t xml:space="preserve"> and biomass yield was much lower in the sward planted nursery (r = 0.20) compared to the space planted nursery (r</w:t>
      </w:r>
      <w:r w:rsidR="00E61C16">
        <w:rPr>
          <w:rFonts w:eastAsiaTheme="minorHAnsi"/>
          <w:vertAlign w:val="superscript"/>
        </w:rPr>
        <w:t xml:space="preserve"> </w:t>
      </w:r>
      <w:r>
        <w:rPr>
          <w:rFonts w:eastAsiaTheme="minorHAnsi"/>
        </w:rPr>
        <w:t>= 0.45). Trai</w:t>
      </w:r>
      <w:r w:rsidR="005A7553">
        <w:rPr>
          <w:rFonts w:eastAsiaTheme="minorHAnsi"/>
        </w:rPr>
        <w:t>ts with the highest correlations</w:t>
      </w:r>
      <w:r>
        <w:rPr>
          <w:rFonts w:eastAsiaTheme="minorHAnsi"/>
        </w:rPr>
        <w:t xml:space="preserve"> to biomass yield were height, tiller number and tiller diameter in both years and both nurseries, which correspond to results observed in other studies of lowland switchgrass </w:t>
      </w:r>
      <w:r w:rsidR="00301182">
        <w:rPr>
          <w:rFonts w:eastAsiaTheme="minorHAnsi"/>
        </w:rPr>
        <w:fldChar w:fldCharType="begin">
          <w:fldData xml:space="preserve">PEVuZE5vdGU+PENpdGU+PEF1dGhvcj5EYXM8L0F1dGhvcj48WWVhcj4yMDA0PC9ZZWFyPjxSZWNO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</w:fldData>
        </w:fldChar>
      </w:r>
      <w:r w:rsidR="00B7572A">
        <w:rPr>
          <w:rFonts w:eastAsiaTheme="minorHAnsi"/>
        </w:rPr>
        <w:instrText xml:space="preserve"> ADDIN EN.CITE </w:instrText>
      </w:r>
      <w:r w:rsidR="00B7572A">
        <w:rPr>
          <w:rFonts w:eastAsiaTheme="minorHAnsi"/>
        </w:rPr>
        <w:fldChar w:fldCharType="begin">
          <w:fldData xml:space="preserve">PEVuZE5vdGU+PENpdGU+PEF1dGhvcj5EYXM8L0F1dGhvcj48WWVhcj4yMDA0PC9ZZWFyPjxSZWNO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</w:fldData>
        </w:fldChar>
      </w:r>
      <w:r w:rsidR="00B7572A">
        <w:rPr>
          <w:rFonts w:eastAsiaTheme="minorHAnsi"/>
        </w:rPr>
        <w:instrText xml:space="preserve"> ADDIN EN.CITE.DATA </w:instrText>
      </w:r>
      <w:r w:rsidR="00B7572A">
        <w:rPr>
          <w:rFonts w:eastAsiaTheme="minorHAnsi"/>
        </w:rPr>
      </w:r>
      <w:r w:rsidR="00B7572A">
        <w:rPr>
          <w:rFonts w:eastAsiaTheme="minorHAnsi"/>
        </w:rPr>
        <w:fldChar w:fldCharType="end"/>
      </w:r>
      <w:r w:rsidR="00301182">
        <w:rPr>
          <w:rFonts w:eastAsiaTheme="minorHAnsi"/>
        </w:rPr>
      </w:r>
      <w:r w:rsidR="00301182">
        <w:rPr>
          <w:rFonts w:eastAsiaTheme="minorHAnsi"/>
        </w:rPr>
        <w:fldChar w:fldCharType="separate"/>
      </w:r>
      <w:r w:rsidR="00B7572A">
        <w:rPr>
          <w:rFonts w:eastAsiaTheme="minorHAnsi"/>
          <w:noProof/>
        </w:rPr>
        <w:t>(</w:t>
      </w:r>
      <w:hyperlink w:anchor="_ENREF_12" w:tooltip="Bhandari, 2010 #199" w:history="1">
        <w:r w:rsidR="00FB5014">
          <w:rPr>
            <w:rFonts w:eastAsiaTheme="minorHAnsi"/>
            <w:noProof/>
          </w:rPr>
          <w:t>Bhandari et al., 2010</w:t>
        </w:r>
      </w:hyperlink>
      <w:r w:rsidR="00B7572A">
        <w:rPr>
          <w:rFonts w:eastAsiaTheme="minorHAnsi"/>
          <w:noProof/>
        </w:rPr>
        <w:t xml:space="preserve">; </w:t>
      </w:r>
      <w:hyperlink w:anchor="_ENREF_14" w:tooltip="Boe, 2007 #198" w:history="1">
        <w:r w:rsidR="00FB5014">
          <w:rPr>
            <w:rFonts w:eastAsiaTheme="minorHAnsi"/>
            <w:noProof/>
          </w:rPr>
          <w:t>Boe, 2007</w:t>
        </w:r>
      </w:hyperlink>
      <w:r w:rsidR="00B7572A">
        <w:rPr>
          <w:rFonts w:eastAsiaTheme="minorHAnsi"/>
          <w:noProof/>
        </w:rPr>
        <w:t xml:space="preserve">; </w:t>
      </w:r>
      <w:hyperlink w:anchor="_ENREF_29" w:tooltip="Das, 2004 #254" w:history="1">
        <w:r w:rsidR="00FB5014">
          <w:rPr>
            <w:rFonts w:eastAsiaTheme="minorHAnsi"/>
            <w:noProof/>
          </w:rPr>
          <w:t>Das et al., 2004</w:t>
        </w:r>
      </w:hyperlink>
      <w:r w:rsidR="00B7572A">
        <w:rPr>
          <w:rFonts w:eastAsiaTheme="minorHAnsi"/>
          <w:noProof/>
        </w:rPr>
        <w:t xml:space="preserve">; </w:t>
      </w:r>
      <w:hyperlink w:anchor="_ENREF_92" w:tooltip="Talbert, 1983 #197" w:history="1">
        <w:r w:rsidR="00FB5014">
          <w:rPr>
            <w:rFonts w:eastAsiaTheme="minorHAnsi"/>
            <w:noProof/>
          </w:rPr>
          <w:t>Talbert et al., 1983</w:t>
        </w:r>
      </w:hyperlink>
      <w:r w:rsidR="00B7572A">
        <w:rPr>
          <w:rFonts w:eastAsiaTheme="minorHAnsi"/>
          <w:noProof/>
        </w:rPr>
        <w:t>)</w:t>
      </w:r>
      <w:r w:rsidR="00301182">
        <w:rPr>
          <w:rFonts w:eastAsiaTheme="minorHAnsi"/>
        </w:rPr>
        <w:fldChar w:fldCharType="end"/>
      </w:r>
      <w:r w:rsidR="00954DB7">
        <w:rPr>
          <w:rFonts w:eastAsiaTheme="minorHAnsi"/>
        </w:rPr>
        <w:t xml:space="preserve">. </w:t>
      </w:r>
    </w:p>
    <w:p w14:paraId="15F44AED" w14:textId="64E3DCE0" w:rsidR="00043399" w:rsidRDefault="00043399" w:rsidP="00043399">
      <w:pPr>
        <w:rPr>
          <w:rFonts w:eastAsiaTheme="minorHAnsi"/>
        </w:rPr>
      </w:pPr>
      <w:r>
        <w:rPr>
          <w:rFonts w:eastAsiaTheme="minorHAnsi"/>
        </w:rPr>
        <w:tab/>
        <w:t>In the space planted nursery, fall and spring height, biomass yield, and tiller diameter all showed moderate negative correlations to predicted ethanol yield</w:t>
      </w:r>
      <w:r w:rsidR="00872336">
        <w:rPr>
          <w:rFonts w:eastAsiaTheme="minorHAnsi"/>
        </w:rPr>
        <w:t xml:space="preserve"> (Table 3-2)</w:t>
      </w:r>
      <w:r>
        <w:rPr>
          <w:rFonts w:eastAsiaTheme="minorHAnsi"/>
        </w:rPr>
        <w:t xml:space="preserve">. In the sward planted nursery, negative correlations were also observed </w:t>
      </w:r>
      <w:r w:rsidR="005E178F">
        <w:rPr>
          <w:rFonts w:eastAsiaTheme="minorHAnsi"/>
        </w:rPr>
        <w:t>between</w:t>
      </w:r>
      <w:r>
        <w:rPr>
          <w:rFonts w:eastAsiaTheme="minorHAnsi"/>
        </w:rPr>
        <w:t xml:space="preserve"> </w:t>
      </w:r>
      <w:r w:rsidR="005E178F">
        <w:rPr>
          <w:rFonts w:eastAsiaTheme="minorHAnsi"/>
        </w:rPr>
        <w:t xml:space="preserve">predicted ethanol yield and </w:t>
      </w:r>
      <w:r>
        <w:rPr>
          <w:rFonts w:eastAsiaTheme="minorHAnsi"/>
        </w:rPr>
        <w:t>bio</w:t>
      </w:r>
      <w:r w:rsidR="005E178F">
        <w:rPr>
          <w:rFonts w:eastAsiaTheme="minorHAnsi"/>
        </w:rPr>
        <w:t>mass yield and tiller diameter; however</w:t>
      </w:r>
      <w:r>
        <w:rPr>
          <w:rFonts w:eastAsiaTheme="minorHAnsi"/>
        </w:rPr>
        <w:t xml:space="preserve">, </w:t>
      </w:r>
      <w:r w:rsidR="005E178F">
        <w:rPr>
          <w:rFonts w:eastAsiaTheme="minorHAnsi"/>
        </w:rPr>
        <w:t xml:space="preserve">these correlations coefficients were </w:t>
      </w:r>
      <w:r>
        <w:rPr>
          <w:rFonts w:eastAsiaTheme="minorHAnsi"/>
        </w:rPr>
        <w:t>of a smaller magnitude.</w:t>
      </w:r>
      <w:r w:rsidR="001531F3">
        <w:rPr>
          <w:rFonts w:eastAsiaTheme="minorHAnsi"/>
        </w:rPr>
        <w:t xml:space="preserve"> </w:t>
      </w:r>
      <w:r w:rsidR="005E178F">
        <w:rPr>
          <w:rFonts w:eastAsiaTheme="minorHAnsi"/>
        </w:rPr>
        <w:t>These</w:t>
      </w:r>
      <w:r w:rsidR="001531F3">
        <w:rPr>
          <w:rFonts w:eastAsiaTheme="minorHAnsi"/>
        </w:rPr>
        <w:t xml:space="preserve"> results indicate that a high yielding </w:t>
      </w:r>
      <w:r w:rsidR="005E178F">
        <w:rPr>
          <w:rFonts w:eastAsiaTheme="minorHAnsi"/>
        </w:rPr>
        <w:t xml:space="preserve">switchgrass </w:t>
      </w:r>
      <w:r w:rsidR="00872336">
        <w:rPr>
          <w:rFonts w:eastAsiaTheme="minorHAnsi"/>
        </w:rPr>
        <w:t xml:space="preserve">ideotype </w:t>
      </w:r>
      <w:r w:rsidR="005E178F">
        <w:rPr>
          <w:rFonts w:eastAsiaTheme="minorHAnsi"/>
        </w:rPr>
        <w:t xml:space="preserve">for biomass </w:t>
      </w:r>
      <w:r w:rsidR="005F350E">
        <w:rPr>
          <w:rFonts w:eastAsiaTheme="minorHAnsi"/>
        </w:rPr>
        <w:t xml:space="preserve">yield </w:t>
      </w:r>
      <w:r w:rsidR="005E178F">
        <w:rPr>
          <w:rFonts w:eastAsiaTheme="minorHAnsi"/>
        </w:rPr>
        <w:t xml:space="preserve">is not the same as a high yielding switchgrass ideotype for </w:t>
      </w:r>
      <w:r w:rsidR="00872336">
        <w:rPr>
          <w:rFonts w:eastAsiaTheme="minorHAnsi"/>
        </w:rPr>
        <w:t>predicted ethanol yield</w:t>
      </w:r>
      <w:r w:rsidR="00954DB7">
        <w:rPr>
          <w:rFonts w:eastAsiaTheme="minorHAnsi"/>
        </w:rPr>
        <w:t xml:space="preserve">. </w:t>
      </w:r>
    </w:p>
    <w:p w14:paraId="57EB2590" w14:textId="77777777" w:rsidR="00043399" w:rsidRPr="007A4939" w:rsidRDefault="00043399" w:rsidP="00043399">
      <w:pPr>
        <w:pStyle w:val="Heading3"/>
      </w:pPr>
      <w:bookmarkStart w:id="98" w:name="_Toc404069860"/>
      <w:r>
        <w:rPr>
          <w:rFonts w:eastAsiaTheme="minorHAnsi"/>
        </w:rPr>
        <w:t>Variance Components</w:t>
      </w:r>
      <w:r w:rsidR="00CE44F9">
        <w:rPr>
          <w:rFonts w:eastAsiaTheme="minorHAnsi"/>
        </w:rPr>
        <w:t xml:space="preserve"> of Biomass Yield and Predicted Ethanol Yield</w:t>
      </w:r>
      <w:bookmarkEnd w:id="98"/>
      <w:r>
        <w:rPr>
          <w:rFonts w:eastAsiaTheme="minorHAnsi"/>
        </w:rPr>
        <w:t xml:space="preserve"> </w:t>
      </w:r>
    </w:p>
    <w:p w14:paraId="730CD961" w14:textId="60A63FF1" w:rsidR="00043399" w:rsidRDefault="00043399" w:rsidP="00043399">
      <w:pPr>
        <w:rPr>
          <w:rFonts w:eastAsiaTheme="minorHAnsi"/>
        </w:rPr>
      </w:pPr>
      <w:r>
        <w:rPr>
          <w:rFonts w:eastAsiaTheme="minorHAnsi"/>
        </w:rPr>
        <w:tab/>
        <w:t>General combining ability was not significant in either nursery for biomass yield or predicted ethanol yield</w:t>
      </w:r>
      <w:r w:rsidR="00872336">
        <w:rPr>
          <w:rFonts w:eastAsiaTheme="minorHAnsi"/>
        </w:rPr>
        <w:t xml:space="preserve"> (Table 3-3)</w:t>
      </w:r>
      <w:r>
        <w:rPr>
          <w:rFonts w:eastAsiaTheme="minorHAnsi"/>
        </w:rPr>
        <w:t xml:space="preserve">. For biomass yield, SCA was significant within the sward planted nursery but there was a </w:t>
      </w:r>
      <w:r w:rsidR="001531F3">
        <w:rPr>
          <w:rFonts w:eastAsiaTheme="minorHAnsi"/>
        </w:rPr>
        <w:t xml:space="preserve">significant </w:t>
      </w:r>
      <w:r>
        <w:rPr>
          <w:rFonts w:eastAsiaTheme="minorHAnsi"/>
        </w:rPr>
        <w:t>SCA by year interaction</w:t>
      </w:r>
      <w:r w:rsidR="001531F3">
        <w:rPr>
          <w:rFonts w:eastAsiaTheme="minorHAnsi"/>
        </w:rPr>
        <w:t xml:space="preserve"> within the space planted nursery</w:t>
      </w:r>
      <w:r w:rsidR="00872336">
        <w:rPr>
          <w:rFonts w:eastAsiaTheme="minorHAnsi"/>
        </w:rPr>
        <w:t xml:space="preserve"> (Table 3-3)</w:t>
      </w:r>
      <w:r>
        <w:rPr>
          <w:rFonts w:eastAsiaTheme="minorHAnsi"/>
        </w:rPr>
        <w:t xml:space="preserve">. For predicted ethanol yield, a significant SCA effect was observed in the </w:t>
      </w:r>
      <w:r>
        <w:rPr>
          <w:rFonts w:eastAsiaTheme="minorHAnsi"/>
        </w:rPr>
        <w:lastRenderedPageBreak/>
        <w:t>space planted nursery but not in the sward planted nursery</w:t>
      </w:r>
      <w:r w:rsidR="00872336">
        <w:rPr>
          <w:rFonts w:eastAsiaTheme="minorHAnsi"/>
        </w:rPr>
        <w:t xml:space="preserve"> (Table 3-3)</w:t>
      </w:r>
      <w:r>
        <w:rPr>
          <w:rFonts w:eastAsiaTheme="minorHAnsi"/>
        </w:rPr>
        <w:t>. Additive and dominance estimates were similar between space and sward planted nurseries for biomass yield, with dominance variation contributing a higher proportion of genetic variation</w:t>
      </w:r>
      <w:r w:rsidR="00B21087">
        <w:rPr>
          <w:rFonts w:eastAsiaTheme="minorHAnsi"/>
        </w:rPr>
        <w:t xml:space="preserve"> (Table 3-3). </w:t>
      </w:r>
      <w:r>
        <w:rPr>
          <w:rFonts w:eastAsiaTheme="minorHAnsi"/>
        </w:rPr>
        <w:t>Likewise, heritability values were similar between the two nurseries, with narrow sense heritability estimates of 0.05 and 0.02 for space and sward planted nurseries respectively and broad sense heritability estimates of 0.19 and 0.17 for space and sward planted nurseries respectively</w:t>
      </w:r>
      <w:r w:rsidR="00B21087">
        <w:rPr>
          <w:rFonts w:eastAsiaTheme="minorHAnsi"/>
        </w:rPr>
        <w:t xml:space="preserve"> (Table 3-3). </w:t>
      </w:r>
      <w:r>
        <w:rPr>
          <w:rFonts w:eastAsiaTheme="minorHAnsi"/>
        </w:rPr>
        <w:t xml:space="preserve">For predicted ethanol yield, estimates </w:t>
      </w:r>
      <w:r w:rsidR="005F350E">
        <w:rPr>
          <w:rFonts w:eastAsiaTheme="minorHAnsi"/>
        </w:rPr>
        <w:t>of</w:t>
      </w:r>
      <w:r>
        <w:rPr>
          <w:rFonts w:eastAsiaTheme="minorHAnsi"/>
        </w:rPr>
        <w:t xml:space="preserve"> dominance variation were similar between the two nurseries, but the space planted nursery underestimated additive variation compared to the sward planted nursery</w:t>
      </w:r>
      <w:r w:rsidR="00B21087">
        <w:rPr>
          <w:rFonts w:eastAsiaTheme="minorHAnsi"/>
        </w:rPr>
        <w:t xml:space="preserve"> (Table 3-3)</w:t>
      </w:r>
      <w:r>
        <w:rPr>
          <w:rFonts w:eastAsiaTheme="minorHAnsi"/>
        </w:rPr>
        <w:t>. For this reason, heritability estimates were more dissimilar, especially for narrow sense heritability, with narrow sense heritability estimates of 0.02 and 0.10 for space and sward planted nurseries respectively</w:t>
      </w:r>
      <w:r w:rsidR="00B21087">
        <w:rPr>
          <w:rFonts w:eastAsiaTheme="minorHAnsi"/>
        </w:rPr>
        <w:t xml:space="preserve"> (Table 3-3)</w:t>
      </w:r>
      <w:r w:rsidR="00872336">
        <w:rPr>
          <w:rFonts w:eastAsiaTheme="minorHAnsi"/>
        </w:rPr>
        <w:t>. The</w:t>
      </w:r>
      <w:r>
        <w:rPr>
          <w:rFonts w:eastAsiaTheme="minorHAnsi"/>
        </w:rPr>
        <w:t xml:space="preserve"> broad sense heritability estimates </w:t>
      </w:r>
      <w:r w:rsidR="00872336">
        <w:rPr>
          <w:rFonts w:eastAsiaTheme="minorHAnsi"/>
        </w:rPr>
        <w:t>were</w:t>
      </w:r>
      <w:r>
        <w:rPr>
          <w:rFonts w:eastAsiaTheme="minorHAnsi"/>
        </w:rPr>
        <w:t xml:space="preserve"> 0.23 and 0.30 for space and sward planted nurseries respectively. While the relative proportions of additive and dominance variation estimates are similar between the two nurseries, the under-estimation of additive variation when evaluating predicted ethanol yield in space planted nurseries could hurt breeding efforts by providing breeders with incorrect information when developing breeding methods for improving predicted ethanol yield in switchgrass. </w:t>
      </w:r>
    </w:p>
    <w:p w14:paraId="4EFC56CC" w14:textId="0B5BD059" w:rsidR="00043399" w:rsidRDefault="00043399" w:rsidP="00043399">
      <w:pPr>
        <w:rPr>
          <w:rFonts w:eastAsiaTheme="minorHAnsi"/>
        </w:rPr>
      </w:pPr>
      <w:r>
        <w:rPr>
          <w:rFonts w:eastAsiaTheme="minorHAnsi"/>
        </w:rPr>
        <w:tab/>
        <w:t xml:space="preserve">The direction of GCA estimates for biomass yield were fairly consistent across years within the space planted nursery, with A1, A10, T1, and T4 </w:t>
      </w:r>
      <w:r w:rsidR="00872336">
        <w:rPr>
          <w:rFonts w:eastAsiaTheme="minorHAnsi"/>
        </w:rPr>
        <w:t xml:space="preserve">parental lines </w:t>
      </w:r>
      <w:r>
        <w:rPr>
          <w:rFonts w:eastAsiaTheme="minorHAnsi"/>
        </w:rPr>
        <w:t>showing positive GCA values in both years and in the combined years analysis</w:t>
      </w:r>
      <w:r w:rsidR="00B21087">
        <w:rPr>
          <w:rFonts w:eastAsiaTheme="minorHAnsi"/>
        </w:rPr>
        <w:t xml:space="preserve"> (Table 3-4)</w:t>
      </w:r>
      <w:r>
        <w:rPr>
          <w:rFonts w:eastAsiaTheme="minorHAnsi"/>
        </w:rPr>
        <w:t>. In the sward planted nursery, all GCA values were zero in the first year of evaluation</w:t>
      </w:r>
      <w:r w:rsidR="00B21087">
        <w:rPr>
          <w:rFonts w:eastAsiaTheme="minorHAnsi"/>
        </w:rPr>
        <w:t xml:space="preserve"> (Table 3-4)</w:t>
      </w:r>
      <w:r>
        <w:rPr>
          <w:rFonts w:eastAsiaTheme="minorHAnsi"/>
        </w:rPr>
        <w:t xml:space="preserve">. This lack of variation is likely due to slower establishment rates in this nursery compared to the space planted nursery. In the second year of evaluation, 2013, with exception to the progeny line T4, GCA </w:t>
      </w:r>
      <w:r>
        <w:rPr>
          <w:rFonts w:eastAsiaTheme="minorHAnsi"/>
        </w:rPr>
        <w:lastRenderedPageBreak/>
        <w:t>direction was exactly t</w:t>
      </w:r>
      <w:r w:rsidR="00872336">
        <w:rPr>
          <w:rFonts w:eastAsiaTheme="minorHAnsi"/>
        </w:rPr>
        <w:t xml:space="preserve">he opposite of GCA direction for the parental lines </w:t>
      </w:r>
      <w:r>
        <w:rPr>
          <w:rFonts w:eastAsiaTheme="minorHAnsi"/>
        </w:rPr>
        <w:t>evaluated in the space planted nursery</w:t>
      </w:r>
      <w:r w:rsidR="00B21087">
        <w:rPr>
          <w:rFonts w:eastAsiaTheme="minorHAnsi"/>
        </w:rPr>
        <w:t xml:space="preserve"> (Table 3-4)</w:t>
      </w:r>
      <w:r>
        <w:rPr>
          <w:rFonts w:eastAsiaTheme="minorHAnsi"/>
        </w:rPr>
        <w:t>. In the sward planted nursery, AS, K2, K3, and T4 showed positive GCA values</w:t>
      </w:r>
      <w:r w:rsidR="00CB6B98">
        <w:rPr>
          <w:rFonts w:eastAsiaTheme="minorHAnsi"/>
        </w:rPr>
        <w:t xml:space="preserve"> in 2013</w:t>
      </w:r>
      <w:r>
        <w:rPr>
          <w:rFonts w:eastAsiaTheme="minorHAnsi"/>
        </w:rPr>
        <w:t>, while A1, A10, T1, and M had negative GCA values</w:t>
      </w:r>
      <w:r w:rsidR="00B21087">
        <w:rPr>
          <w:rFonts w:eastAsiaTheme="minorHAnsi"/>
        </w:rPr>
        <w:t xml:space="preserve"> (Table 3-4)</w:t>
      </w:r>
      <w:r>
        <w:rPr>
          <w:rFonts w:eastAsiaTheme="minorHAnsi"/>
        </w:rPr>
        <w:t xml:space="preserve">. These results indicate the </w:t>
      </w:r>
      <w:r w:rsidR="00872336">
        <w:rPr>
          <w:rFonts w:eastAsiaTheme="minorHAnsi"/>
        </w:rPr>
        <w:t xml:space="preserve">parental </w:t>
      </w:r>
      <w:r>
        <w:rPr>
          <w:rFonts w:eastAsiaTheme="minorHAnsi"/>
        </w:rPr>
        <w:t xml:space="preserve">lines selected from a space planted nursery </w:t>
      </w:r>
      <w:r w:rsidR="00872336">
        <w:rPr>
          <w:rFonts w:eastAsiaTheme="minorHAnsi"/>
        </w:rPr>
        <w:t>may</w:t>
      </w:r>
      <w:r>
        <w:rPr>
          <w:rFonts w:eastAsiaTheme="minorHAnsi"/>
        </w:rPr>
        <w:t xml:space="preserve"> not </w:t>
      </w:r>
      <w:r w:rsidR="00872336">
        <w:rPr>
          <w:rFonts w:eastAsiaTheme="minorHAnsi"/>
        </w:rPr>
        <w:t xml:space="preserve">be the best selections to produce </w:t>
      </w:r>
      <w:r w:rsidR="00B03E73">
        <w:rPr>
          <w:rFonts w:eastAsiaTheme="minorHAnsi"/>
        </w:rPr>
        <w:t>progeny with superior biomass yield under</w:t>
      </w:r>
      <w:r>
        <w:rPr>
          <w:rFonts w:eastAsiaTheme="minorHAnsi"/>
        </w:rPr>
        <w:t xml:space="preserve"> production conditions. This could be a serious hindrance to developing switchgrass cultivars with improved biomass yield. </w:t>
      </w:r>
      <w:r w:rsidR="00B03E73">
        <w:rPr>
          <w:rFonts w:eastAsiaTheme="minorHAnsi"/>
        </w:rPr>
        <w:t xml:space="preserve">Again, data from the 2014 harvest should provide greater clarity on </w:t>
      </w:r>
      <w:r w:rsidR="005F350E">
        <w:rPr>
          <w:rFonts w:eastAsiaTheme="minorHAnsi"/>
        </w:rPr>
        <w:t>this</w:t>
      </w:r>
      <w:r w:rsidR="00B03E73">
        <w:rPr>
          <w:rFonts w:eastAsiaTheme="minorHAnsi"/>
        </w:rPr>
        <w:t xml:space="preserve"> issue.</w:t>
      </w:r>
    </w:p>
    <w:p w14:paraId="419AB3FD" w14:textId="62070F93" w:rsidR="00043399" w:rsidRDefault="00043399" w:rsidP="00043399">
      <w:pPr>
        <w:rPr>
          <w:rFonts w:eastAsiaTheme="minorHAnsi"/>
        </w:rPr>
      </w:pPr>
      <w:r>
        <w:rPr>
          <w:rFonts w:eastAsiaTheme="minorHAnsi"/>
        </w:rPr>
        <w:tab/>
        <w:t xml:space="preserve">This was less of an issue in GCA selections for predicted ethanol yield. In both nurseries and across both years, M and T1 </w:t>
      </w:r>
      <w:r w:rsidR="00B03E73">
        <w:rPr>
          <w:rFonts w:eastAsiaTheme="minorHAnsi"/>
        </w:rPr>
        <w:t xml:space="preserve">parental lines </w:t>
      </w:r>
      <w:r>
        <w:rPr>
          <w:rFonts w:eastAsiaTheme="minorHAnsi"/>
        </w:rPr>
        <w:t>had positive GCA values for predicted ethanol yield</w:t>
      </w:r>
      <w:r w:rsidR="00B21087">
        <w:rPr>
          <w:rFonts w:eastAsiaTheme="minorHAnsi"/>
        </w:rPr>
        <w:t xml:space="preserve"> (Table 3-4)</w:t>
      </w:r>
      <w:r>
        <w:rPr>
          <w:rFonts w:eastAsiaTheme="minorHAnsi"/>
        </w:rPr>
        <w:t>. The space planted nursery also identified the progeny line K3 as having a positive GCA and in 2012 showed A10 as having a significant positive GCA value but in 2013 showed A10 as having a significant negative GCA value</w:t>
      </w:r>
      <w:r w:rsidR="00954DB7">
        <w:rPr>
          <w:rFonts w:eastAsiaTheme="minorHAnsi"/>
        </w:rPr>
        <w:t xml:space="preserve">. </w:t>
      </w:r>
      <w:r>
        <w:rPr>
          <w:rFonts w:eastAsiaTheme="minorHAnsi"/>
        </w:rPr>
        <w:t xml:space="preserve">GCA values for predicted ethanol yield in the sward planted nursery were more consistent, with K3 showing zero or negative values in both years and A10 showing a consistent positive GCA across both years. These results indicate that while space planted evaluations may be consistent with production conditions on selection of some high </w:t>
      </w:r>
      <w:r w:rsidR="001531F3">
        <w:rPr>
          <w:rFonts w:eastAsiaTheme="minorHAnsi"/>
        </w:rPr>
        <w:t>biomass</w:t>
      </w:r>
      <w:r>
        <w:rPr>
          <w:rFonts w:eastAsiaTheme="minorHAnsi"/>
        </w:rPr>
        <w:t xml:space="preserve"> yielding lines, space planted evaluations of predicted ethanol yield appear to be less consistent across years and may select some lines and miss others when estimating positive GCA. </w:t>
      </w:r>
    </w:p>
    <w:p w14:paraId="66F7CF9E" w14:textId="7E3B1110" w:rsidR="00B03E73" w:rsidRDefault="00043399" w:rsidP="00043399">
      <w:pPr>
        <w:rPr>
          <w:rFonts w:eastAsiaTheme="minorHAnsi"/>
        </w:rPr>
      </w:pPr>
      <w:r>
        <w:rPr>
          <w:rFonts w:eastAsiaTheme="minorHAnsi"/>
        </w:rPr>
        <w:tab/>
        <w:t>Evaluations of SCA within the space planted nursery found three crosses with significant positive SCA in 2012, T1</w:t>
      </w:r>
      <w:r w:rsidR="00B03E73">
        <w:rPr>
          <w:rFonts w:eastAsiaTheme="minorHAnsi"/>
        </w:rPr>
        <w:t>x</w:t>
      </w:r>
      <w:r>
        <w:rPr>
          <w:rFonts w:eastAsiaTheme="minorHAnsi"/>
        </w:rPr>
        <w:t>M, A10</w:t>
      </w:r>
      <w:r w:rsidR="00B03E73">
        <w:rPr>
          <w:rFonts w:eastAsiaTheme="minorHAnsi"/>
        </w:rPr>
        <w:t>x</w:t>
      </w:r>
      <w:r>
        <w:rPr>
          <w:rFonts w:eastAsiaTheme="minorHAnsi"/>
        </w:rPr>
        <w:t>M, and A10</w:t>
      </w:r>
      <w:r w:rsidR="00B03E73">
        <w:rPr>
          <w:rFonts w:eastAsiaTheme="minorHAnsi"/>
        </w:rPr>
        <w:t>x</w:t>
      </w:r>
      <w:r>
        <w:rPr>
          <w:rFonts w:eastAsiaTheme="minorHAnsi"/>
        </w:rPr>
        <w:t>AS, and two crosses with significant positive SCA in 2013, K3</w:t>
      </w:r>
      <w:r w:rsidR="00B03E73">
        <w:rPr>
          <w:rFonts w:eastAsiaTheme="minorHAnsi"/>
        </w:rPr>
        <w:t>x</w:t>
      </w:r>
      <w:r>
        <w:rPr>
          <w:rFonts w:eastAsiaTheme="minorHAnsi"/>
        </w:rPr>
        <w:t>T4 and A10</w:t>
      </w:r>
      <w:r w:rsidR="00B03E73">
        <w:rPr>
          <w:rFonts w:eastAsiaTheme="minorHAnsi"/>
        </w:rPr>
        <w:t>x</w:t>
      </w:r>
      <w:r>
        <w:rPr>
          <w:rFonts w:eastAsiaTheme="minorHAnsi"/>
        </w:rPr>
        <w:t>M</w:t>
      </w:r>
      <w:r w:rsidR="00B03E73">
        <w:rPr>
          <w:rFonts w:eastAsiaTheme="minorHAnsi"/>
        </w:rPr>
        <w:t xml:space="preserve"> (Figure 3-2 A)</w:t>
      </w:r>
      <w:r>
        <w:rPr>
          <w:rFonts w:eastAsiaTheme="minorHAnsi"/>
        </w:rPr>
        <w:t xml:space="preserve">. </w:t>
      </w:r>
      <w:r w:rsidR="00B03E73">
        <w:rPr>
          <w:rFonts w:eastAsiaTheme="minorHAnsi"/>
        </w:rPr>
        <w:t>Looking at the direction of the SCA values within each year and across years for biomass yield in the space planted nursery, 23</w:t>
      </w:r>
      <w:r>
        <w:rPr>
          <w:rFonts w:eastAsiaTheme="minorHAnsi"/>
        </w:rPr>
        <w:t xml:space="preserve"> out of the 56 crosses exhibited positive SCA across both years. Four crosses exhibited positive SCA only in </w:t>
      </w:r>
      <w:r>
        <w:rPr>
          <w:rFonts w:eastAsiaTheme="minorHAnsi"/>
        </w:rPr>
        <w:lastRenderedPageBreak/>
        <w:t>one year. Significant maternal effects were observed in both years. In 2012, comb</w:t>
      </w:r>
      <w:r w:rsidR="00B03E73">
        <w:rPr>
          <w:rFonts w:eastAsiaTheme="minorHAnsi"/>
        </w:rPr>
        <w:t>inations of M/T1, K2/T1, AS/T1, A10/M, and A10/</w:t>
      </w:r>
      <w:r>
        <w:rPr>
          <w:rFonts w:eastAsiaTheme="minorHAnsi"/>
        </w:rPr>
        <w:t xml:space="preserve">AS had significant maternal effects. In 2013, </w:t>
      </w:r>
      <w:r w:rsidR="005F350E">
        <w:rPr>
          <w:rFonts w:eastAsiaTheme="minorHAnsi"/>
        </w:rPr>
        <w:t>only the combination A10/</w:t>
      </w:r>
      <w:r>
        <w:rPr>
          <w:rFonts w:eastAsiaTheme="minorHAnsi"/>
        </w:rPr>
        <w:t>M had a significant maternal effect</w:t>
      </w:r>
      <w:r w:rsidR="00661DC3">
        <w:rPr>
          <w:rFonts w:eastAsiaTheme="minorHAnsi"/>
        </w:rPr>
        <w:t xml:space="preserve"> (Figure 3-2 C)</w:t>
      </w:r>
      <w:r>
        <w:rPr>
          <w:rFonts w:eastAsiaTheme="minorHAnsi"/>
        </w:rPr>
        <w:t xml:space="preserve">. In combinations containing A10, the cross with A10 as the </w:t>
      </w:r>
      <w:r w:rsidR="00B03E73">
        <w:rPr>
          <w:rFonts w:eastAsiaTheme="minorHAnsi"/>
        </w:rPr>
        <w:t>maternal parent</w:t>
      </w:r>
      <w:r>
        <w:rPr>
          <w:rFonts w:eastAsiaTheme="minorHAnsi"/>
        </w:rPr>
        <w:t xml:space="preserve"> had a higher SCA compared to the reciprocal cross. In crosses containing T1, two of the crosses with T1 as the </w:t>
      </w:r>
      <w:r w:rsidR="00B03E73">
        <w:rPr>
          <w:rFonts w:eastAsiaTheme="minorHAnsi"/>
        </w:rPr>
        <w:t>maternal parent</w:t>
      </w:r>
      <w:r>
        <w:rPr>
          <w:rFonts w:eastAsiaTheme="minorHAnsi"/>
        </w:rPr>
        <w:t xml:space="preserve"> had higher SCA compared to the reciprocal but one cross with T1 as the </w:t>
      </w:r>
      <w:r w:rsidR="00B03E73">
        <w:rPr>
          <w:rFonts w:eastAsiaTheme="minorHAnsi"/>
        </w:rPr>
        <w:t>paternal parent</w:t>
      </w:r>
      <w:r>
        <w:rPr>
          <w:rFonts w:eastAsiaTheme="minorHAnsi"/>
        </w:rPr>
        <w:t xml:space="preserve"> had a higher SC</w:t>
      </w:r>
      <w:r w:rsidR="00B03E73">
        <w:rPr>
          <w:rFonts w:eastAsiaTheme="minorHAnsi"/>
        </w:rPr>
        <w:t xml:space="preserve">A compared to the reciprocal. </w:t>
      </w:r>
    </w:p>
    <w:p w14:paraId="4BE4D104" w14:textId="327DC4B4" w:rsidR="00043399" w:rsidRDefault="00043399" w:rsidP="00B03E73">
      <w:pPr>
        <w:ind w:firstLine="720"/>
        <w:rPr>
          <w:rFonts w:eastAsiaTheme="minorHAnsi"/>
        </w:rPr>
      </w:pPr>
      <w:r>
        <w:rPr>
          <w:rFonts w:eastAsiaTheme="minorHAnsi"/>
        </w:rPr>
        <w:t xml:space="preserve">Evaluations of biomass yield SCA within the sward planted nursery found no crosses with significant SCA </w:t>
      </w:r>
      <w:r w:rsidR="00B21087">
        <w:rPr>
          <w:rFonts w:eastAsiaTheme="minorHAnsi"/>
        </w:rPr>
        <w:t>or</w:t>
      </w:r>
      <w:r>
        <w:rPr>
          <w:rFonts w:eastAsiaTheme="minorHAnsi"/>
        </w:rPr>
        <w:t xml:space="preserve"> significant maternal effect</w:t>
      </w:r>
      <w:r w:rsidR="00B21087">
        <w:rPr>
          <w:rFonts w:eastAsiaTheme="minorHAnsi"/>
        </w:rPr>
        <w:t xml:space="preserve"> in either year</w:t>
      </w:r>
      <w:r w:rsidR="00661DC3">
        <w:rPr>
          <w:rFonts w:eastAsiaTheme="minorHAnsi"/>
        </w:rPr>
        <w:t xml:space="preserve"> (Figure 3-2 B, D)</w:t>
      </w:r>
      <w:r>
        <w:rPr>
          <w:rFonts w:eastAsiaTheme="minorHAnsi"/>
        </w:rPr>
        <w:t xml:space="preserve">. </w:t>
      </w:r>
      <w:r w:rsidR="00B03E73">
        <w:rPr>
          <w:rFonts w:eastAsiaTheme="minorHAnsi"/>
        </w:rPr>
        <w:t>Looking at the direction of the SCA values within each year and across years for biomass yield in the sward planted nursery, 15</w:t>
      </w:r>
      <w:r>
        <w:rPr>
          <w:rFonts w:eastAsiaTheme="minorHAnsi"/>
        </w:rPr>
        <w:t xml:space="preserve"> out of the 56 crosses exhibited positive SCA across both years. Nineteen crosses exhibited positive SCA only in one year. In the combined analysis across years, 10 crosses </w:t>
      </w:r>
      <w:r w:rsidR="00B03E73">
        <w:rPr>
          <w:rFonts w:eastAsiaTheme="minorHAnsi"/>
        </w:rPr>
        <w:t>had</w:t>
      </w:r>
      <w:r>
        <w:rPr>
          <w:rFonts w:eastAsiaTheme="minorHAnsi"/>
        </w:rPr>
        <w:t xml:space="preserve"> positive SCA</w:t>
      </w:r>
      <w:r w:rsidR="00B03E73">
        <w:rPr>
          <w:rFonts w:eastAsiaTheme="minorHAnsi"/>
        </w:rPr>
        <w:t xml:space="preserve"> values</w:t>
      </w:r>
      <w:r>
        <w:rPr>
          <w:rFonts w:eastAsiaTheme="minorHAnsi"/>
        </w:rPr>
        <w:t xml:space="preserve"> in both the space and sward planted nursery. Of the remaining 32 crosses </w:t>
      </w:r>
      <w:r w:rsidR="003A2C70">
        <w:rPr>
          <w:rFonts w:eastAsiaTheme="minorHAnsi"/>
        </w:rPr>
        <w:t>with a positive SCA value</w:t>
      </w:r>
      <w:r>
        <w:rPr>
          <w:rFonts w:eastAsiaTheme="minorHAnsi"/>
        </w:rPr>
        <w:t xml:space="preserve"> in either the space planted or sward planted nursery, the direction of the SCA </w:t>
      </w:r>
      <w:r w:rsidR="003A2C70">
        <w:rPr>
          <w:rFonts w:eastAsiaTheme="minorHAnsi"/>
        </w:rPr>
        <w:t>value</w:t>
      </w:r>
      <w:r>
        <w:rPr>
          <w:rFonts w:eastAsiaTheme="minorHAnsi"/>
        </w:rPr>
        <w:t xml:space="preserve"> disagreed between the nurseries. Although SCA </w:t>
      </w:r>
      <w:r w:rsidR="003A2C70">
        <w:rPr>
          <w:rFonts w:eastAsiaTheme="minorHAnsi"/>
        </w:rPr>
        <w:t>values</w:t>
      </w:r>
      <w:r>
        <w:rPr>
          <w:rFonts w:eastAsiaTheme="minorHAnsi"/>
        </w:rPr>
        <w:t xml:space="preserve"> appear to be more consistent across years within the space planted nurseries, these results, along with the results observed for direction of GCA effects, indicate the selections identified as high yielding for biomass yield in the space planted nurseries may not be the highest yielding selections under production conditions. </w:t>
      </w:r>
    </w:p>
    <w:p w14:paraId="24336085" w14:textId="3B0A7FFC" w:rsidR="00043399" w:rsidRDefault="00043399" w:rsidP="00043399">
      <w:pPr>
        <w:rPr>
          <w:rFonts w:eastAsiaTheme="minorHAnsi"/>
        </w:rPr>
      </w:pPr>
      <w:r>
        <w:rPr>
          <w:rFonts w:eastAsiaTheme="minorHAnsi"/>
        </w:rPr>
        <w:tab/>
        <w:t>For predicted ethanol yield, a significant SCA effect was observed in the sward planted nursery for the cross K3</w:t>
      </w:r>
      <w:r w:rsidR="003A2C70">
        <w:rPr>
          <w:rFonts w:eastAsiaTheme="minorHAnsi"/>
        </w:rPr>
        <w:t>x</w:t>
      </w:r>
      <w:r>
        <w:rPr>
          <w:rFonts w:eastAsiaTheme="minorHAnsi"/>
        </w:rPr>
        <w:t xml:space="preserve">M in 2012 (Figure 3-3 </w:t>
      </w:r>
      <w:r w:rsidR="00661DC3">
        <w:rPr>
          <w:rFonts w:eastAsiaTheme="minorHAnsi"/>
        </w:rPr>
        <w:t>F</w:t>
      </w:r>
      <w:r>
        <w:rPr>
          <w:rFonts w:eastAsiaTheme="minorHAnsi"/>
        </w:rPr>
        <w:t>)</w:t>
      </w:r>
      <w:r w:rsidR="00954DB7">
        <w:rPr>
          <w:rFonts w:eastAsiaTheme="minorHAnsi"/>
        </w:rPr>
        <w:t xml:space="preserve">. </w:t>
      </w:r>
      <w:r>
        <w:rPr>
          <w:rFonts w:eastAsiaTheme="minorHAnsi"/>
        </w:rPr>
        <w:t xml:space="preserve">No other significant SCA effects or maternal effects were observed in either nursery across either year (Figure 3-3 E-H). </w:t>
      </w:r>
      <w:r w:rsidR="003A2C70">
        <w:rPr>
          <w:rFonts w:eastAsiaTheme="minorHAnsi"/>
        </w:rPr>
        <w:t xml:space="preserve">Looking at the direction of the SCA values within each year and across years for ethanol yield in the </w:t>
      </w:r>
      <w:r>
        <w:rPr>
          <w:rFonts w:eastAsiaTheme="minorHAnsi"/>
        </w:rPr>
        <w:t xml:space="preserve">space </w:t>
      </w:r>
      <w:r>
        <w:rPr>
          <w:rFonts w:eastAsiaTheme="minorHAnsi"/>
        </w:rPr>
        <w:lastRenderedPageBreak/>
        <w:t>planted nursery, eight out of the 30 crosses exhibited positive SCA across both years. Thirteen crosses exhibited positive SCA only in one year. Within the sward planted nursery,</w:t>
      </w:r>
      <w:r w:rsidRPr="0041416B">
        <w:rPr>
          <w:rFonts w:eastAsiaTheme="minorHAnsi"/>
        </w:rPr>
        <w:t xml:space="preserve"> </w:t>
      </w:r>
      <w:r>
        <w:rPr>
          <w:rFonts w:eastAsiaTheme="minorHAnsi"/>
        </w:rPr>
        <w:t xml:space="preserve">eight out of the 30 crosses exhibited positive SCA across both years. Seven crosses exhibited positive SCA only in one year. Within the combined analysis across years, nine crosses were selected with positive SCA in both the space and sward planted nursery. Of the remaining nine crosses selected in either nursery, the direction of the SCA effect disagreed between the nurseries. While differences between the two nurseries in </w:t>
      </w:r>
      <w:r w:rsidR="003A2C70">
        <w:rPr>
          <w:rFonts w:eastAsiaTheme="minorHAnsi"/>
        </w:rPr>
        <w:t>SCA values</w:t>
      </w:r>
      <w:r>
        <w:rPr>
          <w:rFonts w:eastAsiaTheme="minorHAnsi"/>
        </w:rPr>
        <w:t xml:space="preserve"> for predicted ethanol yield appear to be less drastic compared to differences in </w:t>
      </w:r>
      <w:r w:rsidR="003A2C70">
        <w:rPr>
          <w:rFonts w:eastAsiaTheme="minorHAnsi"/>
        </w:rPr>
        <w:t>SCA values</w:t>
      </w:r>
      <w:r>
        <w:rPr>
          <w:rFonts w:eastAsiaTheme="minorHAnsi"/>
        </w:rPr>
        <w:t xml:space="preserve"> for biomass yield, evaluation under space planted conditions </w:t>
      </w:r>
      <w:r w:rsidR="003A2C70">
        <w:rPr>
          <w:rFonts w:eastAsiaTheme="minorHAnsi"/>
        </w:rPr>
        <w:t>would have</w:t>
      </w:r>
      <w:r>
        <w:rPr>
          <w:rFonts w:eastAsiaTheme="minorHAnsi"/>
        </w:rPr>
        <w:t xml:space="preserve"> resulted in the selection of crosses that exhibited negative SCA and discard</w:t>
      </w:r>
      <w:r w:rsidR="003A2C70">
        <w:rPr>
          <w:rFonts w:eastAsiaTheme="minorHAnsi"/>
        </w:rPr>
        <w:t>ing</w:t>
      </w:r>
      <w:r>
        <w:rPr>
          <w:rFonts w:eastAsiaTheme="minorHAnsi"/>
        </w:rPr>
        <w:t xml:space="preserve"> of crosses that exhibited positive SCA under simulated production conditions.</w:t>
      </w:r>
    </w:p>
    <w:p w14:paraId="620A8E87" w14:textId="77777777" w:rsidR="00043399" w:rsidRDefault="00043399" w:rsidP="00043399">
      <w:pPr>
        <w:pStyle w:val="Heading3"/>
        <w:rPr>
          <w:rFonts w:eastAsiaTheme="minorHAnsi"/>
        </w:rPr>
      </w:pPr>
      <w:bookmarkStart w:id="99" w:name="_Toc404069861"/>
      <w:r>
        <w:rPr>
          <w:rFonts w:eastAsiaTheme="minorHAnsi"/>
        </w:rPr>
        <w:t>Heterosis</w:t>
      </w:r>
      <w:r w:rsidR="00CE44F9">
        <w:rPr>
          <w:rFonts w:eastAsiaTheme="minorHAnsi"/>
        </w:rPr>
        <w:t xml:space="preserve"> of Biomass Yield and Predicted Ethanol Yield</w:t>
      </w:r>
      <w:bookmarkEnd w:id="99"/>
    </w:p>
    <w:p w14:paraId="4A0AC46F" w14:textId="5252E842" w:rsidR="00043399" w:rsidRDefault="00043399" w:rsidP="00043399">
      <w:pPr>
        <w:ind w:firstLine="720"/>
        <w:rPr>
          <w:rFonts w:eastAsiaTheme="minorHAnsi"/>
        </w:rPr>
      </w:pPr>
      <w:r>
        <w:rPr>
          <w:rFonts w:eastAsiaTheme="minorHAnsi"/>
        </w:rPr>
        <w:t>Significant</w:t>
      </w:r>
      <w:r w:rsidR="003A2C70">
        <w:rPr>
          <w:rFonts w:eastAsiaTheme="minorHAnsi"/>
        </w:rPr>
        <w:t xml:space="preserve"> (</w:t>
      </w:r>
      <w:r w:rsidR="00B7572A">
        <w:rPr>
          <w:rFonts w:eastAsiaTheme="minorHAnsi"/>
        </w:rPr>
        <w:t xml:space="preserve">P </w:t>
      </w:r>
      <w:r w:rsidR="009021A8">
        <w:rPr>
          <w:rFonts w:eastAsiaTheme="minorHAnsi"/>
        </w:rPr>
        <w:t xml:space="preserve">&lt; </w:t>
      </w:r>
      <w:r w:rsidR="003A2C70">
        <w:rPr>
          <w:rFonts w:eastAsiaTheme="minorHAnsi"/>
        </w:rPr>
        <w:t>0.05)</w:t>
      </w:r>
      <w:r>
        <w:rPr>
          <w:rFonts w:eastAsiaTheme="minorHAnsi"/>
        </w:rPr>
        <w:t xml:space="preserve"> high parent heterosis for biomass yield was observed in both space and sward planted nurseries</w:t>
      </w:r>
      <w:r w:rsidR="003A2C70">
        <w:rPr>
          <w:rFonts w:eastAsiaTheme="minorHAnsi"/>
        </w:rPr>
        <w:t xml:space="preserve"> (Figure 3-3)</w:t>
      </w:r>
      <w:r>
        <w:rPr>
          <w:rFonts w:eastAsiaTheme="minorHAnsi"/>
        </w:rPr>
        <w:t>. Within the space planted nursery, 32 crosses in 2012 and 15 crosses in 2013 were identified as exhibiting significant high parent heterosis</w:t>
      </w:r>
      <w:r w:rsidR="00661DC3">
        <w:rPr>
          <w:rFonts w:eastAsiaTheme="minorHAnsi"/>
        </w:rPr>
        <w:t xml:space="preserve"> (</w:t>
      </w:r>
      <w:r w:rsidR="00EC28CD">
        <w:rPr>
          <w:rFonts w:eastAsiaTheme="minorHAnsi"/>
        </w:rPr>
        <w:t>Figure 3-3 A-B</w:t>
      </w:r>
      <w:r w:rsidR="003A2C70">
        <w:rPr>
          <w:rFonts w:eastAsiaTheme="minorHAnsi"/>
        </w:rPr>
        <w:t>)</w:t>
      </w:r>
      <w:r>
        <w:rPr>
          <w:rFonts w:eastAsiaTheme="minorHAnsi"/>
        </w:rPr>
        <w:t>. Of these crosses, 12 exhibited significant high parent heterosis across both years. Within the sward planted nursery, 12 crosses in 2012 and 2 crosses in 2013 were identified as exhibiting significant high parent heterosis</w:t>
      </w:r>
      <w:r w:rsidR="00661DC3">
        <w:rPr>
          <w:rFonts w:eastAsiaTheme="minorHAnsi"/>
        </w:rPr>
        <w:t xml:space="preserve"> (Figure 3-3 </w:t>
      </w:r>
      <w:r w:rsidR="00EC28CD">
        <w:rPr>
          <w:rFonts w:eastAsiaTheme="minorHAnsi"/>
        </w:rPr>
        <w:t>C-D</w:t>
      </w:r>
      <w:r w:rsidR="003A2C70">
        <w:rPr>
          <w:rFonts w:eastAsiaTheme="minorHAnsi"/>
        </w:rPr>
        <w:t>). Of these crosses, two</w:t>
      </w:r>
      <w:r>
        <w:rPr>
          <w:rFonts w:eastAsiaTheme="minorHAnsi"/>
        </w:rPr>
        <w:t xml:space="preserve"> exhibited significant high parent heterosis across both years. These results are dissimilar to those reported by </w:t>
      </w:r>
      <w:hyperlink w:anchor="_ENREF_68" w:tooltip="Martinez-Reyna, 2008 #259" w:history="1">
        <w:r w:rsidR="00FB5014">
          <w:rPr>
            <w:rFonts w:eastAsiaTheme="minorHAnsi"/>
          </w:rPr>
          <w:fldChar w:fldCharType="begin"/>
        </w:r>
        <w:r w:rsidR="00FB5014">
          <w:rPr>
            <w:rFonts w:eastAsiaTheme="minorHAnsi"/>
          </w:rPr>
          <w:instrText xml:space="preserve"> ADDIN EN.CITE &lt;EndNote&gt;&lt;Cite AuthorYear="1"&gt;&lt;Author&gt;Martinez-Reyna&lt;/Author&gt;&lt;Year&gt;2008&lt;/Year&gt;&lt;RecNum&gt;259&lt;/RecNum&gt;&lt;DisplayText&gt;Martinez-Reyna and Vogel (2008)&lt;/DisplayText&gt;&lt;record&gt;&lt;rec-number&gt;259&lt;/rec-number&gt;&lt;foreign-keys&gt;&lt;key app="EN" db-id="9zfxt259rawwvce0pfa5efeuatdw0pz5va5z" timestamp="1323887732"&gt;259&lt;/key&gt;&lt;/foreign-keys&gt;&lt;ref-type name="Journal Article"&gt;17&lt;/ref-type&gt;&lt;contributors&gt;&lt;authors&gt;&lt;author&gt;Martinez-Reyna, J.M.&lt;/author&gt;&lt;author&gt;Vogel, K.P.&lt;/author&gt;&lt;/authors&gt;&lt;/contributors&gt;&lt;titles&gt;&lt;title&gt;Heterosis in switchgrass:  Spaced plants&lt;/title&gt;&lt;secondary-title&gt;Crop Sci.&lt;/secondary-title&gt;&lt;/titles&gt;&lt;periodical&gt;&lt;full-title&gt;Crop Sci.&lt;/full-title&gt;&lt;/periodical&gt;&lt;pages&gt;1312-1320&lt;/pages&gt;&lt;volume&gt;48&lt;/volume&gt;&lt;section&gt;1312&lt;/section&gt;&lt;dates&gt;&lt;year&gt;2008&lt;/year&gt;&lt;/dates&gt;&lt;urls&gt;&lt;/urls&gt;&lt;/record&gt;&lt;/Cite&gt;&lt;/EndNote&gt;</w:instrText>
        </w:r>
        <w:r w:rsidR="00FB5014">
          <w:rPr>
            <w:rFonts w:eastAsiaTheme="minorHAnsi"/>
          </w:rPr>
          <w:fldChar w:fldCharType="separate"/>
        </w:r>
        <w:r w:rsidR="00FB5014">
          <w:rPr>
            <w:rFonts w:eastAsiaTheme="minorHAnsi"/>
            <w:noProof/>
          </w:rPr>
          <w:t>Martinez-Reyna and Vogel (2008)</w:t>
        </w:r>
        <w:r w:rsidR="00FB5014">
          <w:rPr>
            <w:rFonts w:eastAsiaTheme="minorHAnsi"/>
          </w:rPr>
          <w:fldChar w:fldCharType="end"/>
        </w:r>
      </w:hyperlink>
      <w:r>
        <w:rPr>
          <w:rFonts w:eastAsiaTheme="minorHAnsi"/>
        </w:rPr>
        <w:t xml:space="preserve"> and </w:t>
      </w:r>
      <w:hyperlink w:anchor="_ENREF_100" w:tooltip="Vogel, 2008 #258" w:history="1">
        <w:r w:rsidR="00FB5014">
          <w:rPr>
            <w:rFonts w:eastAsiaTheme="minorHAnsi"/>
          </w:rPr>
          <w:fldChar w:fldCharType="begin"/>
        </w:r>
        <w:r w:rsidR="00FB5014">
          <w:rPr>
            <w:rFonts w:eastAsiaTheme="minorHAnsi"/>
          </w:rPr>
          <w:instrText xml:space="preserve"> ADDIN EN.CITE &lt;EndNote&gt;&lt;Cite AuthorYear="1"&gt;&lt;Author&gt;Vogel&lt;/Author&gt;&lt;Year&gt;2008&lt;/Year&gt;&lt;RecNum&gt;258&lt;/RecNum&gt;&lt;DisplayText&gt;Vogel and Mitchell (2008)&lt;/DisplayText&gt;&lt;record&gt;&lt;rec-number&gt;258&lt;/rec-number&gt;&lt;foreign-keys&gt;&lt;key app="EN" db-id="9zfxt259rawwvce0pfa5efeuatdw0pz5va5z" timestamp="1323887732"&gt;258&lt;/key&gt;&lt;/foreign-keys&gt;&lt;ref-type name="Journal Article"&gt;17&lt;/ref-type&gt;&lt;contributors&gt;&lt;authors&gt;&lt;author&gt;Vogel, K.P.&lt;/author&gt;&lt;author&gt;Mitchell, R.B.&lt;/author&gt;&lt;/authors&gt;&lt;/contributors&gt;&lt;titles&gt;&lt;title&gt;Heterosis in switchgrass:  Biomass yield in swards&lt;/title&gt;&lt;secondary-title&gt;Crop Sci.&lt;/secondary-title&gt;&lt;/titles&gt;&lt;periodical&gt;&lt;full-title&gt;Crop Sci.&lt;/full-title&gt;&lt;/periodical&gt;&lt;pages&gt;2159-2164&lt;/pages&gt;&lt;volume&gt;48&lt;/volume&gt;&lt;section&gt;2159&lt;/section&gt;&lt;dates&gt;&lt;year&gt;2008&lt;/year&gt;&lt;/dates&gt;&lt;urls&gt;&lt;/urls&gt;&lt;/record&gt;&lt;/Cite&gt;&lt;/EndNote&gt;</w:instrText>
        </w:r>
        <w:r w:rsidR="00FB5014">
          <w:rPr>
            <w:rFonts w:eastAsiaTheme="minorHAnsi"/>
          </w:rPr>
          <w:fldChar w:fldCharType="separate"/>
        </w:r>
        <w:r w:rsidR="00FB5014">
          <w:rPr>
            <w:rFonts w:eastAsiaTheme="minorHAnsi"/>
            <w:noProof/>
          </w:rPr>
          <w:t>Vogel and Mitchell (2008)</w:t>
        </w:r>
        <w:r w:rsidR="00FB5014">
          <w:rPr>
            <w:rFonts w:eastAsiaTheme="minorHAnsi"/>
          </w:rPr>
          <w:fldChar w:fldCharType="end"/>
        </w:r>
      </w:hyperlink>
      <w:r>
        <w:rPr>
          <w:rFonts w:eastAsiaTheme="minorHAnsi"/>
        </w:rPr>
        <w:t>. In these studies, combinations of th</w:t>
      </w:r>
      <w:r w:rsidR="00684175">
        <w:rPr>
          <w:rFonts w:eastAsiaTheme="minorHAnsi"/>
        </w:rPr>
        <w:t>e lowland switchgrass cultivar Kanlow</w:t>
      </w:r>
      <w:r>
        <w:rPr>
          <w:rFonts w:eastAsiaTheme="minorHAnsi"/>
        </w:rPr>
        <w:t xml:space="preserve"> and t</w:t>
      </w:r>
      <w:r w:rsidR="00684175">
        <w:rPr>
          <w:rFonts w:eastAsiaTheme="minorHAnsi"/>
        </w:rPr>
        <w:t xml:space="preserve">he upland switchgrass cultivar </w:t>
      </w:r>
      <w:proofErr w:type="gramStart"/>
      <w:r w:rsidR="00684175">
        <w:rPr>
          <w:rFonts w:eastAsiaTheme="minorHAnsi"/>
        </w:rPr>
        <w:t>Summer</w:t>
      </w:r>
      <w:proofErr w:type="gramEnd"/>
      <w:r>
        <w:rPr>
          <w:rFonts w:eastAsiaTheme="minorHAnsi"/>
        </w:rPr>
        <w:t xml:space="preserve"> exhibited significant high parent heterosis in sward planted conditions but not in space planted conditions. The poor performance of the parent plants in both the space and sward planted </w:t>
      </w:r>
      <w:r>
        <w:rPr>
          <w:rFonts w:eastAsiaTheme="minorHAnsi"/>
        </w:rPr>
        <w:lastRenderedPageBreak/>
        <w:t xml:space="preserve">nurseries in our study could be contributing to inflated numbers of crosses exhibiting high parent heterosis. </w:t>
      </w:r>
    </w:p>
    <w:p w14:paraId="1A1EA5AD" w14:textId="0FE7E7C4" w:rsidR="00043399" w:rsidRDefault="00043399" w:rsidP="00043399">
      <w:pPr>
        <w:ind w:firstLine="720"/>
        <w:rPr>
          <w:rFonts w:eastAsiaTheme="minorHAnsi"/>
        </w:rPr>
      </w:pPr>
      <w:r>
        <w:rPr>
          <w:rFonts w:eastAsiaTheme="minorHAnsi"/>
        </w:rPr>
        <w:t>Unlike biomass yield, mean predicted ethanol yield of parental clones and progeny plants were similar within each location. In the space planted nursery, only two crosses were identified as exhibiting signif</w:t>
      </w:r>
      <w:r w:rsidR="0009133C">
        <w:rPr>
          <w:rFonts w:eastAsiaTheme="minorHAnsi"/>
        </w:rPr>
        <w:t>icant high parent heterosis, T1x</w:t>
      </w:r>
      <w:r>
        <w:rPr>
          <w:rFonts w:eastAsiaTheme="minorHAnsi"/>
        </w:rPr>
        <w:t>K2 and T1</w:t>
      </w:r>
      <w:r w:rsidR="0009133C">
        <w:rPr>
          <w:rFonts w:eastAsiaTheme="minorHAnsi"/>
        </w:rPr>
        <w:t>x</w:t>
      </w:r>
      <w:r>
        <w:rPr>
          <w:rFonts w:eastAsiaTheme="minorHAnsi"/>
        </w:rPr>
        <w:t>M</w:t>
      </w:r>
      <w:r w:rsidR="0009133C">
        <w:rPr>
          <w:rFonts w:eastAsiaTheme="minorHAnsi"/>
        </w:rPr>
        <w:t xml:space="preserve"> (Figure 3-3 F)</w:t>
      </w:r>
      <w:r>
        <w:rPr>
          <w:rFonts w:eastAsiaTheme="minorHAnsi"/>
        </w:rPr>
        <w:t xml:space="preserve">. These crosses only exhibited high parent heterosis in 2013. Within the sward planted nursery, no crosses exhibited significant high parent heterosis. The lack of high parent heterosis for predicted ethanol yield could be due to the lack of variation in predicted ethanol yield observed in the progeny and parents evaluated or </w:t>
      </w:r>
      <w:r w:rsidR="0009133C">
        <w:rPr>
          <w:rFonts w:eastAsiaTheme="minorHAnsi"/>
        </w:rPr>
        <w:t>it may indicate</w:t>
      </w:r>
      <w:r>
        <w:rPr>
          <w:rFonts w:eastAsiaTheme="minorHAnsi"/>
        </w:rPr>
        <w:t xml:space="preserve"> the parents evaluated do not represent different heterotic groups for this trait. Few studies have examined the variation in predicted ethanol yield in switchgrass populations thus far. Breeders would benefit from a greater understanding of the variation in this trait and the identification of potential heterotic groups</w:t>
      </w:r>
      <w:r w:rsidR="00954DB7">
        <w:rPr>
          <w:rFonts w:eastAsiaTheme="minorHAnsi"/>
        </w:rPr>
        <w:t xml:space="preserve">. </w:t>
      </w:r>
      <w:r>
        <w:rPr>
          <w:rFonts w:eastAsiaTheme="minorHAnsi"/>
        </w:rPr>
        <w:t xml:space="preserve"> </w:t>
      </w:r>
    </w:p>
    <w:p w14:paraId="24C69F0A" w14:textId="77777777" w:rsidR="00043399" w:rsidRDefault="00043399" w:rsidP="00043399">
      <w:pPr>
        <w:pStyle w:val="Heading3"/>
        <w:rPr>
          <w:rFonts w:eastAsiaTheme="minorHAnsi"/>
        </w:rPr>
      </w:pPr>
      <w:bookmarkStart w:id="100" w:name="_Toc404069862"/>
      <w:r>
        <w:rPr>
          <w:rFonts w:eastAsiaTheme="minorHAnsi"/>
        </w:rPr>
        <w:t>Selections</w:t>
      </w:r>
      <w:r w:rsidR="00CE44F9">
        <w:rPr>
          <w:rFonts w:eastAsiaTheme="minorHAnsi"/>
        </w:rPr>
        <w:t xml:space="preserve"> for Biomass Yield and Predicted Ethanol Yield</w:t>
      </w:r>
      <w:bookmarkEnd w:id="100"/>
    </w:p>
    <w:p w14:paraId="72CFF728" w14:textId="046DB5B2" w:rsidR="00043399" w:rsidRDefault="002B3B7D" w:rsidP="00043399">
      <w:pPr>
        <w:rPr>
          <w:rFonts w:eastAsiaTheme="minorHAnsi"/>
        </w:rPr>
      </w:pPr>
      <w:r>
        <w:rPr>
          <w:rFonts w:eastAsiaTheme="minorHAnsi"/>
        </w:rPr>
        <w:tab/>
        <w:t>The top 3</w:t>
      </w:r>
      <w:r w:rsidR="00043399">
        <w:rPr>
          <w:rFonts w:eastAsiaTheme="minorHAnsi"/>
        </w:rPr>
        <w:t xml:space="preserve">0% of crosses for biomass yield and predicted ethanol yield were selected from within each year within each nursery. These selections were matched to corresponding values for biomass or predicted ethanol yield in sward planted switchgrass in 2013, under the assumption that this would be a good predictor of how selections would perform under second year production conditions. </w:t>
      </w:r>
      <w:r w:rsidR="0009133C">
        <w:rPr>
          <w:rFonts w:eastAsiaTheme="minorHAnsi"/>
        </w:rPr>
        <w:t>Comparing the F1 populations selected within each year and nursery for high biomass yield, 12% of selections from the 2012 space planted nursery, 18% of selections from the 2013 space planted nursery, and 41% of selections from the 2012 sward planted nursery matched crosses selected in the 2013 sward planted nursery</w:t>
      </w:r>
      <w:r w:rsidR="00954DB7">
        <w:rPr>
          <w:rFonts w:eastAsiaTheme="minorHAnsi"/>
        </w:rPr>
        <w:t xml:space="preserve">. </w:t>
      </w:r>
      <w:r w:rsidR="0009133C">
        <w:rPr>
          <w:rFonts w:eastAsiaTheme="minorHAnsi"/>
        </w:rPr>
        <w:t xml:space="preserve">Selections were more similar for selections of high predicted ethanol yield with 44% of selections from the 2012 space planted nursery, 44% of selections from the 2013 space planted nursery, and 65% of selections from the </w:t>
      </w:r>
      <w:r w:rsidR="0009133C">
        <w:rPr>
          <w:rFonts w:eastAsiaTheme="minorHAnsi"/>
        </w:rPr>
        <w:lastRenderedPageBreak/>
        <w:t xml:space="preserve">2012 sward planted nursery matching crosses selected for high ethanol yield in the 2013 sward planted nursery. </w:t>
      </w:r>
      <w:r w:rsidR="00043399">
        <w:rPr>
          <w:rFonts w:eastAsiaTheme="minorHAnsi"/>
        </w:rPr>
        <w:t>Comparing selections from within each year and nursery, mean predicted production biomass yield did not differ significantly</w:t>
      </w:r>
      <w:r w:rsidR="0009133C">
        <w:rPr>
          <w:rFonts w:eastAsiaTheme="minorHAnsi"/>
        </w:rPr>
        <w:t xml:space="preserve"> (</w:t>
      </w:r>
      <w:r w:rsidR="00B7572A">
        <w:rPr>
          <w:rFonts w:eastAsiaTheme="minorHAnsi"/>
        </w:rPr>
        <w:t xml:space="preserve">P </w:t>
      </w:r>
      <w:r w:rsidR="009021A8">
        <w:rPr>
          <w:rFonts w:eastAsiaTheme="minorHAnsi"/>
        </w:rPr>
        <w:t xml:space="preserve">&lt; </w:t>
      </w:r>
      <w:r w:rsidR="0009133C">
        <w:rPr>
          <w:rFonts w:eastAsiaTheme="minorHAnsi"/>
        </w:rPr>
        <w:t>0.05)</w:t>
      </w:r>
      <w:r w:rsidR="00043399">
        <w:rPr>
          <w:rFonts w:eastAsiaTheme="minorHAnsi"/>
        </w:rPr>
        <w:t xml:space="preserve"> between selections from the 2013 space planted nursery, 2012 sward planted nursery, and 2013 sward planted nursery</w:t>
      </w:r>
      <w:r w:rsidR="000A3CBE">
        <w:rPr>
          <w:rFonts w:eastAsiaTheme="minorHAnsi"/>
        </w:rPr>
        <w:t xml:space="preserve"> (Figure 3-4</w:t>
      </w:r>
      <w:r w:rsidR="0009133C">
        <w:rPr>
          <w:rFonts w:eastAsiaTheme="minorHAnsi"/>
        </w:rPr>
        <w:t>)</w:t>
      </w:r>
      <w:r w:rsidR="00043399">
        <w:rPr>
          <w:rFonts w:eastAsiaTheme="minorHAnsi"/>
        </w:rPr>
        <w:t>. Mean biomass yield from crosses selected from the 2012 space planted nursery had lower mean predicted production biomass yield compared to the 2013 sward planted selections, but did not differ significantly from the mean predicted production biomass yield of 2013 space planted selections or 2012 sward planted selections. Ranking of mean predicted production biomass yield from lowest to highest was 2012 space planted selections (</w:t>
      </w:r>
      <w:r w:rsidR="0009133C">
        <w:rPr>
          <w:rFonts w:eastAsiaTheme="minorHAnsi" w:cs="Times New Roman"/>
        </w:rPr>
        <w:t>x̅</w:t>
      </w:r>
      <w:r w:rsidR="00043399">
        <w:rPr>
          <w:rFonts w:eastAsiaTheme="minorHAnsi"/>
        </w:rPr>
        <w:t xml:space="preserve"> = 282 g plant</w:t>
      </w:r>
      <w:r w:rsidR="00043399">
        <w:rPr>
          <w:rFonts w:eastAsiaTheme="minorHAnsi"/>
          <w:vertAlign w:val="superscript"/>
        </w:rPr>
        <w:t>-1</w:t>
      </w:r>
      <w:r w:rsidR="00043399">
        <w:rPr>
          <w:rFonts w:eastAsiaTheme="minorHAnsi"/>
        </w:rPr>
        <w:t>), 2013 space planted selections (</w:t>
      </w:r>
      <w:r w:rsidR="0009133C">
        <w:rPr>
          <w:rFonts w:eastAsiaTheme="minorHAnsi" w:cs="Times New Roman"/>
        </w:rPr>
        <w:t>x̅</w:t>
      </w:r>
      <w:r w:rsidR="00043399">
        <w:rPr>
          <w:rFonts w:eastAsiaTheme="minorHAnsi"/>
        </w:rPr>
        <w:t xml:space="preserve"> = 354 g plant</w:t>
      </w:r>
      <w:r w:rsidR="00043399">
        <w:rPr>
          <w:rFonts w:eastAsiaTheme="minorHAnsi"/>
          <w:vertAlign w:val="superscript"/>
        </w:rPr>
        <w:t>-1</w:t>
      </w:r>
      <w:r w:rsidR="00043399">
        <w:rPr>
          <w:rFonts w:eastAsiaTheme="minorHAnsi"/>
        </w:rPr>
        <w:t>), 2012 sward planted selections (</w:t>
      </w:r>
      <w:r w:rsidR="0009133C">
        <w:rPr>
          <w:rFonts w:eastAsiaTheme="minorHAnsi" w:cs="Times New Roman"/>
        </w:rPr>
        <w:t>x̅</w:t>
      </w:r>
      <w:r w:rsidR="00043399">
        <w:rPr>
          <w:rFonts w:eastAsiaTheme="minorHAnsi"/>
        </w:rPr>
        <w:t xml:space="preserve"> = 432 g plant</w:t>
      </w:r>
      <w:r w:rsidR="00043399">
        <w:rPr>
          <w:rFonts w:eastAsiaTheme="minorHAnsi"/>
          <w:vertAlign w:val="superscript"/>
        </w:rPr>
        <w:t>-1</w:t>
      </w:r>
      <w:r w:rsidR="00043399">
        <w:rPr>
          <w:rFonts w:eastAsiaTheme="minorHAnsi"/>
        </w:rPr>
        <w:t>), and 2013 sward planted selections (</w:t>
      </w:r>
      <w:r w:rsidR="0009133C">
        <w:rPr>
          <w:rFonts w:eastAsiaTheme="minorHAnsi" w:cs="Times New Roman"/>
        </w:rPr>
        <w:t>x̅</w:t>
      </w:r>
      <w:r w:rsidR="00043399">
        <w:rPr>
          <w:rFonts w:eastAsiaTheme="minorHAnsi"/>
        </w:rPr>
        <w:t xml:space="preserve"> = 490 g plant</w:t>
      </w:r>
      <w:r w:rsidR="00043399">
        <w:rPr>
          <w:rFonts w:eastAsiaTheme="minorHAnsi"/>
          <w:vertAlign w:val="superscript"/>
        </w:rPr>
        <w:t>-1</w:t>
      </w:r>
      <w:r w:rsidR="00043399">
        <w:rPr>
          <w:rFonts w:eastAsiaTheme="minorHAnsi"/>
        </w:rPr>
        <w:t xml:space="preserve">). While </w:t>
      </w:r>
      <w:r w:rsidR="00684175">
        <w:rPr>
          <w:rFonts w:eastAsiaTheme="minorHAnsi"/>
        </w:rPr>
        <w:t>mean predicted production biomass yield did not differ significantly between selections from the 2012 space planted nursery, 2012 sward planted nursery, and 2013 sward planted nursery</w:t>
      </w:r>
      <w:r w:rsidR="00043399">
        <w:rPr>
          <w:rFonts w:eastAsiaTheme="minorHAnsi"/>
        </w:rPr>
        <w:t>, these losses are estimated on a per plant basis. These losses are compounded if calculated on a per hectare basis. Assuming a good stand of approximately one plant per 0.3 m</w:t>
      </w:r>
      <w:r w:rsidR="00043399">
        <w:rPr>
          <w:rFonts w:eastAsiaTheme="minorHAnsi"/>
          <w:vertAlign w:val="superscript"/>
        </w:rPr>
        <w:t>2</w:t>
      </w:r>
      <w:r w:rsidR="00043399">
        <w:rPr>
          <w:rFonts w:eastAsiaTheme="minorHAnsi"/>
        </w:rPr>
        <w:t>, compared to sward planted selections in the second year, 2013, losses would amount to 6,243 kg ha</w:t>
      </w:r>
      <w:r w:rsidR="00043399">
        <w:rPr>
          <w:rFonts w:eastAsiaTheme="minorHAnsi"/>
          <w:vertAlign w:val="superscript"/>
        </w:rPr>
        <w:t>-1</w:t>
      </w:r>
      <w:r w:rsidR="00043399">
        <w:rPr>
          <w:rFonts w:eastAsiaTheme="minorHAnsi"/>
        </w:rPr>
        <w:t xml:space="preserve"> in 2012 sward planted selections, 14,639 kg ha</w:t>
      </w:r>
      <w:r w:rsidR="00043399">
        <w:rPr>
          <w:rFonts w:eastAsiaTheme="minorHAnsi"/>
          <w:vertAlign w:val="superscript"/>
        </w:rPr>
        <w:t>-1</w:t>
      </w:r>
      <w:r w:rsidR="00043399">
        <w:rPr>
          <w:rFonts w:eastAsiaTheme="minorHAnsi"/>
        </w:rPr>
        <w:t xml:space="preserve"> in 2013 space planted selections, and 22,389 kg ha</w:t>
      </w:r>
      <w:r w:rsidR="00043399">
        <w:rPr>
          <w:rFonts w:eastAsiaTheme="minorHAnsi"/>
          <w:vertAlign w:val="superscript"/>
        </w:rPr>
        <w:t>-1</w:t>
      </w:r>
      <w:r w:rsidR="00043399">
        <w:rPr>
          <w:rFonts w:eastAsiaTheme="minorHAnsi"/>
        </w:rPr>
        <w:t xml:space="preserve"> in 2012 space planted selections. Such losses may be deemed too high by breeders trying to produce improved switchgrass cultivars and by producers trying to maximize biomass yield in production fields. </w:t>
      </w:r>
    </w:p>
    <w:p w14:paraId="2F49A009" w14:textId="5BF75B34" w:rsidR="00043399" w:rsidRDefault="00043399" w:rsidP="00043399">
      <w:pPr>
        <w:rPr>
          <w:rFonts w:eastAsiaTheme="minorHAnsi"/>
        </w:rPr>
      </w:pPr>
      <w:r>
        <w:rPr>
          <w:rFonts w:eastAsiaTheme="minorHAnsi"/>
        </w:rPr>
        <w:tab/>
        <w:t xml:space="preserve">For predicted ethanol yield, no significant differences were observed between mean </w:t>
      </w:r>
      <w:r w:rsidR="00564EA9">
        <w:rPr>
          <w:rFonts w:eastAsiaTheme="minorHAnsi"/>
        </w:rPr>
        <w:t>predicted ethanol yield</w:t>
      </w:r>
      <w:r>
        <w:rPr>
          <w:rFonts w:eastAsiaTheme="minorHAnsi"/>
        </w:rPr>
        <w:t xml:space="preserve"> in selections from either year or nursery. These results suggest, not only that predicted ethanol yield selections can be effectively made in either type of nursery, but that </w:t>
      </w:r>
      <w:r>
        <w:rPr>
          <w:rFonts w:eastAsiaTheme="minorHAnsi"/>
        </w:rPr>
        <w:lastRenderedPageBreak/>
        <w:t>early selection during the establishment year also results in effective selections.</w:t>
      </w:r>
      <w:r w:rsidR="00684175">
        <w:rPr>
          <w:rFonts w:eastAsiaTheme="minorHAnsi"/>
        </w:rPr>
        <w:t xml:space="preserve"> T</w:t>
      </w:r>
      <w:r>
        <w:rPr>
          <w:rFonts w:eastAsiaTheme="minorHAnsi"/>
        </w:rPr>
        <w:t>hese results may differ in populations where predicted ethanol yield is more variable</w:t>
      </w:r>
      <w:r w:rsidR="00954DB7">
        <w:rPr>
          <w:rFonts w:eastAsiaTheme="minorHAnsi"/>
        </w:rPr>
        <w:t xml:space="preserve">. </w:t>
      </w:r>
    </w:p>
    <w:p w14:paraId="368D3F54" w14:textId="77777777" w:rsidR="002B3B7D" w:rsidRDefault="002B3B7D" w:rsidP="0009133C">
      <w:pPr>
        <w:rPr>
          <w:rFonts w:eastAsiaTheme="minorHAnsi"/>
        </w:rPr>
      </w:pPr>
      <w:r>
        <w:rPr>
          <w:rFonts w:eastAsiaTheme="minorHAnsi"/>
        </w:rPr>
        <w:tab/>
      </w:r>
    </w:p>
    <w:p w14:paraId="63C34CFC" w14:textId="77777777" w:rsidR="00043399" w:rsidRDefault="00043399" w:rsidP="00043399">
      <w:pPr>
        <w:pStyle w:val="Heading2"/>
      </w:pPr>
      <w:bookmarkStart w:id="101" w:name="_Toc404069863"/>
      <w:r>
        <w:t>Conclusion</w:t>
      </w:r>
      <w:bookmarkEnd w:id="101"/>
    </w:p>
    <w:p w14:paraId="41C75324" w14:textId="115C8319" w:rsidR="009B4707" w:rsidRDefault="00043399" w:rsidP="00192790">
      <w:pPr>
        <w:ind w:firstLine="720"/>
        <w:rPr>
          <w:rFonts w:eastAsiaTheme="minorHAnsi"/>
        </w:rPr>
        <w:sectPr w:rsidR="009B4707" w:rsidSect="00794998">
          <w:type w:val="continuous"/>
          <w:pgSz w:w="12240" w:h="15840"/>
          <w:pgMar w:top="1440" w:right="1440" w:bottom="1440" w:left="1440" w:header="720" w:footer="720" w:gutter="0"/>
          <w:cols w:space="720"/>
          <w:docGrid w:linePitch="360"/>
        </w:sectPr>
      </w:pPr>
      <w:r>
        <w:rPr>
          <w:rFonts w:eastAsiaTheme="minorHAnsi"/>
        </w:rPr>
        <w:t>Overall, results from this study suggest evaluation under simulated production, or sward, conditions</w:t>
      </w:r>
      <w:r w:rsidR="00CB6F20">
        <w:rPr>
          <w:rFonts w:eastAsiaTheme="minorHAnsi"/>
        </w:rPr>
        <w:t xml:space="preserve"> differ from evaluation under space planted conditions for estimates of mean production performance and characterization of morphological traits, estimates of genetic parameters, identification of</w:t>
      </w:r>
      <w:r>
        <w:rPr>
          <w:rFonts w:eastAsiaTheme="minorHAnsi"/>
        </w:rPr>
        <w:t xml:space="preserve"> high GCA and SCA</w:t>
      </w:r>
      <w:r w:rsidR="00CB6F20">
        <w:rPr>
          <w:rFonts w:eastAsiaTheme="minorHAnsi"/>
        </w:rPr>
        <w:t xml:space="preserve"> in populations, and identification of</w:t>
      </w:r>
      <w:r>
        <w:rPr>
          <w:rFonts w:eastAsiaTheme="minorHAnsi"/>
        </w:rPr>
        <w:t xml:space="preserve"> potential maternal effects or high parent heterosis. </w:t>
      </w:r>
      <w:r w:rsidR="00CB6F20">
        <w:rPr>
          <w:rFonts w:eastAsiaTheme="minorHAnsi"/>
        </w:rPr>
        <w:t xml:space="preserve">If sward conditions are more representative of potential production conditions, evaluation under space planted conditions could lead to inaccurate assessment of plant performance, parental line and F1 population selection, and estimation of genetic parameters. </w:t>
      </w:r>
      <w:r>
        <w:rPr>
          <w:rFonts w:eastAsiaTheme="minorHAnsi"/>
        </w:rPr>
        <w:t xml:space="preserve">In terms of selection, mean predicted production biomass yield and predicted ethanol yield did not differ significantly in selections from second year space planted populations from either first year or second year sward planted populations. This indicates selection under these conditions may be as effective at improving both biomass and predicted ethanol yield as selection under sward planted conditions. </w:t>
      </w:r>
      <w:r w:rsidR="00CB6F20">
        <w:rPr>
          <w:rFonts w:eastAsiaTheme="minorHAnsi"/>
        </w:rPr>
        <w:t xml:space="preserve">Although these means did not differ, </w:t>
      </w:r>
      <w:r w:rsidR="00D46994">
        <w:rPr>
          <w:rFonts w:eastAsiaTheme="minorHAnsi"/>
        </w:rPr>
        <w:t>less than 18% of selections for biomass yield and only 44% of selections for predicted ethanol yield were the same between the space and sward planted nurseries. If sward conditions are more representative of how plants will perform under production conditions, evaluations under space planted conditions could cause breeders to discard potentially valuable material. Correlations between space and sward planted nurseries were significant and ranged from moderate to high, however, a</w:t>
      </w:r>
      <w:r>
        <w:rPr>
          <w:rFonts w:eastAsiaTheme="minorHAnsi"/>
        </w:rPr>
        <w:t xml:space="preserve">dditional traits that can serve as </w:t>
      </w:r>
      <w:r w:rsidR="00D46994">
        <w:rPr>
          <w:rFonts w:eastAsiaTheme="minorHAnsi"/>
        </w:rPr>
        <w:t>indirect select</w:t>
      </w:r>
      <w:r w:rsidR="00564EA9">
        <w:rPr>
          <w:rFonts w:eastAsiaTheme="minorHAnsi"/>
        </w:rPr>
        <w:t>ion</w:t>
      </w:r>
      <w:r w:rsidR="00D46994">
        <w:rPr>
          <w:rFonts w:eastAsiaTheme="minorHAnsi"/>
        </w:rPr>
        <w:t xml:space="preserve"> for yield were </w:t>
      </w:r>
      <w:r>
        <w:rPr>
          <w:rFonts w:eastAsiaTheme="minorHAnsi"/>
        </w:rPr>
        <w:t xml:space="preserve">more easily assessed under </w:t>
      </w:r>
      <w:r>
        <w:rPr>
          <w:rFonts w:eastAsiaTheme="minorHAnsi"/>
        </w:rPr>
        <w:lastRenderedPageBreak/>
        <w:t xml:space="preserve">space planted conditions, including height and </w:t>
      </w:r>
      <w:r w:rsidR="00DA675F">
        <w:rPr>
          <w:rFonts w:eastAsiaTheme="minorHAnsi"/>
        </w:rPr>
        <w:t>canopy density</w:t>
      </w:r>
      <w:r>
        <w:rPr>
          <w:rFonts w:eastAsiaTheme="minorHAnsi"/>
        </w:rPr>
        <w:t>. Although no significant difference was seen in the mean predicted production biomass yield in space planted selections in the second year, selection under these conditions did result in lower mean predicted production biomass yield of approximately 14,639 kg ha</w:t>
      </w:r>
      <w:r>
        <w:rPr>
          <w:rFonts w:eastAsiaTheme="minorHAnsi"/>
          <w:vertAlign w:val="superscript"/>
        </w:rPr>
        <w:t>-1</w:t>
      </w:r>
      <w:r>
        <w:rPr>
          <w:rFonts w:eastAsiaTheme="minorHAnsi"/>
        </w:rPr>
        <w:t xml:space="preserve">. The extent of these losses may not be something breeders or producers will tolerate. </w:t>
      </w:r>
    </w:p>
    <w:p w14:paraId="16CD76A1" w14:textId="77777777" w:rsidR="00043399" w:rsidRDefault="00043399" w:rsidP="008866CC">
      <w:pPr>
        <w:pStyle w:val="Heading2"/>
      </w:pPr>
      <w:bookmarkStart w:id="102" w:name="_Toc404069864"/>
      <w:r>
        <w:rPr>
          <w:rFonts w:eastAsiaTheme="minorHAnsi"/>
        </w:rPr>
        <w:lastRenderedPageBreak/>
        <w:t>Appendix III</w:t>
      </w:r>
      <w:bookmarkEnd w:id="102"/>
    </w:p>
    <w:p w14:paraId="79B373CC" w14:textId="77777777" w:rsidR="00BB4D43" w:rsidRDefault="00BB4D43" w:rsidP="004466E9"/>
    <w:p w14:paraId="746E4FDE" w14:textId="77777777" w:rsidR="00BB4D43" w:rsidRDefault="00BB4D43" w:rsidP="004466E9"/>
    <w:p w14:paraId="46FAF41B" w14:textId="77777777" w:rsidR="00BB4D43" w:rsidRDefault="00BB4D43" w:rsidP="004466E9"/>
    <w:p w14:paraId="24737E69" w14:textId="77777777" w:rsidR="00BB4D43" w:rsidRDefault="00BB4D43" w:rsidP="004466E9"/>
    <w:p w14:paraId="7DC54A5F" w14:textId="77777777" w:rsidR="00BB4D43" w:rsidRDefault="00BB4D43" w:rsidP="004466E9"/>
    <w:p w14:paraId="1D139D81" w14:textId="77777777" w:rsidR="00BB4D43" w:rsidRDefault="00BB4D43" w:rsidP="004466E9">
      <w:pPr>
        <w:rPr>
          <w:rFonts w:eastAsiaTheme="majorEastAsia" w:cstheme="majorBidi"/>
          <w:b/>
          <w:bCs/>
          <w:iCs/>
        </w:rPr>
      </w:pPr>
      <w:r>
        <w:br w:type="page"/>
      </w:r>
    </w:p>
    <w:p w14:paraId="148E27BF" w14:textId="77777777" w:rsidR="00BB4D43" w:rsidRDefault="00BB4D43" w:rsidP="004466E9"/>
    <w:p w14:paraId="2C97819C" w14:textId="77777777" w:rsidR="00BB4D43" w:rsidRDefault="00BB4D43" w:rsidP="004466E9"/>
    <w:p w14:paraId="4B54127E" w14:textId="77777777" w:rsidR="00BB4D43" w:rsidRDefault="00BB4D43" w:rsidP="004466E9"/>
    <w:p w14:paraId="735636EC" w14:textId="77777777" w:rsidR="00BB4D43" w:rsidRDefault="00BB4D43" w:rsidP="004466E9"/>
    <w:p w14:paraId="4D86030E" w14:textId="77777777" w:rsidR="00BB4D43" w:rsidRDefault="00BB4D43" w:rsidP="004466E9"/>
    <w:p w14:paraId="634CBD34" w14:textId="07764D8F" w:rsidR="00BB4D43" w:rsidRDefault="001963A4" w:rsidP="00EC28CD">
      <w:pPr>
        <w:pStyle w:val="Heading4"/>
      </w:pPr>
      <w:bookmarkStart w:id="103" w:name="_Toc404070392"/>
      <w:r>
        <w:t>Figure</w:t>
      </w:r>
      <w:r w:rsidR="00043399" w:rsidRPr="00BA3F3D">
        <w:t xml:space="preserve"> </w:t>
      </w:r>
      <w:r w:rsidR="00043399">
        <w:t>3-1</w:t>
      </w:r>
      <w:r w:rsidR="00043399" w:rsidRPr="00BA3F3D">
        <w:t>: Means</w:t>
      </w:r>
      <w:r>
        <w:t xml:space="preserve"> by year and location for</w:t>
      </w:r>
      <w:r w:rsidR="00564EA9">
        <w:t xml:space="preserve"> traits evaluated in </w:t>
      </w:r>
      <w:r>
        <w:t xml:space="preserve">F1 </w:t>
      </w:r>
      <w:r w:rsidR="00043399">
        <w:t>population</w:t>
      </w:r>
      <w:r>
        <w:t>s</w:t>
      </w:r>
      <w:r w:rsidR="00043399">
        <w:t xml:space="preserve"> of </w:t>
      </w:r>
      <w:r>
        <w:t>lowland switchgrass derived from an eight parent diallel cross evaluated in a space planted (HSP) and sward planted (HSW) nursery. Traits include biomass yield (A), predicted ethanol yield (B), tiller number (C), tiller diameter (D</w:t>
      </w:r>
      <w:r w:rsidR="00043399">
        <w:t xml:space="preserve">), </w:t>
      </w:r>
      <w:r>
        <w:t xml:space="preserve">and </w:t>
      </w:r>
      <w:r w:rsidR="00B8390A">
        <w:t>leaf width</w:t>
      </w:r>
      <w:r>
        <w:t xml:space="preserve"> (E</w:t>
      </w:r>
      <w:r w:rsidR="00043399">
        <w:t xml:space="preserve">). </w:t>
      </w:r>
      <w:r>
        <w:t>Means were separated using Tukey’s HSD. Means followed by the same letter do not differ significantly (</w:t>
      </w:r>
      <w:r w:rsidR="00BB4D43">
        <w:rPr>
          <w:rFonts w:cs="Times New Roman"/>
        </w:rPr>
        <w:t>p &lt;</w:t>
      </w:r>
      <w:r>
        <w:t xml:space="preserve"> 0.05)</w:t>
      </w:r>
      <w:r w:rsidR="00954DB7">
        <w:t>.</w:t>
      </w:r>
      <w:bookmarkEnd w:id="103"/>
      <w:r w:rsidR="00954DB7">
        <w:t xml:space="preserve"> </w:t>
      </w:r>
    </w:p>
    <w:p w14:paraId="25C7B690" w14:textId="77777777" w:rsidR="00BB4D43" w:rsidRDefault="00BB4D43">
      <w:pPr>
        <w:spacing w:line="240" w:lineRule="auto"/>
        <w:rPr>
          <w:rFonts w:eastAsiaTheme="majorEastAsia" w:cstheme="majorBidi"/>
          <w:b/>
          <w:bCs/>
          <w:iCs/>
        </w:rPr>
      </w:pPr>
      <w:r>
        <w:br w:type="page"/>
      </w:r>
    </w:p>
    <w:p w14:paraId="23FAAE69" w14:textId="0CF59D80" w:rsidR="00742E18" w:rsidRDefault="00BA712C" w:rsidP="00BB4D43">
      <w:pPr>
        <w:spacing w:line="240" w:lineRule="auto"/>
        <w:jc w:val="center"/>
        <w:rPr>
          <w:noProof/>
        </w:rPr>
      </w:pPr>
      <w:r>
        <w:rPr>
          <w:noProof/>
        </w:rPr>
        <w:lastRenderedPageBreak/>
        <w:drawing>
          <wp:inline distT="0" distB="0" distL="0" distR="0" wp14:anchorId="2DFF48B5" wp14:editId="66B45D86">
            <wp:extent cx="4023360" cy="13716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Pr>
          <w:noProof/>
        </w:rPr>
        <w:t xml:space="preserve"> </w:t>
      </w:r>
      <w:r>
        <w:rPr>
          <w:noProof/>
        </w:rPr>
        <w:drawing>
          <wp:inline distT="0" distB="0" distL="0" distR="0" wp14:anchorId="45A7E0B6" wp14:editId="3074D319">
            <wp:extent cx="4023360" cy="13716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522A2BB3" w14:textId="338179CB" w:rsidR="00742E18" w:rsidRDefault="00742E18" w:rsidP="00BB4D43">
      <w:pPr>
        <w:spacing w:line="240" w:lineRule="auto"/>
        <w:jc w:val="center"/>
        <w:rPr>
          <w:noProof/>
        </w:rPr>
      </w:pPr>
      <w:r>
        <w:rPr>
          <w:noProof/>
        </w:rPr>
        <w:t>Figure 3-1 A                                                                                   Figure 3-1 B</w:t>
      </w:r>
    </w:p>
    <w:p w14:paraId="14DABB54" w14:textId="77777777" w:rsidR="00BB4D43" w:rsidRDefault="00BB4D43" w:rsidP="00BB4D43">
      <w:pPr>
        <w:spacing w:line="240" w:lineRule="auto"/>
        <w:jc w:val="center"/>
        <w:rPr>
          <w:noProof/>
        </w:rPr>
      </w:pPr>
    </w:p>
    <w:p w14:paraId="36DB4EA4" w14:textId="51EC9DE7" w:rsidR="00742E18" w:rsidRDefault="00BA712C" w:rsidP="00BB4D43">
      <w:pPr>
        <w:spacing w:line="360" w:lineRule="auto"/>
        <w:jc w:val="center"/>
        <w:rPr>
          <w:noProof/>
        </w:rPr>
      </w:pPr>
      <w:r>
        <w:rPr>
          <w:noProof/>
        </w:rPr>
        <w:drawing>
          <wp:inline distT="0" distB="0" distL="0" distR="0" wp14:anchorId="59FD063E" wp14:editId="22B1511B">
            <wp:extent cx="4023360" cy="13716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r w:rsidR="00742E18" w:rsidRPr="00742E18">
        <w:rPr>
          <w:noProof/>
        </w:rPr>
        <w:t xml:space="preserve"> </w:t>
      </w:r>
      <w:r>
        <w:rPr>
          <w:noProof/>
        </w:rPr>
        <w:drawing>
          <wp:inline distT="0" distB="0" distL="0" distR="0" wp14:anchorId="7D7288FF" wp14:editId="794F127F">
            <wp:extent cx="4023360" cy="13716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1664B08A" w14:textId="77777777" w:rsidR="00742E18" w:rsidRDefault="00742E18" w:rsidP="00BB4D43">
      <w:pPr>
        <w:spacing w:line="360" w:lineRule="auto"/>
        <w:jc w:val="center"/>
        <w:rPr>
          <w:noProof/>
        </w:rPr>
      </w:pPr>
      <w:r>
        <w:rPr>
          <w:noProof/>
        </w:rPr>
        <w:t>Figure 3-1 C                                                                                   Figure 3-1 D</w:t>
      </w:r>
    </w:p>
    <w:p w14:paraId="2F271845" w14:textId="77777777" w:rsidR="00BB4D43" w:rsidRDefault="00BB4D43" w:rsidP="00BB4D43">
      <w:pPr>
        <w:spacing w:line="360" w:lineRule="auto"/>
        <w:jc w:val="center"/>
        <w:rPr>
          <w:noProof/>
        </w:rPr>
      </w:pPr>
    </w:p>
    <w:p w14:paraId="2FD55222" w14:textId="528705BE" w:rsidR="00742E18" w:rsidRDefault="00742E18" w:rsidP="00BB4D43">
      <w:pPr>
        <w:spacing w:line="240" w:lineRule="auto"/>
        <w:rPr>
          <w:noProof/>
        </w:rPr>
      </w:pPr>
      <w:r>
        <w:rPr>
          <w:noProof/>
        </w:rPr>
        <w:t xml:space="preserve">   </w:t>
      </w:r>
      <w:r w:rsidR="007124CD">
        <w:rPr>
          <w:noProof/>
        </w:rPr>
        <w:drawing>
          <wp:inline distT="0" distB="0" distL="0" distR="0" wp14:anchorId="20F43147" wp14:editId="153413B5">
            <wp:extent cx="4023360" cy="13716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25BCBE71" w14:textId="77777777" w:rsidR="00742E18" w:rsidRPr="0012280C" w:rsidRDefault="00742E18" w:rsidP="00BB4D43">
      <w:pPr>
        <w:spacing w:line="240" w:lineRule="auto"/>
        <w:sectPr w:rsidR="00742E18" w:rsidRPr="0012280C" w:rsidSect="00742E18">
          <w:pgSz w:w="15840" w:h="12240" w:orient="landscape"/>
          <w:pgMar w:top="1440" w:right="1440" w:bottom="1440" w:left="1440" w:header="720" w:footer="720" w:gutter="0"/>
          <w:cols w:space="720"/>
          <w:docGrid w:linePitch="360"/>
        </w:sectPr>
      </w:pPr>
      <w:r>
        <w:rPr>
          <w:noProof/>
        </w:rPr>
        <w:t xml:space="preserve">                                              Figure 3-1 E</w:t>
      </w:r>
    </w:p>
    <w:p w14:paraId="54E2B198" w14:textId="2D94B43A" w:rsidR="00043399" w:rsidRPr="00865549" w:rsidRDefault="00043399" w:rsidP="00043399">
      <w:pPr>
        <w:pStyle w:val="Caption"/>
      </w:pPr>
      <w:bookmarkStart w:id="104" w:name="_Toc404070378"/>
      <w:r w:rsidRPr="00865549">
        <w:lastRenderedPageBreak/>
        <w:t xml:space="preserve">Table </w:t>
      </w:r>
      <w:r>
        <w:t>3-</w:t>
      </w:r>
      <w:r w:rsidR="00343E34">
        <w:t>1</w:t>
      </w:r>
      <w:r w:rsidRPr="00865549">
        <w:t xml:space="preserve">. </w:t>
      </w:r>
      <w:r w:rsidR="007124CD">
        <w:t>Pearson correlation coefficients</w:t>
      </w:r>
      <w:r w:rsidRPr="00865549">
        <w:t xml:space="preserve"> between space planted and sward planted nurseries for traits evaluated in 2012 and 2013</w:t>
      </w:r>
      <w:r w:rsidR="00343E34">
        <w:t xml:space="preserve"> in F1 populations of lowland switchgrass derived from an eight parent diallel cross</w:t>
      </w:r>
      <w:r w:rsidRPr="00865549">
        <w:t xml:space="preserve">. </w:t>
      </w:r>
      <w:r w:rsidR="00343E34">
        <w:t>Dark grey shading indicates strong correlations while light grey shading indicates moderate correlations</w:t>
      </w:r>
      <w:r w:rsidR="00954DB7">
        <w:t>.</w:t>
      </w:r>
      <w:bookmarkEnd w:id="104"/>
      <w:r w:rsidR="00954DB7">
        <w:t xml:space="preserve"> </w:t>
      </w:r>
    </w:p>
    <w:tbl>
      <w:tblPr>
        <w:tblW w:w="5080" w:type="dxa"/>
        <w:tblInd w:w="93" w:type="dxa"/>
        <w:tblLook w:val="04A0" w:firstRow="1" w:lastRow="0" w:firstColumn="1" w:lastColumn="0" w:noHBand="0" w:noVBand="1"/>
      </w:tblPr>
      <w:tblGrid>
        <w:gridCol w:w="3484"/>
        <w:gridCol w:w="636"/>
        <w:gridCol w:w="960"/>
      </w:tblGrid>
      <w:tr w:rsidR="00043399" w:rsidRPr="00E07545" w14:paraId="3D940190" w14:textId="77777777" w:rsidTr="00343E34">
        <w:trPr>
          <w:trHeight w:val="330"/>
        </w:trPr>
        <w:tc>
          <w:tcPr>
            <w:tcW w:w="3484" w:type="dxa"/>
            <w:tcBorders>
              <w:top w:val="nil"/>
              <w:left w:val="nil"/>
              <w:bottom w:val="nil"/>
              <w:right w:val="nil"/>
            </w:tcBorders>
            <w:shd w:val="clear" w:color="auto" w:fill="auto"/>
            <w:noWrap/>
            <w:vAlign w:val="bottom"/>
            <w:hideMark/>
          </w:tcPr>
          <w:p w14:paraId="17C3E512" w14:textId="77777777" w:rsidR="00043399" w:rsidRPr="00E07545" w:rsidRDefault="00043399" w:rsidP="00E965BC">
            <w:pPr>
              <w:spacing w:line="240" w:lineRule="auto"/>
              <w:rPr>
                <w:rFonts w:cs="Times New Roman"/>
                <w:b/>
                <w:bCs/>
                <w:color w:val="000000"/>
              </w:rPr>
            </w:pPr>
            <w:r w:rsidRPr="00E07545">
              <w:rPr>
                <w:rFonts w:cs="Times New Roman"/>
                <w:b/>
                <w:bCs/>
                <w:color w:val="000000"/>
              </w:rPr>
              <w:t>Space vs sward</w:t>
            </w:r>
          </w:p>
        </w:tc>
        <w:tc>
          <w:tcPr>
            <w:tcW w:w="636" w:type="dxa"/>
            <w:tcBorders>
              <w:top w:val="nil"/>
              <w:left w:val="nil"/>
              <w:bottom w:val="nil"/>
              <w:right w:val="nil"/>
            </w:tcBorders>
            <w:shd w:val="clear" w:color="auto" w:fill="auto"/>
            <w:noWrap/>
            <w:vAlign w:val="bottom"/>
            <w:hideMark/>
          </w:tcPr>
          <w:p w14:paraId="513796A4" w14:textId="77777777" w:rsidR="00043399" w:rsidRPr="00E07545" w:rsidRDefault="00043399" w:rsidP="00E965BC">
            <w:pPr>
              <w:spacing w:line="240" w:lineRule="auto"/>
              <w:rPr>
                <w:rFonts w:cs="Times New Roman"/>
                <w:color w:val="000000"/>
              </w:rPr>
            </w:pPr>
          </w:p>
        </w:tc>
        <w:tc>
          <w:tcPr>
            <w:tcW w:w="960" w:type="dxa"/>
            <w:tcBorders>
              <w:top w:val="nil"/>
              <w:left w:val="nil"/>
              <w:bottom w:val="nil"/>
              <w:right w:val="nil"/>
            </w:tcBorders>
            <w:shd w:val="clear" w:color="auto" w:fill="auto"/>
            <w:noWrap/>
            <w:vAlign w:val="bottom"/>
            <w:hideMark/>
          </w:tcPr>
          <w:p w14:paraId="5C9AE6C5" w14:textId="77777777" w:rsidR="00043399" w:rsidRPr="00E07545" w:rsidRDefault="00043399" w:rsidP="00E965BC">
            <w:pPr>
              <w:spacing w:line="240" w:lineRule="auto"/>
              <w:rPr>
                <w:rFonts w:cs="Times New Roman"/>
                <w:color w:val="000000"/>
              </w:rPr>
            </w:pPr>
          </w:p>
        </w:tc>
      </w:tr>
      <w:tr w:rsidR="00043399" w:rsidRPr="00E07545" w14:paraId="1F726554" w14:textId="77777777" w:rsidTr="00343E34">
        <w:trPr>
          <w:trHeight w:val="360"/>
        </w:trPr>
        <w:tc>
          <w:tcPr>
            <w:tcW w:w="3484" w:type="dxa"/>
            <w:tcBorders>
              <w:top w:val="single" w:sz="8" w:space="0" w:color="auto"/>
              <w:left w:val="nil"/>
              <w:bottom w:val="single" w:sz="8" w:space="0" w:color="auto"/>
              <w:right w:val="nil"/>
            </w:tcBorders>
            <w:shd w:val="clear" w:color="auto" w:fill="auto"/>
            <w:noWrap/>
            <w:vAlign w:val="bottom"/>
            <w:hideMark/>
          </w:tcPr>
          <w:p w14:paraId="720CBDA9" w14:textId="77777777" w:rsidR="00043399" w:rsidRPr="00E07545" w:rsidRDefault="00043399" w:rsidP="00E965BC">
            <w:pPr>
              <w:spacing w:line="240" w:lineRule="auto"/>
              <w:rPr>
                <w:rFonts w:cs="Times New Roman"/>
                <w:b/>
                <w:bCs/>
                <w:color w:val="000000"/>
              </w:rPr>
            </w:pPr>
            <w:r w:rsidRPr="00E07545">
              <w:rPr>
                <w:rFonts w:cs="Times New Roman"/>
                <w:b/>
                <w:bCs/>
                <w:color w:val="000000"/>
              </w:rPr>
              <w:t>Year/Trait</w:t>
            </w:r>
          </w:p>
        </w:tc>
        <w:tc>
          <w:tcPr>
            <w:tcW w:w="1596" w:type="dxa"/>
            <w:gridSpan w:val="2"/>
            <w:tcBorders>
              <w:top w:val="single" w:sz="8" w:space="0" w:color="auto"/>
              <w:left w:val="nil"/>
              <w:bottom w:val="single" w:sz="8" w:space="0" w:color="auto"/>
              <w:right w:val="nil"/>
            </w:tcBorders>
            <w:shd w:val="clear" w:color="auto" w:fill="auto"/>
            <w:noWrap/>
            <w:vAlign w:val="bottom"/>
            <w:hideMark/>
          </w:tcPr>
          <w:p w14:paraId="6DD5001E" w14:textId="1724E278" w:rsidR="00043399" w:rsidRPr="00E07545" w:rsidRDefault="000B7ED3" w:rsidP="00E965BC">
            <w:pPr>
              <w:spacing w:line="240" w:lineRule="auto"/>
              <w:jc w:val="center"/>
              <w:rPr>
                <w:rFonts w:cs="Times New Roman"/>
                <w:b/>
                <w:bCs/>
                <w:color w:val="000000"/>
              </w:rPr>
            </w:pPr>
            <w:r>
              <w:rPr>
                <w:rFonts w:cs="Times New Roman"/>
                <w:b/>
                <w:bCs/>
                <w:color w:val="000000"/>
              </w:rPr>
              <w:t>Correlation Coef</w:t>
            </w:r>
            <w:r w:rsidR="00043399" w:rsidRPr="00E07545">
              <w:rPr>
                <w:rFonts w:cs="Times New Roman"/>
                <w:b/>
                <w:bCs/>
                <w:color w:val="000000"/>
              </w:rPr>
              <w:t>.</w:t>
            </w:r>
          </w:p>
        </w:tc>
      </w:tr>
      <w:tr w:rsidR="00043399" w:rsidRPr="00E07545" w14:paraId="595C8932" w14:textId="77777777" w:rsidTr="00343E34">
        <w:trPr>
          <w:trHeight w:val="360"/>
        </w:trPr>
        <w:tc>
          <w:tcPr>
            <w:tcW w:w="3484" w:type="dxa"/>
            <w:tcBorders>
              <w:top w:val="single" w:sz="4" w:space="0" w:color="auto"/>
              <w:left w:val="nil"/>
              <w:bottom w:val="single" w:sz="4" w:space="0" w:color="auto"/>
              <w:right w:val="nil"/>
            </w:tcBorders>
            <w:shd w:val="clear" w:color="auto" w:fill="auto"/>
            <w:noWrap/>
            <w:vAlign w:val="bottom"/>
            <w:hideMark/>
          </w:tcPr>
          <w:p w14:paraId="02A606AF" w14:textId="77777777" w:rsidR="00043399" w:rsidRPr="00E07545" w:rsidRDefault="00043399" w:rsidP="00E965BC">
            <w:pPr>
              <w:spacing w:line="240" w:lineRule="auto"/>
              <w:rPr>
                <w:rFonts w:cs="Times New Roman"/>
                <w:b/>
                <w:bCs/>
              </w:rPr>
            </w:pPr>
            <w:r w:rsidRPr="00E07545">
              <w:rPr>
                <w:rFonts w:cs="Times New Roman"/>
                <w:b/>
                <w:bCs/>
              </w:rPr>
              <w:t>2012/2013</w:t>
            </w:r>
          </w:p>
        </w:tc>
        <w:tc>
          <w:tcPr>
            <w:tcW w:w="636" w:type="dxa"/>
            <w:tcBorders>
              <w:top w:val="single" w:sz="4" w:space="0" w:color="auto"/>
              <w:left w:val="nil"/>
              <w:bottom w:val="single" w:sz="4" w:space="0" w:color="auto"/>
              <w:right w:val="nil"/>
            </w:tcBorders>
            <w:shd w:val="clear" w:color="auto" w:fill="auto"/>
            <w:noWrap/>
            <w:vAlign w:val="bottom"/>
            <w:hideMark/>
          </w:tcPr>
          <w:p w14:paraId="365B1FC5" w14:textId="77777777" w:rsidR="00043399" w:rsidRPr="00E07545" w:rsidRDefault="00043399" w:rsidP="00E965BC">
            <w:pPr>
              <w:spacing w:line="240" w:lineRule="auto"/>
              <w:rPr>
                <w:rFonts w:cs="Times New Roman"/>
              </w:rPr>
            </w:pPr>
            <w:r w:rsidRPr="00E07545">
              <w:rPr>
                <w:rFonts w:cs="Times New Roman"/>
              </w:rPr>
              <w:t> </w:t>
            </w:r>
          </w:p>
        </w:tc>
        <w:tc>
          <w:tcPr>
            <w:tcW w:w="960" w:type="dxa"/>
            <w:tcBorders>
              <w:top w:val="single" w:sz="4" w:space="0" w:color="auto"/>
              <w:left w:val="nil"/>
              <w:bottom w:val="single" w:sz="4" w:space="0" w:color="auto"/>
              <w:right w:val="nil"/>
            </w:tcBorders>
            <w:shd w:val="clear" w:color="auto" w:fill="auto"/>
            <w:noWrap/>
            <w:vAlign w:val="bottom"/>
            <w:hideMark/>
          </w:tcPr>
          <w:p w14:paraId="60DEAB3F" w14:textId="77777777" w:rsidR="00043399" w:rsidRPr="00E07545" w:rsidRDefault="00043399" w:rsidP="00E965BC">
            <w:pPr>
              <w:spacing w:line="240" w:lineRule="auto"/>
              <w:rPr>
                <w:rFonts w:cs="Times New Roman"/>
              </w:rPr>
            </w:pPr>
            <w:r w:rsidRPr="00E07545">
              <w:rPr>
                <w:rFonts w:cs="Times New Roman"/>
              </w:rPr>
              <w:t> </w:t>
            </w:r>
          </w:p>
        </w:tc>
      </w:tr>
      <w:tr w:rsidR="00043399" w:rsidRPr="00E07545" w14:paraId="2771CC88" w14:textId="77777777" w:rsidTr="00343E34">
        <w:trPr>
          <w:trHeight w:val="360"/>
        </w:trPr>
        <w:tc>
          <w:tcPr>
            <w:tcW w:w="3484" w:type="dxa"/>
            <w:tcBorders>
              <w:top w:val="nil"/>
              <w:left w:val="nil"/>
              <w:bottom w:val="nil"/>
              <w:right w:val="nil"/>
            </w:tcBorders>
            <w:shd w:val="clear" w:color="auto" w:fill="auto"/>
            <w:noWrap/>
            <w:vAlign w:val="bottom"/>
            <w:hideMark/>
          </w:tcPr>
          <w:p w14:paraId="4E081FED" w14:textId="77777777" w:rsidR="00043399" w:rsidRPr="00E07545" w:rsidRDefault="00043399" w:rsidP="00E965BC">
            <w:pPr>
              <w:spacing w:line="240" w:lineRule="auto"/>
              <w:rPr>
                <w:rFonts w:cs="Times New Roman"/>
                <w:b/>
                <w:bCs/>
              </w:rPr>
            </w:pPr>
            <w:r w:rsidRPr="00E07545">
              <w:rPr>
                <w:rFonts w:cs="Times New Roman"/>
                <w:b/>
                <w:bCs/>
              </w:rPr>
              <w:t>Biomass Yield (g plant</w:t>
            </w:r>
            <w:r w:rsidRPr="00E07545">
              <w:rPr>
                <w:rFonts w:cs="Times New Roman"/>
                <w:b/>
                <w:bCs/>
                <w:vertAlign w:val="superscript"/>
              </w:rPr>
              <w:t>-1</w:t>
            </w:r>
            <w:r w:rsidRPr="00E07545">
              <w:rPr>
                <w:rFonts w:cs="Times New Roman"/>
                <w:b/>
                <w:bCs/>
              </w:rPr>
              <w:t>) 2012</w:t>
            </w:r>
          </w:p>
        </w:tc>
        <w:tc>
          <w:tcPr>
            <w:tcW w:w="636" w:type="dxa"/>
            <w:tcBorders>
              <w:top w:val="nil"/>
              <w:left w:val="nil"/>
              <w:bottom w:val="nil"/>
              <w:right w:val="nil"/>
            </w:tcBorders>
            <w:shd w:val="clear" w:color="000000" w:fill="BFBFBF"/>
            <w:noWrap/>
            <w:vAlign w:val="bottom"/>
            <w:hideMark/>
          </w:tcPr>
          <w:p w14:paraId="28BD9BFE" w14:textId="77777777" w:rsidR="00043399" w:rsidRPr="00E07545" w:rsidRDefault="00043399" w:rsidP="00E965BC">
            <w:pPr>
              <w:spacing w:line="240" w:lineRule="auto"/>
              <w:jc w:val="right"/>
              <w:rPr>
                <w:rFonts w:cs="Times New Roman"/>
              </w:rPr>
            </w:pPr>
            <w:r w:rsidRPr="00E07545">
              <w:rPr>
                <w:rFonts w:cs="Times New Roman"/>
              </w:rPr>
              <w:t>0.58</w:t>
            </w:r>
          </w:p>
        </w:tc>
        <w:tc>
          <w:tcPr>
            <w:tcW w:w="960" w:type="dxa"/>
            <w:tcBorders>
              <w:top w:val="nil"/>
              <w:left w:val="nil"/>
              <w:bottom w:val="nil"/>
              <w:right w:val="nil"/>
            </w:tcBorders>
            <w:shd w:val="clear" w:color="000000" w:fill="BFBFBF"/>
            <w:noWrap/>
            <w:vAlign w:val="bottom"/>
            <w:hideMark/>
          </w:tcPr>
          <w:p w14:paraId="0D163166" w14:textId="77777777" w:rsidR="00043399" w:rsidRPr="00E07545" w:rsidRDefault="00043399" w:rsidP="00E965BC">
            <w:pPr>
              <w:spacing w:line="240" w:lineRule="auto"/>
              <w:rPr>
                <w:rFonts w:cs="Times New Roman"/>
              </w:rPr>
            </w:pPr>
            <w:r w:rsidRPr="00E07545">
              <w:rPr>
                <w:rFonts w:cs="Times New Roman"/>
              </w:rPr>
              <w:t>***</w:t>
            </w:r>
          </w:p>
        </w:tc>
      </w:tr>
      <w:tr w:rsidR="00043399" w:rsidRPr="00E07545" w14:paraId="5A71357D" w14:textId="77777777" w:rsidTr="00343E34">
        <w:trPr>
          <w:trHeight w:val="360"/>
        </w:trPr>
        <w:tc>
          <w:tcPr>
            <w:tcW w:w="3484" w:type="dxa"/>
            <w:tcBorders>
              <w:top w:val="nil"/>
              <w:left w:val="nil"/>
              <w:bottom w:val="nil"/>
              <w:right w:val="nil"/>
            </w:tcBorders>
            <w:shd w:val="clear" w:color="auto" w:fill="auto"/>
            <w:noWrap/>
            <w:vAlign w:val="bottom"/>
            <w:hideMark/>
          </w:tcPr>
          <w:p w14:paraId="53C032E7" w14:textId="77777777" w:rsidR="00043399" w:rsidRPr="00E07545" w:rsidRDefault="00043399" w:rsidP="00E965BC">
            <w:pPr>
              <w:spacing w:line="240" w:lineRule="auto"/>
              <w:rPr>
                <w:rFonts w:cs="Times New Roman"/>
                <w:b/>
                <w:bCs/>
              </w:rPr>
            </w:pPr>
            <w:r w:rsidRPr="00E07545">
              <w:rPr>
                <w:rFonts w:cs="Times New Roman"/>
                <w:b/>
                <w:bCs/>
              </w:rPr>
              <w:t>Biomass Yield (g plant</w:t>
            </w:r>
            <w:r w:rsidRPr="00E07545">
              <w:rPr>
                <w:rFonts w:cs="Times New Roman"/>
                <w:b/>
                <w:bCs/>
                <w:vertAlign w:val="superscript"/>
              </w:rPr>
              <w:t>-1</w:t>
            </w:r>
            <w:r w:rsidRPr="00E07545">
              <w:rPr>
                <w:rFonts w:cs="Times New Roman"/>
                <w:b/>
                <w:bCs/>
              </w:rPr>
              <w:t>) 2013</w:t>
            </w:r>
          </w:p>
        </w:tc>
        <w:tc>
          <w:tcPr>
            <w:tcW w:w="636" w:type="dxa"/>
            <w:tcBorders>
              <w:top w:val="nil"/>
              <w:left w:val="nil"/>
              <w:bottom w:val="nil"/>
              <w:right w:val="nil"/>
            </w:tcBorders>
            <w:shd w:val="clear" w:color="000000" w:fill="BFBFBF"/>
            <w:noWrap/>
            <w:vAlign w:val="bottom"/>
            <w:hideMark/>
          </w:tcPr>
          <w:p w14:paraId="0F6DBC49" w14:textId="77777777" w:rsidR="00043399" w:rsidRPr="00E07545" w:rsidRDefault="00043399" w:rsidP="00E965BC">
            <w:pPr>
              <w:spacing w:line="240" w:lineRule="auto"/>
              <w:jc w:val="right"/>
              <w:rPr>
                <w:rFonts w:cs="Times New Roman"/>
              </w:rPr>
            </w:pPr>
            <w:r w:rsidRPr="00E07545">
              <w:rPr>
                <w:rFonts w:cs="Times New Roman"/>
              </w:rPr>
              <w:t>0.39</w:t>
            </w:r>
          </w:p>
        </w:tc>
        <w:tc>
          <w:tcPr>
            <w:tcW w:w="960" w:type="dxa"/>
            <w:tcBorders>
              <w:top w:val="nil"/>
              <w:left w:val="nil"/>
              <w:bottom w:val="nil"/>
              <w:right w:val="nil"/>
            </w:tcBorders>
            <w:shd w:val="clear" w:color="000000" w:fill="BFBFBF"/>
            <w:noWrap/>
            <w:vAlign w:val="bottom"/>
            <w:hideMark/>
          </w:tcPr>
          <w:p w14:paraId="7FDCF35D" w14:textId="77777777" w:rsidR="00043399" w:rsidRPr="00E07545" w:rsidRDefault="00043399" w:rsidP="00E965BC">
            <w:pPr>
              <w:spacing w:line="240" w:lineRule="auto"/>
              <w:rPr>
                <w:rFonts w:cs="Times New Roman"/>
              </w:rPr>
            </w:pPr>
            <w:r w:rsidRPr="00E07545">
              <w:rPr>
                <w:rFonts w:cs="Times New Roman"/>
              </w:rPr>
              <w:t>***</w:t>
            </w:r>
          </w:p>
        </w:tc>
      </w:tr>
      <w:tr w:rsidR="00043399" w:rsidRPr="00E07545" w14:paraId="18BD7B13" w14:textId="77777777" w:rsidTr="00343E34">
        <w:trPr>
          <w:trHeight w:val="360"/>
        </w:trPr>
        <w:tc>
          <w:tcPr>
            <w:tcW w:w="3484" w:type="dxa"/>
            <w:tcBorders>
              <w:top w:val="nil"/>
              <w:left w:val="nil"/>
              <w:bottom w:val="nil"/>
              <w:right w:val="nil"/>
            </w:tcBorders>
            <w:shd w:val="clear" w:color="auto" w:fill="auto"/>
            <w:noWrap/>
            <w:vAlign w:val="bottom"/>
            <w:hideMark/>
          </w:tcPr>
          <w:p w14:paraId="0E7F6E49" w14:textId="77777777" w:rsidR="00FA4834" w:rsidRDefault="00043399" w:rsidP="00E965BC">
            <w:pPr>
              <w:spacing w:line="240" w:lineRule="auto"/>
              <w:rPr>
                <w:rFonts w:cs="Times New Roman"/>
                <w:b/>
                <w:bCs/>
              </w:rPr>
            </w:pPr>
            <w:r>
              <w:rPr>
                <w:rFonts w:cs="Times New Roman"/>
                <w:b/>
                <w:bCs/>
              </w:rPr>
              <w:t>Predi</w:t>
            </w:r>
            <w:r w:rsidR="00FA4834">
              <w:rPr>
                <w:rFonts w:cs="Times New Roman"/>
                <w:b/>
                <w:bCs/>
              </w:rPr>
              <w:t>cted Ethanol Y</w:t>
            </w:r>
            <w:r>
              <w:rPr>
                <w:rFonts w:cs="Times New Roman"/>
                <w:b/>
                <w:bCs/>
              </w:rPr>
              <w:t>ield</w:t>
            </w:r>
            <w:r w:rsidRPr="00E07545">
              <w:rPr>
                <w:rFonts w:cs="Times New Roman"/>
                <w:b/>
                <w:bCs/>
              </w:rPr>
              <w:t xml:space="preserve"> </w:t>
            </w:r>
          </w:p>
          <w:p w14:paraId="441DDC3E" w14:textId="49B68CF5" w:rsidR="00043399" w:rsidRPr="00E07545" w:rsidRDefault="00043399" w:rsidP="00E965BC">
            <w:pPr>
              <w:spacing w:line="240" w:lineRule="auto"/>
              <w:rPr>
                <w:rFonts w:cs="Times New Roman"/>
                <w:b/>
                <w:bCs/>
              </w:rPr>
            </w:pPr>
            <w:r w:rsidRPr="00E07545">
              <w:rPr>
                <w:rFonts w:cs="Times New Roman"/>
                <w:b/>
                <w:bCs/>
              </w:rPr>
              <w:t>(mg g</w:t>
            </w:r>
            <w:r w:rsidRPr="00E07545">
              <w:rPr>
                <w:rFonts w:cs="Times New Roman"/>
                <w:b/>
                <w:bCs/>
                <w:vertAlign w:val="superscript"/>
              </w:rPr>
              <w:t>-1</w:t>
            </w:r>
            <w:r w:rsidRPr="00E07545">
              <w:rPr>
                <w:rFonts w:cs="Times New Roman"/>
                <w:b/>
                <w:bCs/>
              </w:rPr>
              <w:t>) 2012</w:t>
            </w:r>
          </w:p>
        </w:tc>
        <w:tc>
          <w:tcPr>
            <w:tcW w:w="636" w:type="dxa"/>
            <w:tcBorders>
              <w:top w:val="nil"/>
              <w:left w:val="nil"/>
              <w:bottom w:val="nil"/>
              <w:right w:val="nil"/>
            </w:tcBorders>
            <w:shd w:val="clear" w:color="000000" w:fill="808080"/>
            <w:noWrap/>
            <w:vAlign w:val="bottom"/>
            <w:hideMark/>
          </w:tcPr>
          <w:p w14:paraId="48971C93" w14:textId="77777777" w:rsidR="00043399" w:rsidRPr="00E07545" w:rsidRDefault="00043399" w:rsidP="00E965BC">
            <w:pPr>
              <w:spacing w:line="240" w:lineRule="auto"/>
              <w:jc w:val="right"/>
              <w:rPr>
                <w:rFonts w:cs="Times New Roman"/>
              </w:rPr>
            </w:pPr>
            <w:r w:rsidRPr="00E07545">
              <w:rPr>
                <w:rFonts w:cs="Times New Roman"/>
              </w:rPr>
              <w:t>0.71</w:t>
            </w:r>
          </w:p>
        </w:tc>
        <w:tc>
          <w:tcPr>
            <w:tcW w:w="960" w:type="dxa"/>
            <w:tcBorders>
              <w:top w:val="nil"/>
              <w:left w:val="nil"/>
              <w:bottom w:val="nil"/>
              <w:right w:val="nil"/>
            </w:tcBorders>
            <w:shd w:val="clear" w:color="000000" w:fill="808080"/>
            <w:noWrap/>
            <w:vAlign w:val="bottom"/>
            <w:hideMark/>
          </w:tcPr>
          <w:p w14:paraId="68301C60" w14:textId="77777777" w:rsidR="00043399" w:rsidRPr="00E07545" w:rsidRDefault="00043399" w:rsidP="00E965BC">
            <w:pPr>
              <w:spacing w:line="240" w:lineRule="auto"/>
              <w:rPr>
                <w:rFonts w:cs="Times New Roman"/>
              </w:rPr>
            </w:pPr>
            <w:r w:rsidRPr="00E07545">
              <w:rPr>
                <w:rFonts w:cs="Times New Roman"/>
              </w:rPr>
              <w:t>***</w:t>
            </w:r>
          </w:p>
        </w:tc>
      </w:tr>
      <w:tr w:rsidR="00043399" w:rsidRPr="00E07545" w14:paraId="7A668A80" w14:textId="77777777" w:rsidTr="00343E34">
        <w:trPr>
          <w:trHeight w:val="360"/>
        </w:trPr>
        <w:tc>
          <w:tcPr>
            <w:tcW w:w="3484" w:type="dxa"/>
            <w:tcBorders>
              <w:top w:val="nil"/>
              <w:left w:val="nil"/>
              <w:bottom w:val="nil"/>
              <w:right w:val="nil"/>
            </w:tcBorders>
            <w:shd w:val="clear" w:color="auto" w:fill="auto"/>
            <w:noWrap/>
            <w:vAlign w:val="bottom"/>
            <w:hideMark/>
          </w:tcPr>
          <w:p w14:paraId="57999A1E" w14:textId="77777777" w:rsidR="00FA4834" w:rsidRDefault="00FA4834" w:rsidP="00E965BC">
            <w:pPr>
              <w:spacing w:line="240" w:lineRule="auto"/>
              <w:rPr>
                <w:rFonts w:cs="Times New Roman"/>
                <w:b/>
                <w:bCs/>
              </w:rPr>
            </w:pPr>
            <w:r>
              <w:rPr>
                <w:rFonts w:cs="Times New Roman"/>
                <w:b/>
                <w:bCs/>
              </w:rPr>
              <w:t>Predicted Ethanol Y</w:t>
            </w:r>
            <w:r w:rsidR="00043399">
              <w:rPr>
                <w:rFonts w:cs="Times New Roman"/>
                <w:b/>
                <w:bCs/>
              </w:rPr>
              <w:t>ield</w:t>
            </w:r>
            <w:r w:rsidR="00043399" w:rsidRPr="00E07545">
              <w:rPr>
                <w:rFonts w:cs="Times New Roman"/>
                <w:b/>
                <w:bCs/>
              </w:rPr>
              <w:t xml:space="preserve"> </w:t>
            </w:r>
          </w:p>
          <w:p w14:paraId="38274678" w14:textId="3ABA6184" w:rsidR="00043399" w:rsidRPr="00E07545" w:rsidRDefault="00043399" w:rsidP="00E965BC">
            <w:pPr>
              <w:spacing w:line="240" w:lineRule="auto"/>
              <w:rPr>
                <w:rFonts w:cs="Times New Roman"/>
                <w:b/>
                <w:bCs/>
              </w:rPr>
            </w:pPr>
            <w:r w:rsidRPr="00E07545">
              <w:rPr>
                <w:rFonts w:cs="Times New Roman"/>
                <w:b/>
                <w:bCs/>
              </w:rPr>
              <w:t>(mg g</w:t>
            </w:r>
            <w:r w:rsidRPr="00E07545">
              <w:rPr>
                <w:rFonts w:cs="Times New Roman"/>
                <w:b/>
                <w:bCs/>
                <w:vertAlign w:val="superscript"/>
              </w:rPr>
              <w:t>-1</w:t>
            </w:r>
            <w:r w:rsidRPr="00E07545">
              <w:rPr>
                <w:rFonts w:cs="Times New Roman"/>
                <w:b/>
                <w:bCs/>
              </w:rPr>
              <w:t>) 2012</w:t>
            </w:r>
          </w:p>
        </w:tc>
        <w:tc>
          <w:tcPr>
            <w:tcW w:w="636" w:type="dxa"/>
            <w:tcBorders>
              <w:top w:val="nil"/>
              <w:left w:val="nil"/>
              <w:bottom w:val="single" w:sz="4" w:space="0" w:color="auto"/>
              <w:right w:val="nil"/>
            </w:tcBorders>
            <w:shd w:val="clear" w:color="000000" w:fill="808080"/>
            <w:noWrap/>
            <w:vAlign w:val="bottom"/>
            <w:hideMark/>
          </w:tcPr>
          <w:p w14:paraId="55C736C5" w14:textId="77777777" w:rsidR="00043399" w:rsidRPr="00E07545" w:rsidRDefault="00043399" w:rsidP="00E965BC">
            <w:pPr>
              <w:spacing w:line="240" w:lineRule="auto"/>
              <w:jc w:val="right"/>
              <w:rPr>
                <w:rFonts w:cs="Times New Roman"/>
                <w:color w:val="000000"/>
              </w:rPr>
            </w:pPr>
            <w:r w:rsidRPr="00E07545">
              <w:rPr>
                <w:rFonts w:cs="Times New Roman"/>
                <w:color w:val="000000"/>
              </w:rPr>
              <w:t>0.72</w:t>
            </w:r>
          </w:p>
        </w:tc>
        <w:tc>
          <w:tcPr>
            <w:tcW w:w="960" w:type="dxa"/>
            <w:tcBorders>
              <w:top w:val="nil"/>
              <w:left w:val="nil"/>
              <w:bottom w:val="single" w:sz="4" w:space="0" w:color="auto"/>
              <w:right w:val="nil"/>
            </w:tcBorders>
            <w:shd w:val="clear" w:color="000000" w:fill="808080"/>
            <w:noWrap/>
            <w:vAlign w:val="bottom"/>
            <w:hideMark/>
          </w:tcPr>
          <w:p w14:paraId="568D00DA" w14:textId="77777777" w:rsidR="00043399" w:rsidRPr="00E07545" w:rsidRDefault="00043399" w:rsidP="00E965BC">
            <w:pPr>
              <w:spacing w:line="240" w:lineRule="auto"/>
              <w:rPr>
                <w:rFonts w:cs="Times New Roman"/>
                <w:color w:val="000000"/>
              </w:rPr>
            </w:pPr>
            <w:r w:rsidRPr="00E07545">
              <w:rPr>
                <w:rFonts w:cs="Times New Roman"/>
                <w:color w:val="000000"/>
              </w:rPr>
              <w:t>***</w:t>
            </w:r>
          </w:p>
        </w:tc>
      </w:tr>
      <w:tr w:rsidR="00043399" w:rsidRPr="00E07545" w14:paraId="554D9B73" w14:textId="77777777" w:rsidTr="00343E34">
        <w:trPr>
          <w:trHeight w:val="360"/>
        </w:trPr>
        <w:tc>
          <w:tcPr>
            <w:tcW w:w="3484" w:type="dxa"/>
            <w:tcBorders>
              <w:top w:val="single" w:sz="4" w:space="0" w:color="auto"/>
              <w:left w:val="nil"/>
              <w:bottom w:val="single" w:sz="4" w:space="0" w:color="auto"/>
              <w:right w:val="nil"/>
            </w:tcBorders>
            <w:shd w:val="clear" w:color="auto" w:fill="auto"/>
            <w:vAlign w:val="bottom"/>
            <w:hideMark/>
          </w:tcPr>
          <w:p w14:paraId="4ADC5280" w14:textId="77777777" w:rsidR="00043399" w:rsidRPr="00E07545" w:rsidRDefault="00043399" w:rsidP="00E965BC">
            <w:pPr>
              <w:spacing w:line="240" w:lineRule="auto"/>
              <w:rPr>
                <w:rFonts w:cs="Times New Roman"/>
                <w:b/>
                <w:bCs/>
                <w:color w:val="000000"/>
              </w:rPr>
            </w:pPr>
            <w:r w:rsidRPr="00E07545">
              <w:rPr>
                <w:rFonts w:cs="Times New Roman"/>
                <w:b/>
                <w:bCs/>
                <w:color w:val="000000"/>
              </w:rPr>
              <w:t>2013</w:t>
            </w:r>
          </w:p>
        </w:tc>
        <w:tc>
          <w:tcPr>
            <w:tcW w:w="1596" w:type="dxa"/>
            <w:gridSpan w:val="2"/>
            <w:tcBorders>
              <w:top w:val="single" w:sz="4" w:space="0" w:color="auto"/>
              <w:left w:val="nil"/>
              <w:bottom w:val="single" w:sz="4" w:space="0" w:color="auto"/>
              <w:right w:val="nil"/>
            </w:tcBorders>
            <w:shd w:val="clear" w:color="auto" w:fill="auto"/>
            <w:vAlign w:val="bottom"/>
            <w:hideMark/>
          </w:tcPr>
          <w:p w14:paraId="0155D80A" w14:textId="77777777" w:rsidR="00043399" w:rsidRPr="00E07545" w:rsidRDefault="00043399" w:rsidP="00E965BC">
            <w:pPr>
              <w:spacing w:line="240" w:lineRule="auto"/>
              <w:jc w:val="center"/>
              <w:rPr>
                <w:rFonts w:cs="Times New Roman"/>
                <w:b/>
                <w:bCs/>
              </w:rPr>
            </w:pPr>
            <w:r w:rsidRPr="00E07545">
              <w:rPr>
                <w:rFonts w:cs="Times New Roman"/>
                <w:b/>
                <w:bCs/>
              </w:rPr>
              <w:t> </w:t>
            </w:r>
          </w:p>
        </w:tc>
      </w:tr>
      <w:tr w:rsidR="00043399" w:rsidRPr="00E07545" w14:paraId="14DAB9B6" w14:textId="77777777" w:rsidTr="00343E34">
        <w:trPr>
          <w:trHeight w:val="360"/>
        </w:trPr>
        <w:tc>
          <w:tcPr>
            <w:tcW w:w="3484" w:type="dxa"/>
            <w:tcBorders>
              <w:top w:val="nil"/>
              <w:left w:val="nil"/>
              <w:bottom w:val="nil"/>
              <w:right w:val="nil"/>
            </w:tcBorders>
            <w:shd w:val="clear" w:color="auto" w:fill="auto"/>
            <w:noWrap/>
            <w:vAlign w:val="bottom"/>
            <w:hideMark/>
          </w:tcPr>
          <w:p w14:paraId="1D515DE0" w14:textId="77777777" w:rsidR="00043399" w:rsidRPr="00E07545" w:rsidRDefault="00043399" w:rsidP="00E965BC">
            <w:pPr>
              <w:spacing w:line="240" w:lineRule="auto"/>
              <w:rPr>
                <w:rFonts w:cs="Times New Roman"/>
                <w:b/>
                <w:bCs/>
              </w:rPr>
            </w:pPr>
            <w:r w:rsidRPr="00E07545">
              <w:rPr>
                <w:rFonts w:cs="Times New Roman"/>
                <w:b/>
                <w:bCs/>
              </w:rPr>
              <w:t>Tiller Number</w:t>
            </w:r>
          </w:p>
        </w:tc>
        <w:tc>
          <w:tcPr>
            <w:tcW w:w="636" w:type="dxa"/>
            <w:tcBorders>
              <w:top w:val="nil"/>
              <w:left w:val="nil"/>
              <w:bottom w:val="nil"/>
              <w:right w:val="nil"/>
            </w:tcBorders>
            <w:shd w:val="clear" w:color="000000" w:fill="BFBFBF"/>
            <w:noWrap/>
            <w:vAlign w:val="bottom"/>
            <w:hideMark/>
          </w:tcPr>
          <w:p w14:paraId="558B2A2C" w14:textId="77777777" w:rsidR="00043399" w:rsidRPr="00E07545" w:rsidRDefault="00043399" w:rsidP="00E965BC">
            <w:pPr>
              <w:spacing w:line="240" w:lineRule="auto"/>
              <w:jc w:val="right"/>
              <w:rPr>
                <w:rFonts w:cs="Times New Roman"/>
              </w:rPr>
            </w:pPr>
            <w:r w:rsidRPr="00E07545">
              <w:rPr>
                <w:rFonts w:cs="Times New Roman"/>
              </w:rPr>
              <w:t>0.65</w:t>
            </w:r>
          </w:p>
        </w:tc>
        <w:tc>
          <w:tcPr>
            <w:tcW w:w="960" w:type="dxa"/>
            <w:tcBorders>
              <w:top w:val="nil"/>
              <w:left w:val="nil"/>
              <w:bottom w:val="nil"/>
              <w:right w:val="nil"/>
            </w:tcBorders>
            <w:shd w:val="clear" w:color="000000" w:fill="BFBFBF"/>
            <w:noWrap/>
            <w:vAlign w:val="bottom"/>
            <w:hideMark/>
          </w:tcPr>
          <w:p w14:paraId="56DDC4FB" w14:textId="77777777" w:rsidR="00043399" w:rsidRPr="00E07545" w:rsidRDefault="00043399" w:rsidP="00E965BC">
            <w:pPr>
              <w:spacing w:line="240" w:lineRule="auto"/>
              <w:rPr>
                <w:rFonts w:cs="Times New Roman"/>
              </w:rPr>
            </w:pPr>
            <w:r w:rsidRPr="00E07545">
              <w:rPr>
                <w:rFonts w:cs="Times New Roman"/>
              </w:rPr>
              <w:t>***</w:t>
            </w:r>
          </w:p>
        </w:tc>
      </w:tr>
      <w:tr w:rsidR="00043399" w:rsidRPr="00E07545" w14:paraId="288E3CEC" w14:textId="77777777" w:rsidTr="00343E34">
        <w:trPr>
          <w:trHeight w:val="360"/>
        </w:trPr>
        <w:tc>
          <w:tcPr>
            <w:tcW w:w="3484" w:type="dxa"/>
            <w:tcBorders>
              <w:top w:val="nil"/>
              <w:left w:val="nil"/>
              <w:bottom w:val="nil"/>
              <w:right w:val="nil"/>
            </w:tcBorders>
            <w:shd w:val="clear" w:color="auto" w:fill="auto"/>
            <w:noWrap/>
            <w:vAlign w:val="bottom"/>
            <w:hideMark/>
          </w:tcPr>
          <w:p w14:paraId="26133D81" w14:textId="77777777" w:rsidR="00043399" w:rsidRPr="00E07545" w:rsidRDefault="00043399" w:rsidP="00E965BC">
            <w:pPr>
              <w:spacing w:line="240" w:lineRule="auto"/>
              <w:rPr>
                <w:rFonts w:cs="Times New Roman"/>
                <w:b/>
                <w:bCs/>
              </w:rPr>
            </w:pPr>
            <w:r w:rsidRPr="00E07545">
              <w:rPr>
                <w:rFonts w:cs="Times New Roman"/>
                <w:b/>
                <w:bCs/>
              </w:rPr>
              <w:t>Tiller Diameter (mm)</w:t>
            </w:r>
          </w:p>
        </w:tc>
        <w:tc>
          <w:tcPr>
            <w:tcW w:w="636" w:type="dxa"/>
            <w:tcBorders>
              <w:top w:val="nil"/>
              <w:left w:val="nil"/>
              <w:bottom w:val="nil"/>
              <w:right w:val="nil"/>
            </w:tcBorders>
            <w:shd w:val="clear" w:color="000000" w:fill="808080"/>
            <w:noWrap/>
            <w:vAlign w:val="bottom"/>
            <w:hideMark/>
          </w:tcPr>
          <w:p w14:paraId="4B2B5528" w14:textId="77777777" w:rsidR="00043399" w:rsidRPr="00E07545" w:rsidRDefault="00043399" w:rsidP="00E965BC">
            <w:pPr>
              <w:spacing w:line="240" w:lineRule="auto"/>
              <w:jc w:val="right"/>
              <w:rPr>
                <w:rFonts w:cs="Times New Roman"/>
              </w:rPr>
            </w:pPr>
            <w:r w:rsidRPr="00E07545">
              <w:rPr>
                <w:rFonts w:cs="Times New Roman"/>
              </w:rPr>
              <w:t>0.71</w:t>
            </w:r>
          </w:p>
        </w:tc>
        <w:tc>
          <w:tcPr>
            <w:tcW w:w="960" w:type="dxa"/>
            <w:tcBorders>
              <w:top w:val="nil"/>
              <w:left w:val="nil"/>
              <w:bottom w:val="nil"/>
              <w:right w:val="nil"/>
            </w:tcBorders>
            <w:shd w:val="clear" w:color="000000" w:fill="808080"/>
            <w:noWrap/>
            <w:vAlign w:val="bottom"/>
            <w:hideMark/>
          </w:tcPr>
          <w:p w14:paraId="586EAA75" w14:textId="77777777" w:rsidR="00043399" w:rsidRPr="00E07545" w:rsidRDefault="00043399" w:rsidP="00E965BC">
            <w:pPr>
              <w:spacing w:line="240" w:lineRule="auto"/>
              <w:rPr>
                <w:rFonts w:cs="Times New Roman"/>
                <w:color w:val="000000"/>
              </w:rPr>
            </w:pPr>
            <w:r w:rsidRPr="00E07545">
              <w:rPr>
                <w:rFonts w:cs="Times New Roman"/>
                <w:color w:val="000000"/>
              </w:rPr>
              <w:t>***</w:t>
            </w:r>
          </w:p>
        </w:tc>
      </w:tr>
      <w:tr w:rsidR="00043399" w:rsidRPr="00E07545" w14:paraId="62163371" w14:textId="77777777" w:rsidTr="00343E34">
        <w:trPr>
          <w:trHeight w:val="360"/>
        </w:trPr>
        <w:tc>
          <w:tcPr>
            <w:tcW w:w="3484" w:type="dxa"/>
            <w:tcBorders>
              <w:top w:val="nil"/>
              <w:left w:val="nil"/>
              <w:bottom w:val="single" w:sz="8" w:space="0" w:color="auto"/>
              <w:right w:val="nil"/>
            </w:tcBorders>
            <w:shd w:val="clear" w:color="auto" w:fill="auto"/>
            <w:noWrap/>
            <w:vAlign w:val="bottom"/>
            <w:hideMark/>
          </w:tcPr>
          <w:p w14:paraId="73C3EB38" w14:textId="62E78307" w:rsidR="00043399" w:rsidRPr="00E07545" w:rsidRDefault="00FA4834" w:rsidP="00E965BC">
            <w:pPr>
              <w:spacing w:line="240" w:lineRule="auto"/>
              <w:rPr>
                <w:rFonts w:cs="Times New Roman"/>
                <w:b/>
                <w:bCs/>
              </w:rPr>
            </w:pPr>
            <w:r>
              <w:rPr>
                <w:rFonts w:cs="Times New Roman"/>
                <w:b/>
                <w:bCs/>
              </w:rPr>
              <w:t>Leaf W</w:t>
            </w:r>
            <w:r w:rsidR="00B8390A">
              <w:rPr>
                <w:rFonts w:cs="Times New Roman"/>
                <w:b/>
                <w:bCs/>
              </w:rPr>
              <w:t>idth</w:t>
            </w:r>
            <w:r w:rsidR="00043399" w:rsidRPr="00E07545">
              <w:rPr>
                <w:rFonts w:cs="Times New Roman"/>
                <w:b/>
                <w:bCs/>
              </w:rPr>
              <w:t xml:space="preserve"> (mm)</w:t>
            </w:r>
          </w:p>
        </w:tc>
        <w:tc>
          <w:tcPr>
            <w:tcW w:w="636" w:type="dxa"/>
            <w:tcBorders>
              <w:top w:val="nil"/>
              <w:left w:val="nil"/>
              <w:bottom w:val="single" w:sz="8" w:space="0" w:color="auto"/>
              <w:right w:val="nil"/>
            </w:tcBorders>
            <w:shd w:val="clear" w:color="000000" w:fill="BFBFBF"/>
            <w:vAlign w:val="bottom"/>
            <w:hideMark/>
          </w:tcPr>
          <w:p w14:paraId="3E23BA1B" w14:textId="77777777" w:rsidR="00043399" w:rsidRPr="00E07545" w:rsidRDefault="00043399" w:rsidP="00E965BC">
            <w:pPr>
              <w:spacing w:line="240" w:lineRule="auto"/>
              <w:jc w:val="right"/>
              <w:rPr>
                <w:rFonts w:cs="Times New Roman"/>
                <w:color w:val="000000"/>
              </w:rPr>
            </w:pPr>
            <w:r w:rsidRPr="00E07545">
              <w:rPr>
                <w:rFonts w:cs="Times New Roman"/>
                <w:color w:val="000000"/>
              </w:rPr>
              <w:t>0.69</w:t>
            </w:r>
          </w:p>
        </w:tc>
        <w:tc>
          <w:tcPr>
            <w:tcW w:w="960" w:type="dxa"/>
            <w:tcBorders>
              <w:top w:val="nil"/>
              <w:left w:val="nil"/>
              <w:bottom w:val="single" w:sz="8" w:space="0" w:color="auto"/>
              <w:right w:val="nil"/>
            </w:tcBorders>
            <w:shd w:val="clear" w:color="000000" w:fill="BFBFBF"/>
            <w:vAlign w:val="bottom"/>
            <w:hideMark/>
          </w:tcPr>
          <w:p w14:paraId="7BA773E6" w14:textId="77777777" w:rsidR="00043399" w:rsidRPr="00E07545" w:rsidRDefault="00043399" w:rsidP="00E965BC">
            <w:pPr>
              <w:spacing w:line="240" w:lineRule="auto"/>
              <w:rPr>
                <w:rFonts w:cs="Times New Roman"/>
                <w:color w:val="000000"/>
              </w:rPr>
            </w:pPr>
            <w:r w:rsidRPr="00E07545">
              <w:rPr>
                <w:rFonts w:cs="Times New Roman"/>
                <w:color w:val="000000"/>
              </w:rPr>
              <w:t>***</w:t>
            </w:r>
          </w:p>
        </w:tc>
      </w:tr>
      <w:tr w:rsidR="00043399" w:rsidRPr="00E07545" w14:paraId="56D697B4" w14:textId="77777777" w:rsidTr="00E965BC">
        <w:trPr>
          <w:trHeight w:val="315"/>
        </w:trPr>
        <w:tc>
          <w:tcPr>
            <w:tcW w:w="5080" w:type="dxa"/>
            <w:gridSpan w:val="3"/>
            <w:tcBorders>
              <w:top w:val="nil"/>
              <w:left w:val="nil"/>
              <w:bottom w:val="nil"/>
              <w:right w:val="nil"/>
            </w:tcBorders>
            <w:shd w:val="clear" w:color="auto" w:fill="auto"/>
            <w:noWrap/>
            <w:vAlign w:val="bottom"/>
            <w:hideMark/>
          </w:tcPr>
          <w:p w14:paraId="08C05DAE" w14:textId="687DAA66" w:rsidR="00043399" w:rsidRPr="00343E34" w:rsidRDefault="00043399" w:rsidP="00E965BC">
            <w:pPr>
              <w:spacing w:line="240" w:lineRule="auto"/>
              <w:rPr>
                <w:rFonts w:cs="Times New Roman"/>
                <w:color w:val="000000"/>
                <w:vertAlign w:val="subscript"/>
              </w:rPr>
            </w:pPr>
            <w:r w:rsidRPr="00343E34">
              <w:rPr>
                <w:rFonts w:cs="Times New Roman"/>
                <w:color w:val="000000"/>
                <w:vertAlign w:val="subscript"/>
              </w:rPr>
              <w:t xml:space="preserve">* </w:t>
            </w:r>
            <w:r w:rsidR="00B7572A">
              <w:rPr>
                <w:rFonts w:cs="Times New Roman"/>
                <w:color w:val="000000"/>
                <w:vertAlign w:val="subscript"/>
              </w:rPr>
              <w:t xml:space="preserve">P </w:t>
            </w:r>
            <w:r w:rsidR="009021A8">
              <w:rPr>
                <w:rFonts w:cs="Times New Roman"/>
                <w:color w:val="000000"/>
                <w:vertAlign w:val="subscript"/>
              </w:rPr>
              <w:t xml:space="preserve">&lt; </w:t>
            </w:r>
            <w:r w:rsidRPr="00343E34">
              <w:rPr>
                <w:rFonts w:cs="Times New Roman"/>
                <w:color w:val="000000"/>
                <w:vertAlign w:val="subscript"/>
              </w:rPr>
              <w:t>0.05, **</w:t>
            </w:r>
            <w:r w:rsidR="00B7572A">
              <w:rPr>
                <w:rFonts w:cs="Times New Roman"/>
                <w:color w:val="000000"/>
                <w:vertAlign w:val="subscript"/>
              </w:rPr>
              <w:t xml:space="preserve">P </w:t>
            </w:r>
            <w:r w:rsidR="009021A8">
              <w:rPr>
                <w:rFonts w:cs="Times New Roman"/>
                <w:color w:val="000000"/>
                <w:vertAlign w:val="subscript"/>
              </w:rPr>
              <w:t xml:space="preserve">&lt; </w:t>
            </w:r>
            <w:r w:rsidRPr="00343E34">
              <w:rPr>
                <w:rFonts w:cs="Times New Roman"/>
                <w:color w:val="000000"/>
                <w:vertAlign w:val="subscript"/>
              </w:rPr>
              <w:t>0.01, ***</w:t>
            </w:r>
            <w:r w:rsidR="00B7572A">
              <w:rPr>
                <w:rFonts w:cs="Times New Roman"/>
                <w:color w:val="000000"/>
                <w:vertAlign w:val="subscript"/>
              </w:rPr>
              <w:t xml:space="preserve">P </w:t>
            </w:r>
            <w:r w:rsidR="009021A8">
              <w:rPr>
                <w:rFonts w:cs="Times New Roman"/>
                <w:color w:val="000000"/>
                <w:vertAlign w:val="subscript"/>
              </w:rPr>
              <w:t xml:space="preserve">&lt; </w:t>
            </w:r>
            <w:r w:rsidRPr="00343E34">
              <w:rPr>
                <w:rFonts w:cs="Times New Roman"/>
                <w:color w:val="000000"/>
                <w:vertAlign w:val="subscript"/>
              </w:rPr>
              <w:t>0.001, respectively</w:t>
            </w:r>
          </w:p>
        </w:tc>
      </w:tr>
    </w:tbl>
    <w:p w14:paraId="0186B6C7" w14:textId="77777777" w:rsidR="00043399" w:rsidRDefault="00043399" w:rsidP="00043399"/>
    <w:p w14:paraId="281E905D" w14:textId="77777777" w:rsidR="00043399" w:rsidRDefault="00043399" w:rsidP="00043399"/>
    <w:p w14:paraId="37950FBC" w14:textId="77777777" w:rsidR="00043399" w:rsidRDefault="00E965BC" w:rsidP="00043399">
      <w:pPr>
        <w:sectPr w:rsidR="00043399" w:rsidSect="00794998">
          <w:pgSz w:w="12240" w:h="15840"/>
          <w:pgMar w:top="1440" w:right="1440" w:bottom="1440" w:left="1440" w:header="720" w:footer="720" w:gutter="0"/>
          <w:cols w:space="720"/>
          <w:docGrid w:linePitch="360"/>
        </w:sectPr>
      </w:pPr>
      <w:r>
        <w:br w:type="page"/>
      </w:r>
    </w:p>
    <w:p w14:paraId="6C897D5E" w14:textId="01FC1FA4" w:rsidR="00043399" w:rsidRDefault="00043399" w:rsidP="00043399">
      <w:pPr>
        <w:pStyle w:val="Caption"/>
      </w:pPr>
      <w:bookmarkStart w:id="105" w:name="_Toc404070379"/>
      <w:r>
        <w:lastRenderedPageBreak/>
        <w:t>Table 3-</w:t>
      </w:r>
      <w:r w:rsidR="00343E34">
        <w:t>2</w:t>
      </w:r>
      <w:r>
        <w:t xml:space="preserve">. </w:t>
      </w:r>
      <w:r w:rsidR="00B428AC">
        <w:t>Pearson c</w:t>
      </w:r>
      <w:r>
        <w:t>orrel</w:t>
      </w:r>
      <w:r w:rsidR="00B428AC">
        <w:t>ation coefficients</w:t>
      </w:r>
      <w:r>
        <w:t xml:space="preserve"> of biomass yield and predicted ethanol yield with all measured traits within space planted and sward planted nurseries </w:t>
      </w:r>
      <w:r w:rsidR="00343E34">
        <w:t xml:space="preserve">of F1 populations of lowland switchgrass derived from an eight parent diallel cross </w:t>
      </w:r>
      <w:r>
        <w:t>for traits evaluated in 2012 and 2013</w:t>
      </w:r>
      <w:r w:rsidR="00954DB7">
        <w:t>.</w:t>
      </w:r>
      <w:bookmarkEnd w:id="105"/>
      <w:r w:rsidR="00954DB7">
        <w:t xml:space="preserve"> </w:t>
      </w:r>
    </w:p>
    <w:tbl>
      <w:tblPr>
        <w:tblW w:w="5000" w:type="pct"/>
        <w:tblLook w:val="04A0" w:firstRow="1" w:lastRow="0" w:firstColumn="1" w:lastColumn="0" w:noHBand="0" w:noVBand="1"/>
      </w:tblPr>
      <w:tblGrid>
        <w:gridCol w:w="3002"/>
        <w:gridCol w:w="787"/>
        <w:gridCol w:w="217"/>
        <w:gridCol w:w="565"/>
        <w:gridCol w:w="414"/>
        <w:gridCol w:w="397"/>
        <w:gridCol w:w="292"/>
        <w:gridCol w:w="507"/>
        <w:gridCol w:w="785"/>
        <w:gridCol w:w="221"/>
        <w:gridCol w:w="563"/>
        <w:gridCol w:w="418"/>
        <w:gridCol w:w="392"/>
        <w:gridCol w:w="297"/>
        <w:gridCol w:w="503"/>
      </w:tblGrid>
      <w:tr w:rsidR="00343E34" w:rsidRPr="00343E34" w14:paraId="3F098977" w14:textId="77777777" w:rsidTr="0015289A">
        <w:trPr>
          <w:trHeight w:val="420"/>
        </w:trPr>
        <w:tc>
          <w:tcPr>
            <w:tcW w:w="1604" w:type="pct"/>
            <w:tcBorders>
              <w:top w:val="single" w:sz="8" w:space="0" w:color="auto"/>
              <w:left w:val="nil"/>
              <w:bottom w:val="nil"/>
              <w:right w:val="nil"/>
            </w:tcBorders>
            <w:shd w:val="clear" w:color="auto" w:fill="auto"/>
            <w:noWrap/>
            <w:vAlign w:val="bottom"/>
            <w:hideMark/>
          </w:tcPr>
          <w:p w14:paraId="719B6E0A" w14:textId="77777777" w:rsidR="00343E34" w:rsidRPr="00343E34" w:rsidRDefault="00343E34" w:rsidP="00343E34">
            <w:pPr>
              <w:spacing w:line="240" w:lineRule="auto"/>
              <w:rPr>
                <w:rFonts w:cs="Times New Roman"/>
                <w:b/>
                <w:bCs/>
                <w:color w:val="000000"/>
              </w:rPr>
            </w:pPr>
            <w:r w:rsidRPr="00343E34">
              <w:rPr>
                <w:rFonts w:cs="Times New Roman"/>
                <w:b/>
                <w:bCs/>
                <w:color w:val="000000"/>
              </w:rPr>
              <w:t> </w:t>
            </w:r>
          </w:p>
        </w:tc>
        <w:tc>
          <w:tcPr>
            <w:tcW w:w="1698" w:type="pct"/>
            <w:gridSpan w:val="7"/>
            <w:tcBorders>
              <w:top w:val="single" w:sz="8" w:space="0" w:color="auto"/>
              <w:left w:val="nil"/>
              <w:bottom w:val="nil"/>
              <w:right w:val="nil"/>
            </w:tcBorders>
            <w:shd w:val="clear" w:color="auto" w:fill="auto"/>
            <w:vAlign w:val="bottom"/>
            <w:hideMark/>
          </w:tcPr>
          <w:p w14:paraId="72D96F3D" w14:textId="77777777" w:rsidR="00343E34" w:rsidRPr="00343E34" w:rsidRDefault="00343E34" w:rsidP="00343E34">
            <w:pPr>
              <w:spacing w:line="240" w:lineRule="auto"/>
              <w:jc w:val="center"/>
              <w:rPr>
                <w:rFonts w:cs="Times New Roman"/>
                <w:b/>
                <w:bCs/>
                <w:color w:val="000000"/>
                <w:u w:val="single"/>
              </w:rPr>
            </w:pPr>
            <w:r w:rsidRPr="00343E34">
              <w:rPr>
                <w:rFonts w:cs="Times New Roman"/>
                <w:b/>
                <w:bCs/>
                <w:color w:val="000000"/>
                <w:u w:val="single"/>
              </w:rPr>
              <w:t>Biomass Yield (g plant</w:t>
            </w:r>
            <w:r w:rsidRPr="00343E34">
              <w:rPr>
                <w:rFonts w:cs="Times New Roman"/>
                <w:b/>
                <w:bCs/>
                <w:color w:val="000000"/>
                <w:u w:val="single"/>
                <w:vertAlign w:val="superscript"/>
              </w:rPr>
              <w:t>-1</w:t>
            </w:r>
            <w:r w:rsidRPr="00343E34">
              <w:rPr>
                <w:rFonts w:cs="Times New Roman"/>
                <w:b/>
                <w:bCs/>
                <w:color w:val="000000"/>
                <w:u w:val="single"/>
              </w:rPr>
              <w:t>)</w:t>
            </w:r>
          </w:p>
        </w:tc>
        <w:tc>
          <w:tcPr>
            <w:tcW w:w="1698" w:type="pct"/>
            <w:gridSpan w:val="7"/>
            <w:tcBorders>
              <w:top w:val="single" w:sz="8" w:space="0" w:color="auto"/>
              <w:left w:val="nil"/>
              <w:bottom w:val="nil"/>
              <w:right w:val="nil"/>
            </w:tcBorders>
            <w:shd w:val="clear" w:color="auto" w:fill="auto"/>
            <w:vAlign w:val="bottom"/>
            <w:hideMark/>
          </w:tcPr>
          <w:p w14:paraId="1A8D6FDF" w14:textId="77777777" w:rsidR="00343E34" w:rsidRPr="00343E34" w:rsidRDefault="00343E34" w:rsidP="00343E34">
            <w:pPr>
              <w:spacing w:line="240" w:lineRule="auto"/>
              <w:jc w:val="center"/>
              <w:rPr>
                <w:rFonts w:cs="Times New Roman"/>
                <w:b/>
                <w:bCs/>
                <w:color w:val="000000"/>
                <w:u w:val="single"/>
              </w:rPr>
            </w:pPr>
            <w:r w:rsidRPr="00343E34">
              <w:rPr>
                <w:rFonts w:cs="Times New Roman"/>
                <w:b/>
                <w:bCs/>
                <w:color w:val="000000"/>
                <w:u w:val="single"/>
              </w:rPr>
              <w:t>Ethanol Yield (mg g</w:t>
            </w:r>
            <w:r w:rsidRPr="00343E34">
              <w:rPr>
                <w:rFonts w:cs="Times New Roman"/>
                <w:b/>
                <w:bCs/>
                <w:color w:val="000000"/>
                <w:u w:val="single"/>
                <w:vertAlign w:val="superscript"/>
              </w:rPr>
              <w:t>-1</w:t>
            </w:r>
            <w:r w:rsidRPr="00343E34">
              <w:rPr>
                <w:rFonts w:cs="Times New Roman"/>
                <w:b/>
                <w:bCs/>
                <w:color w:val="000000"/>
                <w:u w:val="single"/>
              </w:rPr>
              <w:t>)</w:t>
            </w:r>
          </w:p>
        </w:tc>
      </w:tr>
      <w:tr w:rsidR="00FA4834" w:rsidRPr="00343E34" w14:paraId="6F222F14" w14:textId="77777777" w:rsidTr="0015289A">
        <w:trPr>
          <w:trHeight w:val="330"/>
        </w:trPr>
        <w:tc>
          <w:tcPr>
            <w:tcW w:w="1604" w:type="pct"/>
            <w:tcBorders>
              <w:top w:val="nil"/>
              <w:left w:val="nil"/>
              <w:bottom w:val="single" w:sz="8" w:space="0" w:color="auto"/>
              <w:right w:val="nil"/>
            </w:tcBorders>
            <w:shd w:val="clear" w:color="auto" w:fill="auto"/>
            <w:noWrap/>
            <w:vAlign w:val="bottom"/>
            <w:hideMark/>
          </w:tcPr>
          <w:p w14:paraId="6BEB70B2" w14:textId="77777777" w:rsidR="00343E34" w:rsidRPr="00343E34" w:rsidRDefault="00343E34" w:rsidP="00343E34">
            <w:pPr>
              <w:spacing w:line="240" w:lineRule="auto"/>
              <w:rPr>
                <w:rFonts w:cs="Times New Roman"/>
                <w:b/>
                <w:bCs/>
                <w:color w:val="000000"/>
              </w:rPr>
            </w:pPr>
            <w:r w:rsidRPr="00343E34">
              <w:rPr>
                <w:rFonts w:cs="Times New Roman"/>
                <w:b/>
                <w:bCs/>
                <w:color w:val="000000"/>
              </w:rPr>
              <w:t>Trait/Year</w:t>
            </w:r>
          </w:p>
        </w:tc>
        <w:tc>
          <w:tcPr>
            <w:tcW w:w="838" w:type="pct"/>
            <w:gridSpan w:val="3"/>
            <w:tcBorders>
              <w:top w:val="nil"/>
              <w:left w:val="nil"/>
              <w:bottom w:val="single" w:sz="8" w:space="0" w:color="auto"/>
              <w:right w:val="nil"/>
            </w:tcBorders>
            <w:shd w:val="clear" w:color="auto" w:fill="auto"/>
            <w:noWrap/>
            <w:vAlign w:val="bottom"/>
            <w:hideMark/>
          </w:tcPr>
          <w:p w14:paraId="424F4E08" w14:textId="77777777" w:rsidR="00343E34" w:rsidRPr="00343E34" w:rsidRDefault="00343E34" w:rsidP="00343E34">
            <w:pPr>
              <w:spacing w:line="240" w:lineRule="auto"/>
              <w:jc w:val="center"/>
              <w:rPr>
                <w:rFonts w:cs="Times New Roman"/>
                <w:color w:val="000000"/>
              </w:rPr>
            </w:pPr>
            <w:r w:rsidRPr="00343E34">
              <w:rPr>
                <w:rFonts w:cs="Times New Roman"/>
                <w:color w:val="000000"/>
              </w:rPr>
              <w:t>Space Planted</w:t>
            </w:r>
          </w:p>
        </w:tc>
        <w:tc>
          <w:tcPr>
            <w:tcW w:w="860" w:type="pct"/>
            <w:gridSpan w:val="4"/>
            <w:tcBorders>
              <w:top w:val="nil"/>
              <w:left w:val="nil"/>
              <w:bottom w:val="single" w:sz="8" w:space="0" w:color="auto"/>
              <w:right w:val="nil"/>
            </w:tcBorders>
            <w:shd w:val="clear" w:color="auto" w:fill="auto"/>
            <w:noWrap/>
            <w:vAlign w:val="bottom"/>
            <w:hideMark/>
          </w:tcPr>
          <w:p w14:paraId="77715C00" w14:textId="77777777" w:rsidR="00343E34" w:rsidRPr="00343E34" w:rsidRDefault="00343E34" w:rsidP="00343E34">
            <w:pPr>
              <w:spacing w:line="240" w:lineRule="auto"/>
              <w:jc w:val="center"/>
              <w:rPr>
                <w:rFonts w:cs="Times New Roman"/>
              </w:rPr>
            </w:pPr>
            <w:r w:rsidRPr="00343E34">
              <w:rPr>
                <w:rFonts w:cs="Times New Roman"/>
              </w:rPr>
              <w:t>Sward Planted</w:t>
            </w:r>
          </w:p>
        </w:tc>
        <w:tc>
          <w:tcPr>
            <w:tcW w:w="838" w:type="pct"/>
            <w:gridSpan w:val="3"/>
            <w:tcBorders>
              <w:top w:val="nil"/>
              <w:left w:val="nil"/>
              <w:bottom w:val="single" w:sz="8" w:space="0" w:color="auto"/>
              <w:right w:val="nil"/>
            </w:tcBorders>
            <w:shd w:val="clear" w:color="auto" w:fill="auto"/>
            <w:noWrap/>
            <w:vAlign w:val="bottom"/>
            <w:hideMark/>
          </w:tcPr>
          <w:p w14:paraId="52E356B2" w14:textId="77777777" w:rsidR="00343E34" w:rsidRPr="00343E34" w:rsidRDefault="00343E34" w:rsidP="00343E34">
            <w:pPr>
              <w:spacing w:line="240" w:lineRule="auto"/>
              <w:jc w:val="center"/>
              <w:rPr>
                <w:rFonts w:cs="Times New Roman"/>
              </w:rPr>
            </w:pPr>
            <w:r w:rsidRPr="00343E34">
              <w:rPr>
                <w:rFonts w:cs="Times New Roman"/>
              </w:rPr>
              <w:t>Space Planted</w:t>
            </w:r>
          </w:p>
        </w:tc>
        <w:tc>
          <w:tcPr>
            <w:tcW w:w="860" w:type="pct"/>
            <w:gridSpan w:val="4"/>
            <w:tcBorders>
              <w:top w:val="nil"/>
              <w:left w:val="nil"/>
              <w:bottom w:val="single" w:sz="8" w:space="0" w:color="auto"/>
              <w:right w:val="nil"/>
            </w:tcBorders>
            <w:shd w:val="clear" w:color="auto" w:fill="auto"/>
            <w:noWrap/>
            <w:vAlign w:val="bottom"/>
            <w:hideMark/>
          </w:tcPr>
          <w:p w14:paraId="7681DDAD" w14:textId="77777777" w:rsidR="00343E34" w:rsidRPr="00343E34" w:rsidRDefault="00343E34" w:rsidP="00343E34">
            <w:pPr>
              <w:spacing w:line="240" w:lineRule="auto"/>
              <w:jc w:val="center"/>
              <w:rPr>
                <w:rFonts w:cs="Times New Roman"/>
              </w:rPr>
            </w:pPr>
            <w:r w:rsidRPr="00343E34">
              <w:rPr>
                <w:rFonts w:cs="Times New Roman"/>
              </w:rPr>
              <w:t>Sward Planted</w:t>
            </w:r>
          </w:p>
        </w:tc>
      </w:tr>
      <w:tr w:rsidR="00FA4834" w:rsidRPr="00343E34" w14:paraId="701EF658" w14:textId="77777777" w:rsidTr="0015289A">
        <w:trPr>
          <w:trHeight w:val="315"/>
        </w:trPr>
        <w:tc>
          <w:tcPr>
            <w:tcW w:w="1604" w:type="pct"/>
            <w:tcBorders>
              <w:top w:val="nil"/>
              <w:left w:val="nil"/>
              <w:bottom w:val="single" w:sz="4" w:space="0" w:color="auto"/>
              <w:right w:val="nil"/>
            </w:tcBorders>
            <w:shd w:val="clear" w:color="auto" w:fill="auto"/>
            <w:noWrap/>
            <w:vAlign w:val="bottom"/>
            <w:hideMark/>
          </w:tcPr>
          <w:p w14:paraId="0D750E93" w14:textId="77777777" w:rsidR="00343E34" w:rsidRPr="00343E34" w:rsidRDefault="00343E34" w:rsidP="00343E34">
            <w:pPr>
              <w:spacing w:line="240" w:lineRule="auto"/>
              <w:jc w:val="center"/>
              <w:rPr>
                <w:rFonts w:cs="Times New Roman"/>
                <w:b/>
                <w:bCs/>
                <w:color w:val="000000"/>
              </w:rPr>
            </w:pPr>
            <w:r w:rsidRPr="00343E34">
              <w:rPr>
                <w:rFonts w:cs="Times New Roman"/>
                <w:b/>
                <w:bCs/>
                <w:color w:val="000000"/>
              </w:rPr>
              <w:t>2012/2013</w:t>
            </w:r>
          </w:p>
        </w:tc>
        <w:tc>
          <w:tcPr>
            <w:tcW w:w="420" w:type="pct"/>
            <w:tcBorders>
              <w:top w:val="nil"/>
              <w:left w:val="nil"/>
              <w:bottom w:val="single" w:sz="4" w:space="0" w:color="auto"/>
              <w:right w:val="nil"/>
            </w:tcBorders>
            <w:shd w:val="clear" w:color="auto" w:fill="auto"/>
            <w:vAlign w:val="bottom"/>
            <w:hideMark/>
          </w:tcPr>
          <w:p w14:paraId="5EBCDE10" w14:textId="77777777" w:rsidR="00343E34" w:rsidRPr="00343E34" w:rsidRDefault="00343E34" w:rsidP="00343E34">
            <w:pPr>
              <w:spacing w:line="240" w:lineRule="auto"/>
              <w:jc w:val="center"/>
              <w:rPr>
                <w:rFonts w:cs="Times New Roman"/>
                <w:b/>
                <w:bCs/>
                <w:color w:val="000000"/>
              </w:rPr>
            </w:pPr>
            <w:r w:rsidRPr="00343E34">
              <w:rPr>
                <w:rFonts w:cs="Times New Roman"/>
                <w:b/>
                <w:bCs/>
                <w:color w:val="000000"/>
              </w:rPr>
              <w:t> </w:t>
            </w:r>
          </w:p>
        </w:tc>
        <w:tc>
          <w:tcPr>
            <w:tcW w:w="418" w:type="pct"/>
            <w:gridSpan w:val="2"/>
            <w:tcBorders>
              <w:top w:val="nil"/>
              <w:left w:val="nil"/>
              <w:bottom w:val="single" w:sz="4" w:space="0" w:color="auto"/>
              <w:right w:val="nil"/>
            </w:tcBorders>
            <w:shd w:val="clear" w:color="auto" w:fill="auto"/>
            <w:vAlign w:val="bottom"/>
            <w:hideMark/>
          </w:tcPr>
          <w:p w14:paraId="0EA002A7" w14:textId="77777777" w:rsidR="00343E34" w:rsidRPr="00343E34" w:rsidRDefault="00343E34" w:rsidP="00343E34">
            <w:pPr>
              <w:spacing w:line="240" w:lineRule="auto"/>
              <w:jc w:val="center"/>
              <w:rPr>
                <w:rFonts w:cs="Times New Roman"/>
                <w:b/>
                <w:bCs/>
                <w:color w:val="000000"/>
              </w:rPr>
            </w:pPr>
            <w:r w:rsidRPr="00343E34">
              <w:rPr>
                <w:rFonts w:cs="Times New Roman"/>
                <w:b/>
                <w:bCs/>
                <w:color w:val="000000"/>
              </w:rPr>
              <w:t> </w:t>
            </w:r>
          </w:p>
        </w:tc>
        <w:tc>
          <w:tcPr>
            <w:tcW w:w="433" w:type="pct"/>
            <w:gridSpan w:val="2"/>
            <w:tcBorders>
              <w:top w:val="nil"/>
              <w:left w:val="nil"/>
              <w:bottom w:val="single" w:sz="4" w:space="0" w:color="auto"/>
              <w:right w:val="nil"/>
            </w:tcBorders>
            <w:shd w:val="clear" w:color="auto" w:fill="auto"/>
            <w:noWrap/>
            <w:vAlign w:val="bottom"/>
            <w:hideMark/>
          </w:tcPr>
          <w:p w14:paraId="2B92774B" w14:textId="77777777" w:rsidR="00343E34" w:rsidRPr="00343E34" w:rsidRDefault="00343E34" w:rsidP="00343E34">
            <w:pPr>
              <w:spacing w:line="240" w:lineRule="auto"/>
              <w:rPr>
                <w:rFonts w:cs="Times New Roman"/>
                <w:color w:val="000000"/>
              </w:rPr>
            </w:pPr>
            <w:r w:rsidRPr="00343E34">
              <w:rPr>
                <w:rFonts w:cs="Times New Roman"/>
                <w:color w:val="000000"/>
              </w:rPr>
              <w:t> </w:t>
            </w:r>
          </w:p>
        </w:tc>
        <w:tc>
          <w:tcPr>
            <w:tcW w:w="427" w:type="pct"/>
            <w:gridSpan w:val="2"/>
            <w:tcBorders>
              <w:top w:val="nil"/>
              <w:left w:val="nil"/>
              <w:bottom w:val="single" w:sz="4" w:space="0" w:color="auto"/>
              <w:right w:val="nil"/>
            </w:tcBorders>
            <w:shd w:val="clear" w:color="auto" w:fill="auto"/>
            <w:noWrap/>
            <w:vAlign w:val="bottom"/>
            <w:hideMark/>
          </w:tcPr>
          <w:p w14:paraId="2CF73BAF" w14:textId="77777777" w:rsidR="00343E34" w:rsidRPr="00343E34" w:rsidRDefault="00343E34" w:rsidP="00343E34">
            <w:pPr>
              <w:spacing w:line="240" w:lineRule="auto"/>
              <w:rPr>
                <w:rFonts w:cs="Times New Roman"/>
                <w:color w:val="000000"/>
              </w:rPr>
            </w:pPr>
            <w:r w:rsidRPr="00343E34">
              <w:rPr>
                <w:rFonts w:cs="Times New Roman"/>
                <w:color w:val="000000"/>
              </w:rPr>
              <w:t> </w:t>
            </w:r>
          </w:p>
        </w:tc>
        <w:tc>
          <w:tcPr>
            <w:tcW w:w="419" w:type="pct"/>
            <w:tcBorders>
              <w:top w:val="nil"/>
              <w:left w:val="nil"/>
              <w:bottom w:val="single" w:sz="4" w:space="0" w:color="auto"/>
              <w:right w:val="nil"/>
            </w:tcBorders>
            <w:shd w:val="clear" w:color="auto" w:fill="auto"/>
            <w:vAlign w:val="bottom"/>
            <w:hideMark/>
          </w:tcPr>
          <w:p w14:paraId="23B96E56" w14:textId="77777777" w:rsidR="00343E34" w:rsidRPr="00343E34" w:rsidRDefault="00343E34" w:rsidP="00343E34">
            <w:pPr>
              <w:spacing w:line="240" w:lineRule="auto"/>
              <w:jc w:val="center"/>
              <w:rPr>
                <w:rFonts w:cs="Times New Roman"/>
                <w:b/>
                <w:bCs/>
                <w:color w:val="000000"/>
              </w:rPr>
            </w:pPr>
            <w:r w:rsidRPr="00343E34">
              <w:rPr>
                <w:rFonts w:cs="Times New Roman"/>
                <w:b/>
                <w:bCs/>
                <w:color w:val="000000"/>
              </w:rPr>
              <w:t> </w:t>
            </w:r>
          </w:p>
        </w:tc>
        <w:tc>
          <w:tcPr>
            <w:tcW w:w="419" w:type="pct"/>
            <w:gridSpan w:val="2"/>
            <w:tcBorders>
              <w:top w:val="nil"/>
              <w:left w:val="nil"/>
              <w:bottom w:val="single" w:sz="4" w:space="0" w:color="auto"/>
              <w:right w:val="nil"/>
            </w:tcBorders>
            <w:shd w:val="clear" w:color="auto" w:fill="auto"/>
            <w:vAlign w:val="bottom"/>
            <w:hideMark/>
          </w:tcPr>
          <w:p w14:paraId="1BCA90D7" w14:textId="77777777" w:rsidR="00343E34" w:rsidRPr="00343E34" w:rsidRDefault="00343E34" w:rsidP="00343E34">
            <w:pPr>
              <w:spacing w:line="240" w:lineRule="auto"/>
              <w:jc w:val="center"/>
              <w:rPr>
                <w:rFonts w:cs="Times New Roman"/>
                <w:b/>
                <w:bCs/>
                <w:color w:val="000000"/>
              </w:rPr>
            </w:pPr>
            <w:r w:rsidRPr="00343E34">
              <w:rPr>
                <w:rFonts w:cs="Times New Roman"/>
                <w:b/>
                <w:bCs/>
                <w:color w:val="000000"/>
              </w:rPr>
              <w:t> </w:t>
            </w:r>
          </w:p>
        </w:tc>
        <w:tc>
          <w:tcPr>
            <w:tcW w:w="432" w:type="pct"/>
            <w:gridSpan w:val="2"/>
            <w:tcBorders>
              <w:top w:val="nil"/>
              <w:left w:val="nil"/>
              <w:bottom w:val="single" w:sz="4" w:space="0" w:color="auto"/>
              <w:right w:val="nil"/>
            </w:tcBorders>
            <w:shd w:val="clear" w:color="auto" w:fill="auto"/>
            <w:noWrap/>
            <w:vAlign w:val="bottom"/>
            <w:hideMark/>
          </w:tcPr>
          <w:p w14:paraId="45235967" w14:textId="77777777" w:rsidR="00343E34" w:rsidRPr="00343E34" w:rsidRDefault="00343E34" w:rsidP="00343E34">
            <w:pPr>
              <w:spacing w:line="240" w:lineRule="auto"/>
              <w:rPr>
                <w:rFonts w:cs="Times New Roman"/>
                <w:color w:val="000000"/>
              </w:rPr>
            </w:pPr>
            <w:r w:rsidRPr="00343E34">
              <w:rPr>
                <w:rFonts w:cs="Times New Roman"/>
                <w:color w:val="000000"/>
              </w:rPr>
              <w:t> </w:t>
            </w:r>
          </w:p>
        </w:tc>
        <w:tc>
          <w:tcPr>
            <w:tcW w:w="428" w:type="pct"/>
            <w:gridSpan w:val="2"/>
            <w:tcBorders>
              <w:top w:val="nil"/>
              <w:left w:val="nil"/>
              <w:bottom w:val="single" w:sz="4" w:space="0" w:color="auto"/>
              <w:right w:val="nil"/>
            </w:tcBorders>
            <w:shd w:val="clear" w:color="auto" w:fill="auto"/>
            <w:noWrap/>
            <w:vAlign w:val="bottom"/>
            <w:hideMark/>
          </w:tcPr>
          <w:p w14:paraId="7829A153" w14:textId="77777777" w:rsidR="00343E34" w:rsidRPr="00343E34" w:rsidRDefault="00343E34" w:rsidP="00343E34">
            <w:pPr>
              <w:spacing w:line="240" w:lineRule="auto"/>
              <w:rPr>
                <w:rFonts w:cs="Times New Roman"/>
                <w:color w:val="000000"/>
              </w:rPr>
            </w:pPr>
            <w:r w:rsidRPr="00343E34">
              <w:rPr>
                <w:rFonts w:cs="Times New Roman"/>
                <w:color w:val="000000"/>
              </w:rPr>
              <w:t> </w:t>
            </w:r>
          </w:p>
        </w:tc>
      </w:tr>
      <w:tr w:rsidR="00FA4834" w:rsidRPr="00343E34" w14:paraId="17021E19" w14:textId="77777777" w:rsidTr="0015289A">
        <w:trPr>
          <w:trHeight w:val="315"/>
        </w:trPr>
        <w:tc>
          <w:tcPr>
            <w:tcW w:w="1604" w:type="pct"/>
            <w:tcBorders>
              <w:top w:val="nil"/>
              <w:left w:val="nil"/>
              <w:bottom w:val="nil"/>
              <w:right w:val="nil"/>
            </w:tcBorders>
            <w:shd w:val="clear" w:color="auto" w:fill="auto"/>
            <w:noWrap/>
            <w:vAlign w:val="bottom"/>
            <w:hideMark/>
          </w:tcPr>
          <w:p w14:paraId="6EDD7E49" w14:textId="77777777" w:rsidR="00343E34" w:rsidRPr="00343E34" w:rsidRDefault="00343E34" w:rsidP="00343E34">
            <w:pPr>
              <w:spacing w:line="240" w:lineRule="auto"/>
              <w:rPr>
                <w:rFonts w:cs="Times New Roman"/>
                <w:b/>
                <w:bCs/>
              </w:rPr>
            </w:pPr>
            <w:r w:rsidRPr="00343E34">
              <w:rPr>
                <w:rFonts w:cs="Times New Roman"/>
                <w:b/>
                <w:bCs/>
              </w:rPr>
              <w:t>Rust Oct. 2012</w:t>
            </w:r>
            <w:r w:rsidRPr="00343E34">
              <w:rPr>
                <w:rFonts w:cs="Times New Roman"/>
                <w:b/>
                <w:bCs/>
                <w:vertAlign w:val="superscript"/>
              </w:rPr>
              <w:t>†</w:t>
            </w:r>
            <w:r w:rsidRPr="00343E34">
              <w:rPr>
                <w:rFonts w:cs="Times New Roman"/>
                <w:b/>
                <w:bCs/>
              </w:rPr>
              <w:t xml:space="preserve"> </w:t>
            </w:r>
          </w:p>
        </w:tc>
        <w:tc>
          <w:tcPr>
            <w:tcW w:w="420" w:type="pct"/>
            <w:tcBorders>
              <w:top w:val="nil"/>
              <w:left w:val="nil"/>
              <w:bottom w:val="nil"/>
              <w:right w:val="nil"/>
            </w:tcBorders>
            <w:shd w:val="clear" w:color="000000" w:fill="BFBFBF"/>
            <w:noWrap/>
            <w:vAlign w:val="bottom"/>
            <w:hideMark/>
          </w:tcPr>
          <w:p w14:paraId="42429B26" w14:textId="77777777" w:rsidR="00343E34" w:rsidRPr="00343E34" w:rsidRDefault="00343E34" w:rsidP="00343E34">
            <w:pPr>
              <w:spacing w:line="240" w:lineRule="auto"/>
              <w:jc w:val="right"/>
              <w:rPr>
                <w:rFonts w:cs="Times New Roman"/>
                <w:color w:val="000000"/>
              </w:rPr>
            </w:pPr>
            <w:r w:rsidRPr="00343E34">
              <w:rPr>
                <w:rFonts w:cs="Times New Roman"/>
                <w:color w:val="000000"/>
              </w:rPr>
              <w:t>-0.31</w:t>
            </w:r>
          </w:p>
        </w:tc>
        <w:tc>
          <w:tcPr>
            <w:tcW w:w="418" w:type="pct"/>
            <w:gridSpan w:val="2"/>
            <w:tcBorders>
              <w:top w:val="nil"/>
              <w:left w:val="nil"/>
              <w:bottom w:val="nil"/>
              <w:right w:val="nil"/>
            </w:tcBorders>
            <w:shd w:val="clear" w:color="000000" w:fill="BFBFBF"/>
            <w:noWrap/>
            <w:vAlign w:val="bottom"/>
            <w:hideMark/>
          </w:tcPr>
          <w:p w14:paraId="1046D88D" w14:textId="77777777" w:rsidR="00343E34" w:rsidRPr="00343E34" w:rsidRDefault="00343E34" w:rsidP="00343E34">
            <w:pPr>
              <w:spacing w:line="240" w:lineRule="auto"/>
              <w:rPr>
                <w:rFonts w:cs="Times New Roman"/>
                <w:color w:val="000000"/>
              </w:rPr>
            </w:pPr>
            <w:r w:rsidRPr="00343E34">
              <w:rPr>
                <w:rFonts w:cs="Times New Roman"/>
                <w:color w:val="000000"/>
              </w:rPr>
              <w:t>***</w:t>
            </w:r>
          </w:p>
        </w:tc>
        <w:tc>
          <w:tcPr>
            <w:tcW w:w="433" w:type="pct"/>
            <w:gridSpan w:val="2"/>
            <w:tcBorders>
              <w:top w:val="nil"/>
              <w:left w:val="nil"/>
              <w:bottom w:val="nil"/>
              <w:right w:val="nil"/>
            </w:tcBorders>
            <w:shd w:val="clear" w:color="auto" w:fill="auto"/>
            <w:noWrap/>
            <w:vAlign w:val="bottom"/>
            <w:hideMark/>
          </w:tcPr>
          <w:p w14:paraId="08EE413D" w14:textId="77777777" w:rsidR="00343E34" w:rsidRPr="00343E34" w:rsidRDefault="00343E34" w:rsidP="00343E34">
            <w:pPr>
              <w:spacing w:line="240" w:lineRule="auto"/>
              <w:rPr>
                <w:rFonts w:cs="Times New Roman"/>
                <w:color w:val="000000"/>
              </w:rPr>
            </w:pPr>
          </w:p>
        </w:tc>
        <w:tc>
          <w:tcPr>
            <w:tcW w:w="427" w:type="pct"/>
            <w:gridSpan w:val="2"/>
            <w:tcBorders>
              <w:top w:val="nil"/>
              <w:left w:val="nil"/>
              <w:bottom w:val="nil"/>
              <w:right w:val="nil"/>
            </w:tcBorders>
            <w:shd w:val="clear" w:color="auto" w:fill="auto"/>
            <w:noWrap/>
            <w:vAlign w:val="bottom"/>
            <w:hideMark/>
          </w:tcPr>
          <w:p w14:paraId="3749747D" w14:textId="77777777" w:rsidR="00343E34" w:rsidRPr="00343E34" w:rsidRDefault="00343E34" w:rsidP="00343E34">
            <w:pPr>
              <w:spacing w:line="240" w:lineRule="auto"/>
              <w:rPr>
                <w:rFonts w:cs="Times New Roman"/>
                <w:sz w:val="20"/>
                <w:szCs w:val="20"/>
              </w:rPr>
            </w:pPr>
          </w:p>
        </w:tc>
        <w:tc>
          <w:tcPr>
            <w:tcW w:w="419" w:type="pct"/>
            <w:tcBorders>
              <w:top w:val="nil"/>
              <w:left w:val="nil"/>
              <w:bottom w:val="nil"/>
              <w:right w:val="nil"/>
            </w:tcBorders>
            <w:shd w:val="clear" w:color="auto" w:fill="auto"/>
            <w:noWrap/>
            <w:vAlign w:val="bottom"/>
            <w:hideMark/>
          </w:tcPr>
          <w:p w14:paraId="1806A326" w14:textId="77777777" w:rsidR="00343E34" w:rsidRPr="00343E34" w:rsidRDefault="00343E34" w:rsidP="00343E34">
            <w:pPr>
              <w:spacing w:line="240" w:lineRule="auto"/>
              <w:jc w:val="right"/>
              <w:rPr>
                <w:rFonts w:cs="Times New Roman"/>
                <w:color w:val="000000"/>
              </w:rPr>
            </w:pPr>
            <w:r w:rsidRPr="00343E34">
              <w:rPr>
                <w:rFonts w:cs="Times New Roman"/>
                <w:color w:val="000000"/>
              </w:rPr>
              <w:t>-0.04</w:t>
            </w:r>
          </w:p>
        </w:tc>
        <w:tc>
          <w:tcPr>
            <w:tcW w:w="419" w:type="pct"/>
            <w:gridSpan w:val="2"/>
            <w:tcBorders>
              <w:top w:val="nil"/>
              <w:left w:val="nil"/>
              <w:bottom w:val="nil"/>
              <w:right w:val="nil"/>
            </w:tcBorders>
            <w:shd w:val="clear" w:color="auto" w:fill="auto"/>
            <w:noWrap/>
            <w:vAlign w:val="bottom"/>
            <w:hideMark/>
          </w:tcPr>
          <w:p w14:paraId="51ADA412" w14:textId="77777777" w:rsidR="00343E34" w:rsidRPr="00343E34" w:rsidRDefault="00343E34" w:rsidP="00343E34">
            <w:pPr>
              <w:spacing w:line="240" w:lineRule="auto"/>
              <w:jc w:val="right"/>
              <w:rPr>
                <w:rFonts w:cs="Times New Roman"/>
                <w:color w:val="000000"/>
              </w:rPr>
            </w:pPr>
          </w:p>
        </w:tc>
        <w:tc>
          <w:tcPr>
            <w:tcW w:w="432" w:type="pct"/>
            <w:gridSpan w:val="2"/>
            <w:tcBorders>
              <w:top w:val="nil"/>
              <w:left w:val="nil"/>
              <w:bottom w:val="nil"/>
              <w:right w:val="nil"/>
            </w:tcBorders>
            <w:shd w:val="clear" w:color="auto" w:fill="auto"/>
            <w:noWrap/>
            <w:vAlign w:val="bottom"/>
            <w:hideMark/>
          </w:tcPr>
          <w:p w14:paraId="0D7C3A62" w14:textId="77777777" w:rsidR="00343E34" w:rsidRPr="00343E34" w:rsidRDefault="00343E34" w:rsidP="00343E34">
            <w:pPr>
              <w:spacing w:line="240" w:lineRule="auto"/>
              <w:rPr>
                <w:rFonts w:cs="Times New Roman"/>
                <w:sz w:val="20"/>
                <w:szCs w:val="20"/>
              </w:rPr>
            </w:pPr>
          </w:p>
        </w:tc>
        <w:tc>
          <w:tcPr>
            <w:tcW w:w="428" w:type="pct"/>
            <w:gridSpan w:val="2"/>
            <w:tcBorders>
              <w:top w:val="nil"/>
              <w:left w:val="nil"/>
              <w:bottom w:val="nil"/>
              <w:right w:val="nil"/>
            </w:tcBorders>
            <w:shd w:val="clear" w:color="auto" w:fill="auto"/>
            <w:noWrap/>
            <w:vAlign w:val="bottom"/>
            <w:hideMark/>
          </w:tcPr>
          <w:p w14:paraId="71D86E08" w14:textId="77777777" w:rsidR="00343E34" w:rsidRPr="00343E34" w:rsidRDefault="00343E34" w:rsidP="00343E34">
            <w:pPr>
              <w:spacing w:line="240" w:lineRule="auto"/>
              <w:rPr>
                <w:rFonts w:cs="Times New Roman"/>
                <w:sz w:val="20"/>
                <w:szCs w:val="20"/>
              </w:rPr>
            </w:pPr>
          </w:p>
        </w:tc>
      </w:tr>
      <w:tr w:rsidR="00FA4834" w:rsidRPr="00343E34" w14:paraId="43AF9F6B" w14:textId="77777777" w:rsidTr="0015289A">
        <w:trPr>
          <w:trHeight w:val="315"/>
        </w:trPr>
        <w:tc>
          <w:tcPr>
            <w:tcW w:w="1604" w:type="pct"/>
            <w:tcBorders>
              <w:top w:val="nil"/>
              <w:left w:val="nil"/>
              <w:bottom w:val="nil"/>
              <w:right w:val="nil"/>
            </w:tcBorders>
            <w:shd w:val="clear" w:color="auto" w:fill="auto"/>
            <w:noWrap/>
            <w:vAlign w:val="bottom"/>
            <w:hideMark/>
          </w:tcPr>
          <w:p w14:paraId="47495BDB" w14:textId="77777777" w:rsidR="00343E34" w:rsidRPr="00343E34" w:rsidRDefault="00343E34" w:rsidP="00343E34">
            <w:pPr>
              <w:spacing w:line="240" w:lineRule="auto"/>
              <w:rPr>
                <w:rFonts w:cs="Times New Roman"/>
                <w:b/>
                <w:bCs/>
              </w:rPr>
            </w:pPr>
            <w:r w:rsidRPr="00343E34">
              <w:rPr>
                <w:rFonts w:cs="Times New Roman"/>
                <w:b/>
                <w:bCs/>
              </w:rPr>
              <w:t>Rust Aug. 2013</w:t>
            </w:r>
            <w:r w:rsidRPr="00343E34">
              <w:rPr>
                <w:rFonts w:cs="Times New Roman"/>
                <w:b/>
                <w:bCs/>
                <w:vertAlign w:val="superscript"/>
              </w:rPr>
              <w:t xml:space="preserve">† </w:t>
            </w:r>
          </w:p>
        </w:tc>
        <w:tc>
          <w:tcPr>
            <w:tcW w:w="420" w:type="pct"/>
            <w:tcBorders>
              <w:top w:val="nil"/>
              <w:left w:val="nil"/>
              <w:bottom w:val="nil"/>
              <w:right w:val="nil"/>
            </w:tcBorders>
            <w:shd w:val="clear" w:color="auto" w:fill="auto"/>
            <w:noWrap/>
            <w:vAlign w:val="bottom"/>
            <w:hideMark/>
          </w:tcPr>
          <w:p w14:paraId="6455B1EE" w14:textId="77777777" w:rsidR="00343E34" w:rsidRPr="00343E34" w:rsidRDefault="00343E34" w:rsidP="00343E34">
            <w:pPr>
              <w:spacing w:line="240" w:lineRule="auto"/>
              <w:jc w:val="right"/>
              <w:rPr>
                <w:rFonts w:cs="Times New Roman"/>
                <w:color w:val="000000"/>
              </w:rPr>
            </w:pPr>
            <w:r w:rsidRPr="00343E34">
              <w:rPr>
                <w:rFonts w:cs="Times New Roman"/>
                <w:color w:val="000000"/>
              </w:rPr>
              <w:t>0.16</w:t>
            </w:r>
          </w:p>
        </w:tc>
        <w:tc>
          <w:tcPr>
            <w:tcW w:w="418" w:type="pct"/>
            <w:gridSpan w:val="2"/>
            <w:tcBorders>
              <w:top w:val="nil"/>
              <w:left w:val="nil"/>
              <w:bottom w:val="nil"/>
              <w:right w:val="nil"/>
            </w:tcBorders>
            <w:shd w:val="clear" w:color="auto" w:fill="auto"/>
            <w:noWrap/>
            <w:vAlign w:val="bottom"/>
            <w:hideMark/>
          </w:tcPr>
          <w:p w14:paraId="4697DB57" w14:textId="77777777" w:rsidR="00343E34" w:rsidRPr="00343E34" w:rsidRDefault="00343E34" w:rsidP="00343E34">
            <w:pPr>
              <w:spacing w:line="240" w:lineRule="auto"/>
              <w:rPr>
                <w:rFonts w:cs="Times New Roman"/>
                <w:color w:val="000000"/>
              </w:rPr>
            </w:pPr>
            <w:r w:rsidRPr="00343E34">
              <w:rPr>
                <w:rFonts w:cs="Times New Roman"/>
                <w:color w:val="000000"/>
              </w:rPr>
              <w:t>***</w:t>
            </w:r>
          </w:p>
        </w:tc>
        <w:tc>
          <w:tcPr>
            <w:tcW w:w="433" w:type="pct"/>
            <w:gridSpan w:val="2"/>
            <w:tcBorders>
              <w:top w:val="nil"/>
              <w:left w:val="nil"/>
              <w:bottom w:val="nil"/>
              <w:right w:val="nil"/>
            </w:tcBorders>
            <w:shd w:val="clear" w:color="auto" w:fill="auto"/>
            <w:noWrap/>
            <w:vAlign w:val="bottom"/>
            <w:hideMark/>
          </w:tcPr>
          <w:p w14:paraId="4AC67751" w14:textId="77777777" w:rsidR="00343E34" w:rsidRPr="00343E34" w:rsidRDefault="00343E34" w:rsidP="00343E34">
            <w:pPr>
              <w:spacing w:line="240" w:lineRule="auto"/>
              <w:rPr>
                <w:rFonts w:cs="Times New Roman"/>
                <w:color w:val="000000"/>
              </w:rPr>
            </w:pPr>
          </w:p>
        </w:tc>
        <w:tc>
          <w:tcPr>
            <w:tcW w:w="427" w:type="pct"/>
            <w:gridSpan w:val="2"/>
            <w:tcBorders>
              <w:top w:val="nil"/>
              <w:left w:val="nil"/>
              <w:bottom w:val="nil"/>
              <w:right w:val="nil"/>
            </w:tcBorders>
            <w:shd w:val="clear" w:color="auto" w:fill="auto"/>
            <w:noWrap/>
            <w:vAlign w:val="bottom"/>
            <w:hideMark/>
          </w:tcPr>
          <w:p w14:paraId="3ADC28AE" w14:textId="77777777" w:rsidR="00343E34" w:rsidRPr="00343E34" w:rsidRDefault="00343E34" w:rsidP="00343E34">
            <w:pPr>
              <w:spacing w:line="240" w:lineRule="auto"/>
              <w:rPr>
                <w:rFonts w:cs="Times New Roman"/>
                <w:sz w:val="20"/>
                <w:szCs w:val="20"/>
              </w:rPr>
            </w:pPr>
          </w:p>
        </w:tc>
        <w:tc>
          <w:tcPr>
            <w:tcW w:w="419" w:type="pct"/>
            <w:tcBorders>
              <w:top w:val="nil"/>
              <w:left w:val="nil"/>
              <w:bottom w:val="nil"/>
              <w:right w:val="nil"/>
            </w:tcBorders>
            <w:shd w:val="clear" w:color="auto" w:fill="auto"/>
            <w:noWrap/>
            <w:vAlign w:val="bottom"/>
            <w:hideMark/>
          </w:tcPr>
          <w:p w14:paraId="2B117547" w14:textId="77777777" w:rsidR="00343E34" w:rsidRPr="00343E34" w:rsidRDefault="00343E34" w:rsidP="00343E34">
            <w:pPr>
              <w:spacing w:line="240" w:lineRule="auto"/>
              <w:jc w:val="right"/>
              <w:rPr>
                <w:rFonts w:cs="Times New Roman"/>
                <w:color w:val="000000"/>
              </w:rPr>
            </w:pPr>
            <w:r w:rsidRPr="00343E34">
              <w:rPr>
                <w:rFonts w:cs="Times New Roman"/>
                <w:color w:val="000000"/>
              </w:rPr>
              <w:t>-0.19</w:t>
            </w:r>
          </w:p>
        </w:tc>
        <w:tc>
          <w:tcPr>
            <w:tcW w:w="419" w:type="pct"/>
            <w:gridSpan w:val="2"/>
            <w:tcBorders>
              <w:top w:val="nil"/>
              <w:left w:val="nil"/>
              <w:bottom w:val="nil"/>
              <w:right w:val="nil"/>
            </w:tcBorders>
            <w:shd w:val="clear" w:color="auto" w:fill="auto"/>
            <w:noWrap/>
            <w:vAlign w:val="bottom"/>
            <w:hideMark/>
          </w:tcPr>
          <w:p w14:paraId="57CCE501" w14:textId="77777777" w:rsidR="00343E34" w:rsidRPr="00343E34" w:rsidRDefault="00343E34" w:rsidP="00343E34">
            <w:pPr>
              <w:spacing w:line="240" w:lineRule="auto"/>
              <w:rPr>
                <w:rFonts w:cs="Times New Roman"/>
                <w:color w:val="000000"/>
              </w:rPr>
            </w:pPr>
            <w:r w:rsidRPr="00343E34">
              <w:rPr>
                <w:rFonts w:cs="Times New Roman"/>
                <w:color w:val="000000"/>
              </w:rPr>
              <w:t>***</w:t>
            </w:r>
          </w:p>
        </w:tc>
        <w:tc>
          <w:tcPr>
            <w:tcW w:w="432" w:type="pct"/>
            <w:gridSpan w:val="2"/>
            <w:tcBorders>
              <w:top w:val="nil"/>
              <w:left w:val="nil"/>
              <w:bottom w:val="nil"/>
              <w:right w:val="nil"/>
            </w:tcBorders>
            <w:shd w:val="clear" w:color="auto" w:fill="auto"/>
            <w:noWrap/>
            <w:vAlign w:val="bottom"/>
            <w:hideMark/>
          </w:tcPr>
          <w:p w14:paraId="6A7A4AC0" w14:textId="77777777" w:rsidR="00343E34" w:rsidRPr="00343E34" w:rsidRDefault="00343E34" w:rsidP="00343E34">
            <w:pPr>
              <w:spacing w:line="240" w:lineRule="auto"/>
              <w:rPr>
                <w:rFonts w:cs="Times New Roman"/>
                <w:color w:val="000000"/>
              </w:rPr>
            </w:pPr>
          </w:p>
        </w:tc>
        <w:tc>
          <w:tcPr>
            <w:tcW w:w="428" w:type="pct"/>
            <w:gridSpan w:val="2"/>
            <w:tcBorders>
              <w:top w:val="nil"/>
              <w:left w:val="nil"/>
              <w:bottom w:val="nil"/>
              <w:right w:val="nil"/>
            </w:tcBorders>
            <w:shd w:val="clear" w:color="auto" w:fill="auto"/>
            <w:noWrap/>
            <w:vAlign w:val="bottom"/>
            <w:hideMark/>
          </w:tcPr>
          <w:p w14:paraId="70929D76" w14:textId="77777777" w:rsidR="00343E34" w:rsidRPr="00343E34" w:rsidRDefault="00343E34" w:rsidP="00343E34">
            <w:pPr>
              <w:spacing w:line="240" w:lineRule="auto"/>
              <w:rPr>
                <w:rFonts w:cs="Times New Roman"/>
                <w:sz w:val="20"/>
                <w:szCs w:val="20"/>
              </w:rPr>
            </w:pPr>
          </w:p>
        </w:tc>
      </w:tr>
      <w:tr w:rsidR="00FA4834" w:rsidRPr="00343E34" w14:paraId="7AD91625" w14:textId="77777777" w:rsidTr="0015289A">
        <w:trPr>
          <w:trHeight w:val="315"/>
        </w:trPr>
        <w:tc>
          <w:tcPr>
            <w:tcW w:w="1604" w:type="pct"/>
            <w:tcBorders>
              <w:top w:val="nil"/>
              <w:left w:val="nil"/>
              <w:bottom w:val="nil"/>
              <w:right w:val="nil"/>
            </w:tcBorders>
            <w:shd w:val="clear" w:color="auto" w:fill="auto"/>
            <w:noWrap/>
            <w:vAlign w:val="bottom"/>
            <w:hideMark/>
          </w:tcPr>
          <w:p w14:paraId="4383A6E9" w14:textId="77777777" w:rsidR="00343E34" w:rsidRPr="00343E34" w:rsidRDefault="00343E34" w:rsidP="00343E34">
            <w:pPr>
              <w:spacing w:line="240" w:lineRule="auto"/>
              <w:rPr>
                <w:rFonts w:cs="Times New Roman"/>
                <w:b/>
                <w:bCs/>
                <w:color w:val="000000"/>
              </w:rPr>
            </w:pPr>
            <w:r w:rsidRPr="00343E34">
              <w:rPr>
                <w:rFonts w:cs="Times New Roman"/>
                <w:b/>
                <w:bCs/>
                <w:color w:val="000000"/>
              </w:rPr>
              <w:t>Fall Height (cm) 2012</w:t>
            </w:r>
          </w:p>
        </w:tc>
        <w:tc>
          <w:tcPr>
            <w:tcW w:w="420" w:type="pct"/>
            <w:tcBorders>
              <w:top w:val="nil"/>
              <w:left w:val="nil"/>
              <w:bottom w:val="nil"/>
              <w:right w:val="nil"/>
            </w:tcBorders>
            <w:shd w:val="clear" w:color="000000" w:fill="808080"/>
            <w:noWrap/>
            <w:vAlign w:val="bottom"/>
            <w:hideMark/>
          </w:tcPr>
          <w:p w14:paraId="2CA706B9" w14:textId="77777777" w:rsidR="00343E34" w:rsidRPr="00343E34" w:rsidRDefault="00343E34" w:rsidP="00343E34">
            <w:pPr>
              <w:spacing w:line="240" w:lineRule="auto"/>
              <w:jc w:val="right"/>
              <w:rPr>
                <w:rFonts w:cs="Times New Roman"/>
                <w:color w:val="000000"/>
              </w:rPr>
            </w:pPr>
            <w:r w:rsidRPr="00343E34">
              <w:rPr>
                <w:rFonts w:cs="Times New Roman"/>
                <w:color w:val="000000"/>
              </w:rPr>
              <w:t>0.75</w:t>
            </w:r>
          </w:p>
        </w:tc>
        <w:tc>
          <w:tcPr>
            <w:tcW w:w="418" w:type="pct"/>
            <w:gridSpan w:val="2"/>
            <w:tcBorders>
              <w:top w:val="nil"/>
              <w:left w:val="nil"/>
              <w:bottom w:val="nil"/>
              <w:right w:val="nil"/>
            </w:tcBorders>
            <w:shd w:val="clear" w:color="000000" w:fill="808080"/>
            <w:noWrap/>
            <w:vAlign w:val="bottom"/>
            <w:hideMark/>
          </w:tcPr>
          <w:p w14:paraId="1EB9A506" w14:textId="77777777" w:rsidR="00343E34" w:rsidRPr="00343E34" w:rsidRDefault="00343E34" w:rsidP="00343E34">
            <w:pPr>
              <w:spacing w:line="240" w:lineRule="auto"/>
              <w:rPr>
                <w:rFonts w:cs="Times New Roman"/>
                <w:color w:val="000000"/>
              </w:rPr>
            </w:pPr>
            <w:r w:rsidRPr="00343E34">
              <w:rPr>
                <w:rFonts w:cs="Times New Roman"/>
                <w:color w:val="000000"/>
              </w:rPr>
              <w:t>***</w:t>
            </w:r>
          </w:p>
        </w:tc>
        <w:tc>
          <w:tcPr>
            <w:tcW w:w="433" w:type="pct"/>
            <w:gridSpan w:val="2"/>
            <w:tcBorders>
              <w:top w:val="nil"/>
              <w:left w:val="nil"/>
              <w:bottom w:val="nil"/>
              <w:right w:val="nil"/>
            </w:tcBorders>
            <w:shd w:val="clear" w:color="auto" w:fill="auto"/>
            <w:noWrap/>
            <w:vAlign w:val="bottom"/>
            <w:hideMark/>
          </w:tcPr>
          <w:p w14:paraId="52FCAB66" w14:textId="77777777" w:rsidR="00343E34" w:rsidRPr="00343E34" w:rsidRDefault="00343E34" w:rsidP="00343E34">
            <w:pPr>
              <w:spacing w:line="240" w:lineRule="auto"/>
              <w:rPr>
                <w:rFonts w:cs="Times New Roman"/>
                <w:color w:val="000000"/>
              </w:rPr>
            </w:pPr>
          </w:p>
        </w:tc>
        <w:tc>
          <w:tcPr>
            <w:tcW w:w="427" w:type="pct"/>
            <w:gridSpan w:val="2"/>
            <w:tcBorders>
              <w:top w:val="nil"/>
              <w:left w:val="nil"/>
              <w:bottom w:val="nil"/>
              <w:right w:val="nil"/>
            </w:tcBorders>
            <w:shd w:val="clear" w:color="auto" w:fill="auto"/>
            <w:noWrap/>
            <w:vAlign w:val="bottom"/>
            <w:hideMark/>
          </w:tcPr>
          <w:p w14:paraId="42484830" w14:textId="77777777" w:rsidR="00343E34" w:rsidRPr="00343E34" w:rsidRDefault="00343E34" w:rsidP="00343E34">
            <w:pPr>
              <w:spacing w:line="240" w:lineRule="auto"/>
              <w:rPr>
                <w:rFonts w:cs="Times New Roman"/>
                <w:sz w:val="20"/>
                <w:szCs w:val="20"/>
              </w:rPr>
            </w:pPr>
          </w:p>
        </w:tc>
        <w:tc>
          <w:tcPr>
            <w:tcW w:w="419" w:type="pct"/>
            <w:tcBorders>
              <w:top w:val="nil"/>
              <w:left w:val="nil"/>
              <w:bottom w:val="nil"/>
              <w:right w:val="nil"/>
            </w:tcBorders>
            <w:shd w:val="clear" w:color="000000" w:fill="BFBFBF"/>
            <w:noWrap/>
            <w:vAlign w:val="bottom"/>
            <w:hideMark/>
          </w:tcPr>
          <w:p w14:paraId="6A0634FF" w14:textId="77777777" w:rsidR="00343E34" w:rsidRPr="00343E34" w:rsidRDefault="00343E34" w:rsidP="00343E34">
            <w:pPr>
              <w:spacing w:line="240" w:lineRule="auto"/>
              <w:jc w:val="right"/>
              <w:rPr>
                <w:rFonts w:cs="Times New Roman"/>
                <w:color w:val="000000"/>
              </w:rPr>
            </w:pPr>
            <w:r w:rsidRPr="00343E34">
              <w:rPr>
                <w:rFonts w:cs="Times New Roman"/>
                <w:color w:val="000000"/>
              </w:rPr>
              <w:t>-0.56</w:t>
            </w:r>
          </w:p>
        </w:tc>
        <w:tc>
          <w:tcPr>
            <w:tcW w:w="419" w:type="pct"/>
            <w:gridSpan w:val="2"/>
            <w:tcBorders>
              <w:top w:val="nil"/>
              <w:left w:val="nil"/>
              <w:bottom w:val="nil"/>
              <w:right w:val="nil"/>
            </w:tcBorders>
            <w:shd w:val="clear" w:color="000000" w:fill="BFBFBF"/>
            <w:noWrap/>
            <w:vAlign w:val="bottom"/>
            <w:hideMark/>
          </w:tcPr>
          <w:p w14:paraId="0B2C197E" w14:textId="77777777" w:rsidR="00343E34" w:rsidRPr="00343E34" w:rsidRDefault="00343E34" w:rsidP="00343E34">
            <w:pPr>
              <w:spacing w:line="240" w:lineRule="auto"/>
              <w:rPr>
                <w:rFonts w:cs="Times New Roman"/>
                <w:color w:val="000000"/>
              </w:rPr>
            </w:pPr>
            <w:r w:rsidRPr="00343E34">
              <w:rPr>
                <w:rFonts w:cs="Times New Roman"/>
                <w:color w:val="000000"/>
              </w:rPr>
              <w:t>***</w:t>
            </w:r>
          </w:p>
        </w:tc>
        <w:tc>
          <w:tcPr>
            <w:tcW w:w="432" w:type="pct"/>
            <w:gridSpan w:val="2"/>
            <w:tcBorders>
              <w:top w:val="nil"/>
              <w:left w:val="nil"/>
              <w:bottom w:val="nil"/>
              <w:right w:val="nil"/>
            </w:tcBorders>
            <w:shd w:val="clear" w:color="auto" w:fill="auto"/>
            <w:noWrap/>
            <w:vAlign w:val="bottom"/>
            <w:hideMark/>
          </w:tcPr>
          <w:p w14:paraId="35DABE1B" w14:textId="77777777" w:rsidR="00343E34" w:rsidRPr="00343E34" w:rsidRDefault="00343E34" w:rsidP="00343E34">
            <w:pPr>
              <w:spacing w:line="240" w:lineRule="auto"/>
              <w:rPr>
                <w:rFonts w:cs="Times New Roman"/>
                <w:color w:val="000000"/>
              </w:rPr>
            </w:pPr>
          </w:p>
        </w:tc>
        <w:tc>
          <w:tcPr>
            <w:tcW w:w="428" w:type="pct"/>
            <w:gridSpan w:val="2"/>
            <w:tcBorders>
              <w:top w:val="nil"/>
              <w:left w:val="nil"/>
              <w:bottom w:val="nil"/>
              <w:right w:val="nil"/>
            </w:tcBorders>
            <w:shd w:val="clear" w:color="auto" w:fill="auto"/>
            <w:noWrap/>
            <w:vAlign w:val="bottom"/>
            <w:hideMark/>
          </w:tcPr>
          <w:p w14:paraId="23BBE8A7" w14:textId="77777777" w:rsidR="00343E34" w:rsidRPr="00343E34" w:rsidRDefault="00343E34" w:rsidP="00343E34">
            <w:pPr>
              <w:spacing w:line="240" w:lineRule="auto"/>
              <w:rPr>
                <w:rFonts w:cs="Times New Roman"/>
                <w:sz w:val="20"/>
                <w:szCs w:val="20"/>
              </w:rPr>
            </w:pPr>
          </w:p>
        </w:tc>
      </w:tr>
      <w:tr w:rsidR="00FA4834" w:rsidRPr="00343E34" w14:paraId="29E9FC23" w14:textId="77777777" w:rsidTr="0015289A">
        <w:trPr>
          <w:trHeight w:val="315"/>
        </w:trPr>
        <w:tc>
          <w:tcPr>
            <w:tcW w:w="1604" w:type="pct"/>
            <w:tcBorders>
              <w:top w:val="nil"/>
              <w:left w:val="nil"/>
              <w:bottom w:val="nil"/>
              <w:right w:val="nil"/>
            </w:tcBorders>
            <w:shd w:val="clear" w:color="auto" w:fill="auto"/>
            <w:noWrap/>
            <w:vAlign w:val="bottom"/>
            <w:hideMark/>
          </w:tcPr>
          <w:p w14:paraId="75339495" w14:textId="77777777" w:rsidR="00343E34" w:rsidRPr="00343E34" w:rsidRDefault="00343E34" w:rsidP="00343E34">
            <w:pPr>
              <w:spacing w:line="240" w:lineRule="auto"/>
              <w:rPr>
                <w:rFonts w:cs="Times New Roman"/>
                <w:b/>
                <w:bCs/>
                <w:color w:val="000000"/>
              </w:rPr>
            </w:pPr>
            <w:r w:rsidRPr="00343E34">
              <w:rPr>
                <w:rFonts w:cs="Times New Roman"/>
                <w:b/>
                <w:bCs/>
                <w:color w:val="000000"/>
              </w:rPr>
              <w:t>Fall Height (cm) 2013</w:t>
            </w:r>
          </w:p>
        </w:tc>
        <w:tc>
          <w:tcPr>
            <w:tcW w:w="420" w:type="pct"/>
            <w:tcBorders>
              <w:top w:val="nil"/>
              <w:left w:val="nil"/>
              <w:bottom w:val="nil"/>
              <w:right w:val="nil"/>
            </w:tcBorders>
            <w:shd w:val="clear" w:color="000000" w:fill="808080"/>
            <w:noWrap/>
            <w:vAlign w:val="bottom"/>
            <w:hideMark/>
          </w:tcPr>
          <w:p w14:paraId="56D7FDCE" w14:textId="77777777" w:rsidR="00343E34" w:rsidRPr="00343E34" w:rsidRDefault="00343E34" w:rsidP="00343E34">
            <w:pPr>
              <w:spacing w:line="240" w:lineRule="auto"/>
              <w:jc w:val="right"/>
              <w:rPr>
                <w:rFonts w:cs="Times New Roman"/>
                <w:color w:val="000000"/>
              </w:rPr>
            </w:pPr>
            <w:r w:rsidRPr="00343E34">
              <w:rPr>
                <w:rFonts w:cs="Times New Roman"/>
                <w:color w:val="000000"/>
              </w:rPr>
              <w:t>0.73</w:t>
            </w:r>
          </w:p>
        </w:tc>
        <w:tc>
          <w:tcPr>
            <w:tcW w:w="418" w:type="pct"/>
            <w:gridSpan w:val="2"/>
            <w:tcBorders>
              <w:top w:val="nil"/>
              <w:left w:val="nil"/>
              <w:bottom w:val="nil"/>
              <w:right w:val="nil"/>
            </w:tcBorders>
            <w:shd w:val="clear" w:color="000000" w:fill="808080"/>
            <w:noWrap/>
            <w:vAlign w:val="bottom"/>
            <w:hideMark/>
          </w:tcPr>
          <w:p w14:paraId="3730B468" w14:textId="77777777" w:rsidR="00343E34" w:rsidRPr="00343E34" w:rsidRDefault="00343E34" w:rsidP="00343E34">
            <w:pPr>
              <w:spacing w:line="240" w:lineRule="auto"/>
              <w:rPr>
                <w:rFonts w:cs="Times New Roman"/>
                <w:color w:val="000000"/>
              </w:rPr>
            </w:pPr>
            <w:r w:rsidRPr="00343E34">
              <w:rPr>
                <w:rFonts w:cs="Times New Roman"/>
                <w:color w:val="000000"/>
              </w:rPr>
              <w:t>***</w:t>
            </w:r>
          </w:p>
        </w:tc>
        <w:tc>
          <w:tcPr>
            <w:tcW w:w="433" w:type="pct"/>
            <w:gridSpan w:val="2"/>
            <w:tcBorders>
              <w:top w:val="nil"/>
              <w:left w:val="nil"/>
              <w:bottom w:val="nil"/>
              <w:right w:val="nil"/>
            </w:tcBorders>
            <w:shd w:val="clear" w:color="auto" w:fill="auto"/>
            <w:noWrap/>
            <w:vAlign w:val="bottom"/>
            <w:hideMark/>
          </w:tcPr>
          <w:p w14:paraId="6285DB30" w14:textId="77777777" w:rsidR="00343E34" w:rsidRPr="00343E34" w:rsidRDefault="00343E34" w:rsidP="00343E34">
            <w:pPr>
              <w:spacing w:line="240" w:lineRule="auto"/>
              <w:rPr>
                <w:rFonts w:cs="Times New Roman"/>
                <w:color w:val="000000"/>
              </w:rPr>
            </w:pPr>
          </w:p>
        </w:tc>
        <w:tc>
          <w:tcPr>
            <w:tcW w:w="427" w:type="pct"/>
            <w:gridSpan w:val="2"/>
            <w:tcBorders>
              <w:top w:val="nil"/>
              <w:left w:val="nil"/>
              <w:bottom w:val="nil"/>
              <w:right w:val="nil"/>
            </w:tcBorders>
            <w:shd w:val="clear" w:color="auto" w:fill="auto"/>
            <w:noWrap/>
            <w:vAlign w:val="bottom"/>
            <w:hideMark/>
          </w:tcPr>
          <w:p w14:paraId="44369F5F" w14:textId="77777777" w:rsidR="00343E34" w:rsidRPr="00343E34" w:rsidRDefault="00343E34" w:rsidP="00343E34">
            <w:pPr>
              <w:spacing w:line="240" w:lineRule="auto"/>
              <w:rPr>
                <w:rFonts w:cs="Times New Roman"/>
                <w:sz w:val="20"/>
                <w:szCs w:val="20"/>
              </w:rPr>
            </w:pPr>
          </w:p>
        </w:tc>
        <w:tc>
          <w:tcPr>
            <w:tcW w:w="419" w:type="pct"/>
            <w:tcBorders>
              <w:top w:val="nil"/>
              <w:left w:val="nil"/>
              <w:bottom w:val="nil"/>
              <w:right w:val="nil"/>
            </w:tcBorders>
            <w:shd w:val="clear" w:color="000000" w:fill="BFBFBF"/>
            <w:noWrap/>
            <w:vAlign w:val="bottom"/>
            <w:hideMark/>
          </w:tcPr>
          <w:p w14:paraId="7E8CDEAB" w14:textId="77777777" w:rsidR="00343E34" w:rsidRPr="00343E34" w:rsidRDefault="00343E34" w:rsidP="00343E34">
            <w:pPr>
              <w:spacing w:line="240" w:lineRule="auto"/>
              <w:jc w:val="right"/>
              <w:rPr>
                <w:rFonts w:cs="Times New Roman"/>
                <w:color w:val="000000"/>
              </w:rPr>
            </w:pPr>
            <w:r w:rsidRPr="00343E34">
              <w:rPr>
                <w:rFonts w:cs="Times New Roman"/>
                <w:color w:val="000000"/>
              </w:rPr>
              <w:t>-0.34</w:t>
            </w:r>
          </w:p>
        </w:tc>
        <w:tc>
          <w:tcPr>
            <w:tcW w:w="419" w:type="pct"/>
            <w:gridSpan w:val="2"/>
            <w:tcBorders>
              <w:top w:val="nil"/>
              <w:left w:val="nil"/>
              <w:bottom w:val="nil"/>
              <w:right w:val="nil"/>
            </w:tcBorders>
            <w:shd w:val="clear" w:color="000000" w:fill="BFBFBF"/>
            <w:noWrap/>
            <w:vAlign w:val="bottom"/>
            <w:hideMark/>
          </w:tcPr>
          <w:p w14:paraId="7D473A2E" w14:textId="77777777" w:rsidR="00343E34" w:rsidRPr="00343E34" w:rsidRDefault="00343E34" w:rsidP="00343E34">
            <w:pPr>
              <w:spacing w:line="240" w:lineRule="auto"/>
              <w:rPr>
                <w:rFonts w:cs="Times New Roman"/>
                <w:color w:val="000000"/>
              </w:rPr>
            </w:pPr>
            <w:r w:rsidRPr="00343E34">
              <w:rPr>
                <w:rFonts w:cs="Times New Roman"/>
                <w:color w:val="000000"/>
              </w:rPr>
              <w:t>***</w:t>
            </w:r>
          </w:p>
        </w:tc>
        <w:tc>
          <w:tcPr>
            <w:tcW w:w="432" w:type="pct"/>
            <w:gridSpan w:val="2"/>
            <w:tcBorders>
              <w:top w:val="nil"/>
              <w:left w:val="nil"/>
              <w:bottom w:val="nil"/>
              <w:right w:val="nil"/>
            </w:tcBorders>
            <w:shd w:val="clear" w:color="auto" w:fill="auto"/>
            <w:noWrap/>
            <w:vAlign w:val="bottom"/>
            <w:hideMark/>
          </w:tcPr>
          <w:p w14:paraId="309004DA" w14:textId="77777777" w:rsidR="00343E34" w:rsidRPr="00343E34" w:rsidRDefault="00343E34" w:rsidP="00343E34">
            <w:pPr>
              <w:spacing w:line="240" w:lineRule="auto"/>
              <w:rPr>
                <w:rFonts w:cs="Times New Roman"/>
                <w:color w:val="000000"/>
              </w:rPr>
            </w:pPr>
          </w:p>
        </w:tc>
        <w:tc>
          <w:tcPr>
            <w:tcW w:w="428" w:type="pct"/>
            <w:gridSpan w:val="2"/>
            <w:tcBorders>
              <w:top w:val="nil"/>
              <w:left w:val="nil"/>
              <w:bottom w:val="nil"/>
              <w:right w:val="nil"/>
            </w:tcBorders>
            <w:shd w:val="clear" w:color="auto" w:fill="auto"/>
            <w:noWrap/>
            <w:vAlign w:val="bottom"/>
            <w:hideMark/>
          </w:tcPr>
          <w:p w14:paraId="2016E8B4" w14:textId="77777777" w:rsidR="00343E34" w:rsidRPr="00343E34" w:rsidRDefault="00343E34" w:rsidP="00343E34">
            <w:pPr>
              <w:spacing w:line="240" w:lineRule="auto"/>
              <w:rPr>
                <w:rFonts w:cs="Times New Roman"/>
                <w:sz w:val="20"/>
                <w:szCs w:val="20"/>
              </w:rPr>
            </w:pPr>
          </w:p>
        </w:tc>
      </w:tr>
      <w:tr w:rsidR="00FA4834" w:rsidRPr="00343E34" w14:paraId="114C2D91" w14:textId="77777777" w:rsidTr="0015289A">
        <w:trPr>
          <w:trHeight w:val="315"/>
        </w:trPr>
        <w:tc>
          <w:tcPr>
            <w:tcW w:w="1604" w:type="pct"/>
            <w:tcBorders>
              <w:top w:val="nil"/>
              <w:left w:val="nil"/>
              <w:bottom w:val="nil"/>
              <w:right w:val="nil"/>
            </w:tcBorders>
            <w:shd w:val="clear" w:color="auto" w:fill="auto"/>
            <w:noWrap/>
            <w:vAlign w:val="bottom"/>
            <w:hideMark/>
          </w:tcPr>
          <w:p w14:paraId="6556DB8F" w14:textId="77777777" w:rsidR="00FA4834" w:rsidRDefault="00343E34" w:rsidP="00343E34">
            <w:pPr>
              <w:spacing w:line="240" w:lineRule="auto"/>
              <w:rPr>
                <w:rFonts w:cs="Times New Roman"/>
                <w:b/>
                <w:bCs/>
                <w:color w:val="000000"/>
              </w:rPr>
            </w:pPr>
            <w:r w:rsidRPr="00343E34">
              <w:rPr>
                <w:rFonts w:cs="Times New Roman"/>
                <w:b/>
                <w:bCs/>
                <w:color w:val="000000"/>
              </w:rPr>
              <w:t xml:space="preserve">Biomass Yield </w:t>
            </w:r>
          </w:p>
          <w:p w14:paraId="107A8DC7" w14:textId="5031EB18" w:rsidR="00343E34" w:rsidRPr="00343E34" w:rsidRDefault="00343E34" w:rsidP="00343E34">
            <w:pPr>
              <w:spacing w:line="240" w:lineRule="auto"/>
              <w:rPr>
                <w:rFonts w:cs="Times New Roman"/>
                <w:b/>
                <w:bCs/>
                <w:color w:val="000000"/>
              </w:rPr>
            </w:pPr>
            <w:r w:rsidRPr="00343E34">
              <w:rPr>
                <w:rFonts w:cs="Times New Roman"/>
                <w:b/>
                <w:bCs/>
                <w:color w:val="000000"/>
              </w:rPr>
              <w:t>(g plant</w:t>
            </w:r>
            <w:r w:rsidRPr="00343E34">
              <w:rPr>
                <w:rFonts w:cs="Times New Roman"/>
                <w:b/>
                <w:bCs/>
                <w:color w:val="000000"/>
                <w:vertAlign w:val="superscript"/>
              </w:rPr>
              <w:t>-1</w:t>
            </w:r>
            <w:r w:rsidRPr="00343E34">
              <w:rPr>
                <w:rFonts w:cs="Times New Roman"/>
                <w:b/>
                <w:bCs/>
                <w:color w:val="000000"/>
              </w:rPr>
              <w:t>) 2012</w:t>
            </w:r>
          </w:p>
        </w:tc>
        <w:tc>
          <w:tcPr>
            <w:tcW w:w="420" w:type="pct"/>
            <w:tcBorders>
              <w:top w:val="nil"/>
              <w:left w:val="nil"/>
              <w:bottom w:val="nil"/>
              <w:right w:val="nil"/>
            </w:tcBorders>
            <w:shd w:val="clear" w:color="auto" w:fill="auto"/>
            <w:noWrap/>
            <w:vAlign w:val="bottom"/>
            <w:hideMark/>
          </w:tcPr>
          <w:p w14:paraId="489DD493" w14:textId="77777777" w:rsidR="00343E34" w:rsidRPr="00343E34" w:rsidRDefault="00343E34" w:rsidP="00343E34">
            <w:pPr>
              <w:spacing w:line="240" w:lineRule="auto"/>
              <w:rPr>
                <w:rFonts w:cs="Times New Roman"/>
                <w:b/>
                <w:bCs/>
                <w:color w:val="000000"/>
              </w:rPr>
            </w:pPr>
          </w:p>
        </w:tc>
        <w:tc>
          <w:tcPr>
            <w:tcW w:w="418" w:type="pct"/>
            <w:gridSpan w:val="2"/>
            <w:tcBorders>
              <w:top w:val="nil"/>
              <w:left w:val="nil"/>
              <w:bottom w:val="nil"/>
              <w:right w:val="nil"/>
            </w:tcBorders>
            <w:shd w:val="clear" w:color="auto" w:fill="auto"/>
            <w:noWrap/>
            <w:vAlign w:val="bottom"/>
            <w:hideMark/>
          </w:tcPr>
          <w:p w14:paraId="69F0D79A" w14:textId="77777777" w:rsidR="00343E34" w:rsidRPr="00343E34" w:rsidRDefault="00343E34" w:rsidP="00343E34">
            <w:pPr>
              <w:spacing w:line="240" w:lineRule="auto"/>
              <w:rPr>
                <w:rFonts w:cs="Times New Roman"/>
                <w:sz w:val="20"/>
                <w:szCs w:val="20"/>
              </w:rPr>
            </w:pPr>
          </w:p>
        </w:tc>
        <w:tc>
          <w:tcPr>
            <w:tcW w:w="433" w:type="pct"/>
            <w:gridSpan w:val="2"/>
            <w:tcBorders>
              <w:top w:val="nil"/>
              <w:left w:val="nil"/>
              <w:bottom w:val="nil"/>
              <w:right w:val="nil"/>
            </w:tcBorders>
            <w:shd w:val="clear" w:color="auto" w:fill="auto"/>
            <w:noWrap/>
            <w:vAlign w:val="bottom"/>
            <w:hideMark/>
          </w:tcPr>
          <w:p w14:paraId="578C24BB" w14:textId="77777777" w:rsidR="00343E34" w:rsidRPr="00343E34" w:rsidRDefault="00343E34" w:rsidP="00343E34">
            <w:pPr>
              <w:spacing w:line="240" w:lineRule="auto"/>
              <w:rPr>
                <w:rFonts w:cs="Times New Roman"/>
                <w:sz w:val="20"/>
                <w:szCs w:val="20"/>
              </w:rPr>
            </w:pPr>
          </w:p>
        </w:tc>
        <w:tc>
          <w:tcPr>
            <w:tcW w:w="427" w:type="pct"/>
            <w:gridSpan w:val="2"/>
            <w:tcBorders>
              <w:top w:val="nil"/>
              <w:left w:val="nil"/>
              <w:bottom w:val="nil"/>
              <w:right w:val="nil"/>
            </w:tcBorders>
            <w:shd w:val="clear" w:color="auto" w:fill="auto"/>
            <w:noWrap/>
            <w:vAlign w:val="bottom"/>
            <w:hideMark/>
          </w:tcPr>
          <w:p w14:paraId="366A0874" w14:textId="77777777" w:rsidR="00343E34" w:rsidRPr="00343E34" w:rsidRDefault="00343E34" w:rsidP="00343E34">
            <w:pPr>
              <w:spacing w:line="240" w:lineRule="auto"/>
              <w:rPr>
                <w:rFonts w:cs="Times New Roman"/>
                <w:sz w:val="20"/>
                <w:szCs w:val="20"/>
              </w:rPr>
            </w:pPr>
          </w:p>
        </w:tc>
        <w:tc>
          <w:tcPr>
            <w:tcW w:w="419" w:type="pct"/>
            <w:tcBorders>
              <w:top w:val="nil"/>
              <w:left w:val="nil"/>
              <w:bottom w:val="nil"/>
              <w:right w:val="nil"/>
            </w:tcBorders>
            <w:shd w:val="clear" w:color="000000" w:fill="BFBFBF"/>
            <w:noWrap/>
            <w:vAlign w:val="bottom"/>
            <w:hideMark/>
          </w:tcPr>
          <w:p w14:paraId="1CD320E9" w14:textId="77777777" w:rsidR="00343E34" w:rsidRPr="00343E34" w:rsidRDefault="00343E34" w:rsidP="00343E34">
            <w:pPr>
              <w:spacing w:line="240" w:lineRule="auto"/>
              <w:jc w:val="right"/>
              <w:rPr>
                <w:rFonts w:cs="Times New Roman"/>
                <w:color w:val="000000"/>
              </w:rPr>
            </w:pPr>
            <w:r w:rsidRPr="00343E34">
              <w:rPr>
                <w:rFonts w:cs="Times New Roman"/>
                <w:color w:val="000000"/>
              </w:rPr>
              <w:t>-0.34</w:t>
            </w:r>
          </w:p>
        </w:tc>
        <w:tc>
          <w:tcPr>
            <w:tcW w:w="419" w:type="pct"/>
            <w:gridSpan w:val="2"/>
            <w:tcBorders>
              <w:top w:val="nil"/>
              <w:left w:val="nil"/>
              <w:bottom w:val="nil"/>
              <w:right w:val="nil"/>
            </w:tcBorders>
            <w:shd w:val="clear" w:color="000000" w:fill="BFBFBF"/>
            <w:noWrap/>
            <w:vAlign w:val="bottom"/>
            <w:hideMark/>
          </w:tcPr>
          <w:p w14:paraId="6AA24B28" w14:textId="77777777" w:rsidR="00343E34" w:rsidRPr="00343E34" w:rsidRDefault="00343E34" w:rsidP="00343E34">
            <w:pPr>
              <w:spacing w:line="240" w:lineRule="auto"/>
              <w:rPr>
                <w:rFonts w:cs="Times New Roman"/>
                <w:color w:val="000000"/>
              </w:rPr>
            </w:pPr>
            <w:r w:rsidRPr="00343E34">
              <w:rPr>
                <w:rFonts w:cs="Times New Roman"/>
                <w:color w:val="000000"/>
              </w:rPr>
              <w:t>***</w:t>
            </w:r>
          </w:p>
        </w:tc>
        <w:tc>
          <w:tcPr>
            <w:tcW w:w="432" w:type="pct"/>
            <w:gridSpan w:val="2"/>
            <w:tcBorders>
              <w:top w:val="nil"/>
              <w:left w:val="nil"/>
              <w:bottom w:val="nil"/>
              <w:right w:val="nil"/>
            </w:tcBorders>
            <w:shd w:val="clear" w:color="auto" w:fill="auto"/>
            <w:noWrap/>
            <w:vAlign w:val="bottom"/>
            <w:hideMark/>
          </w:tcPr>
          <w:p w14:paraId="6F2A266E" w14:textId="77777777" w:rsidR="00343E34" w:rsidRPr="00343E34" w:rsidRDefault="00343E34" w:rsidP="00343E34">
            <w:pPr>
              <w:spacing w:line="240" w:lineRule="auto"/>
              <w:jc w:val="right"/>
              <w:rPr>
                <w:rFonts w:cs="Times New Roman"/>
                <w:color w:val="000000"/>
              </w:rPr>
            </w:pPr>
            <w:r w:rsidRPr="00343E34">
              <w:rPr>
                <w:rFonts w:cs="Times New Roman"/>
                <w:color w:val="000000"/>
              </w:rPr>
              <w:t>-0.24</w:t>
            </w:r>
          </w:p>
        </w:tc>
        <w:tc>
          <w:tcPr>
            <w:tcW w:w="428" w:type="pct"/>
            <w:gridSpan w:val="2"/>
            <w:tcBorders>
              <w:top w:val="nil"/>
              <w:left w:val="nil"/>
              <w:bottom w:val="nil"/>
              <w:right w:val="nil"/>
            </w:tcBorders>
            <w:shd w:val="clear" w:color="auto" w:fill="auto"/>
            <w:noWrap/>
            <w:vAlign w:val="bottom"/>
            <w:hideMark/>
          </w:tcPr>
          <w:p w14:paraId="3F112F30" w14:textId="77777777" w:rsidR="00343E34" w:rsidRPr="00343E34" w:rsidRDefault="00343E34" w:rsidP="00343E34">
            <w:pPr>
              <w:spacing w:line="240" w:lineRule="auto"/>
              <w:rPr>
                <w:rFonts w:cs="Times New Roman"/>
                <w:color w:val="000000"/>
              </w:rPr>
            </w:pPr>
            <w:r w:rsidRPr="00343E34">
              <w:rPr>
                <w:rFonts w:cs="Times New Roman"/>
                <w:color w:val="000000"/>
              </w:rPr>
              <w:t>*</w:t>
            </w:r>
          </w:p>
        </w:tc>
      </w:tr>
      <w:tr w:rsidR="00FA4834" w:rsidRPr="00343E34" w14:paraId="2DAC0836" w14:textId="77777777" w:rsidTr="0015289A">
        <w:trPr>
          <w:trHeight w:val="315"/>
        </w:trPr>
        <w:tc>
          <w:tcPr>
            <w:tcW w:w="1604" w:type="pct"/>
            <w:tcBorders>
              <w:top w:val="nil"/>
              <w:left w:val="nil"/>
              <w:bottom w:val="nil"/>
              <w:right w:val="nil"/>
            </w:tcBorders>
            <w:shd w:val="clear" w:color="auto" w:fill="auto"/>
            <w:noWrap/>
            <w:vAlign w:val="bottom"/>
            <w:hideMark/>
          </w:tcPr>
          <w:p w14:paraId="2614D202" w14:textId="77777777" w:rsidR="00FA4834" w:rsidRDefault="00343E34" w:rsidP="00343E34">
            <w:pPr>
              <w:spacing w:line="240" w:lineRule="auto"/>
              <w:rPr>
                <w:rFonts w:cs="Times New Roman"/>
                <w:b/>
                <w:bCs/>
                <w:color w:val="000000"/>
              </w:rPr>
            </w:pPr>
            <w:r w:rsidRPr="00343E34">
              <w:rPr>
                <w:rFonts w:cs="Times New Roman"/>
                <w:b/>
                <w:bCs/>
                <w:color w:val="000000"/>
              </w:rPr>
              <w:t xml:space="preserve">Biomass Yield </w:t>
            </w:r>
          </w:p>
          <w:p w14:paraId="327CC115" w14:textId="07C96BD9" w:rsidR="00343E34" w:rsidRPr="00343E34" w:rsidRDefault="00343E34" w:rsidP="00343E34">
            <w:pPr>
              <w:spacing w:line="240" w:lineRule="auto"/>
              <w:rPr>
                <w:rFonts w:cs="Times New Roman"/>
                <w:b/>
                <w:bCs/>
                <w:color w:val="000000"/>
              </w:rPr>
            </w:pPr>
            <w:r w:rsidRPr="00343E34">
              <w:rPr>
                <w:rFonts w:cs="Times New Roman"/>
                <w:b/>
                <w:bCs/>
                <w:color w:val="000000"/>
              </w:rPr>
              <w:t>(g plant</w:t>
            </w:r>
            <w:r w:rsidRPr="00343E34">
              <w:rPr>
                <w:rFonts w:cs="Times New Roman"/>
                <w:b/>
                <w:bCs/>
                <w:color w:val="000000"/>
                <w:vertAlign w:val="superscript"/>
              </w:rPr>
              <w:t>-1</w:t>
            </w:r>
            <w:r w:rsidRPr="00343E34">
              <w:rPr>
                <w:rFonts w:cs="Times New Roman"/>
                <w:b/>
                <w:bCs/>
                <w:color w:val="000000"/>
              </w:rPr>
              <w:t>) 2013</w:t>
            </w:r>
          </w:p>
        </w:tc>
        <w:tc>
          <w:tcPr>
            <w:tcW w:w="420" w:type="pct"/>
            <w:tcBorders>
              <w:top w:val="nil"/>
              <w:left w:val="nil"/>
              <w:bottom w:val="nil"/>
              <w:right w:val="nil"/>
            </w:tcBorders>
            <w:shd w:val="clear" w:color="auto" w:fill="auto"/>
            <w:noWrap/>
            <w:vAlign w:val="bottom"/>
            <w:hideMark/>
          </w:tcPr>
          <w:p w14:paraId="77081F50" w14:textId="77777777" w:rsidR="00343E34" w:rsidRPr="00343E34" w:rsidRDefault="00343E34" w:rsidP="00343E34">
            <w:pPr>
              <w:spacing w:line="240" w:lineRule="auto"/>
              <w:rPr>
                <w:rFonts w:cs="Times New Roman"/>
                <w:b/>
                <w:bCs/>
                <w:color w:val="000000"/>
              </w:rPr>
            </w:pPr>
          </w:p>
        </w:tc>
        <w:tc>
          <w:tcPr>
            <w:tcW w:w="418" w:type="pct"/>
            <w:gridSpan w:val="2"/>
            <w:tcBorders>
              <w:top w:val="nil"/>
              <w:left w:val="nil"/>
              <w:bottom w:val="nil"/>
              <w:right w:val="nil"/>
            </w:tcBorders>
            <w:shd w:val="clear" w:color="auto" w:fill="auto"/>
            <w:noWrap/>
            <w:vAlign w:val="bottom"/>
            <w:hideMark/>
          </w:tcPr>
          <w:p w14:paraId="0DA6345B" w14:textId="77777777" w:rsidR="00343E34" w:rsidRPr="00343E34" w:rsidRDefault="00343E34" w:rsidP="00343E34">
            <w:pPr>
              <w:spacing w:line="240" w:lineRule="auto"/>
              <w:rPr>
                <w:rFonts w:cs="Times New Roman"/>
                <w:sz w:val="20"/>
                <w:szCs w:val="20"/>
              </w:rPr>
            </w:pPr>
          </w:p>
        </w:tc>
        <w:tc>
          <w:tcPr>
            <w:tcW w:w="433" w:type="pct"/>
            <w:gridSpan w:val="2"/>
            <w:tcBorders>
              <w:top w:val="nil"/>
              <w:left w:val="nil"/>
              <w:bottom w:val="nil"/>
              <w:right w:val="nil"/>
            </w:tcBorders>
            <w:shd w:val="clear" w:color="auto" w:fill="auto"/>
            <w:noWrap/>
            <w:vAlign w:val="bottom"/>
            <w:hideMark/>
          </w:tcPr>
          <w:p w14:paraId="3C3336F0" w14:textId="77777777" w:rsidR="00343E34" w:rsidRPr="00343E34" w:rsidRDefault="00343E34" w:rsidP="00343E34">
            <w:pPr>
              <w:spacing w:line="240" w:lineRule="auto"/>
              <w:rPr>
                <w:rFonts w:cs="Times New Roman"/>
                <w:sz w:val="20"/>
                <w:szCs w:val="20"/>
              </w:rPr>
            </w:pPr>
          </w:p>
        </w:tc>
        <w:tc>
          <w:tcPr>
            <w:tcW w:w="427" w:type="pct"/>
            <w:gridSpan w:val="2"/>
            <w:tcBorders>
              <w:top w:val="nil"/>
              <w:left w:val="nil"/>
              <w:bottom w:val="nil"/>
              <w:right w:val="nil"/>
            </w:tcBorders>
            <w:shd w:val="clear" w:color="auto" w:fill="auto"/>
            <w:noWrap/>
            <w:vAlign w:val="bottom"/>
            <w:hideMark/>
          </w:tcPr>
          <w:p w14:paraId="13CF71A7" w14:textId="77777777" w:rsidR="00343E34" w:rsidRPr="00343E34" w:rsidRDefault="00343E34" w:rsidP="00343E34">
            <w:pPr>
              <w:spacing w:line="240" w:lineRule="auto"/>
              <w:rPr>
                <w:rFonts w:cs="Times New Roman"/>
                <w:sz w:val="20"/>
                <w:szCs w:val="20"/>
              </w:rPr>
            </w:pPr>
          </w:p>
        </w:tc>
        <w:tc>
          <w:tcPr>
            <w:tcW w:w="419" w:type="pct"/>
            <w:tcBorders>
              <w:top w:val="nil"/>
              <w:left w:val="nil"/>
              <w:bottom w:val="nil"/>
              <w:right w:val="nil"/>
            </w:tcBorders>
            <w:shd w:val="clear" w:color="000000" w:fill="BFBFBF"/>
            <w:noWrap/>
            <w:vAlign w:val="bottom"/>
            <w:hideMark/>
          </w:tcPr>
          <w:p w14:paraId="1847CCB1" w14:textId="77777777" w:rsidR="00343E34" w:rsidRPr="00343E34" w:rsidRDefault="00343E34" w:rsidP="00343E34">
            <w:pPr>
              <w:spacing w:line="240" w:lineRule="auto"/>
              <w:jc w:val="right"/>
              <w:rPr>
                <w:rFonts w:cs="Times New Roman"/>
                <w:color w:val="000000"/>
              </w:rPr>
            </w:pPr>
            <w:r w:rsidRPr="00343E34">
              <w:rPr>
                <w:rFonts w:cs="Times New Roman"/>
                <w:color w:val="000000"/>
              </w:rPr>
              <w:t>-0.30</w:t>
            </w:r>
          </w:p>
        </w:tc>
        <w:tc>
          <w:tcPr>
            <w:tcW w:w="419" w:type="pct"/>
            <w:gridSpan w:val="2"/>
            <w:tcBorders>
              <w:top w:val="nil"/>
              <w:left w:val="nil"/>
              <w:bottom w:val="nil"/>
              <w:right w:val="nil"/>
            </w:tcBorders>
            <w:shd w:val="clear" w:color="000000" w:fill="BFBFBF"/>
            <w:noWrap/>
            <w:vAlign w:val="bottom"/>
            <w:hideMark/>
          </w:tcPr>
          <w:p w14:paraId="15845E8C" w14:textId="77777777" w:rsidR="00343E34" w:rsidRPr="00343E34" w:rsidRDefault="00343E34" w:rsidP="00343E34">
            <w:pPr>
              <w:spacing w:line="240" w:lineRule="auto"/>
              <w:rPr>
                <w:rFonts w:cs="Times New Roman"/>
                <w:color w:val="000000"/>
              </w:rPr>
            </w:pPr>
            <w:r w:rsidRPr="00343E34">
              <w:rPr>
                <w:rFonts w:cs="Times New Roman"/>
                <w:color w:val="000000"/>
              </w:rPr>
              <w:t>***</w:t>
            </w:r>
          </w:p>
        </w:tc>
        <w:tc>
          <w:tcPr>
            <w:tcW w:w="432" w:type="pct"/>
            <w:gridSpan w:val="2"/>
            <w:tcBorders>
              <w:top w:val="nil"/>
              <w:left w:val="nil"/>
              <w:bottom w:val="nil"/>
              <w:right w:val="nil"/>
            </w:tcBorders>
            <w:shd w:val="clear" w:color="auto" w:fill="auto"/>
            <w:noWrap/>
            <w:vAlign w:val="bottom"/>
            <w:hideMark/>
          </w:tcPr>
          <w:p w14:paraId="122BD5D6" w14:textId="77777777" w:rsidR="00343E34" w:rsidRPr="00343E34" w:rsidRDefault="00343E34" w:rsidP="00343E34">
            <w:pPr>
              <w:spacing w:line="240" w:lineRule="auto"/>
              <w:jc w:val="right"/>
              <w:rPr>
                <w:rFonts w:cs="Times New Roman"/>
                <w:color w:val="000000"/>
              </w:rPr>
            </w:pPr>
            <w:r w:rsidRPr="00343E34">
              <w:rPr>
                <w:rFonts w:cs="Times New Roman"/>
                <w:color w:val="000000"/>
              </w:rPr>
              <w:t>-0.09</w:t>
            </w:r>
          </w:p>
        </w:tc>
        <w:tc>
          <w:tcPr>
            <w:tcW w:w="428" w:type="pct"/>
            <w:gridSpan w:val="2"/>
            <w:tcBorders>
              <w:top w:val="nil"/>
              <w:left w:val="nil"/>
              <w:bottom w:val="nil"/>
              <w:right w:val="nil"/>
            </w:tcBorders>
            <w:shd w:val="clear" w:color="auto" w:fill="auto"/>
            <w:noWrap/>
            <w:vAlign w:val="bottom"/>
            <w:hideMark/>
          </w:tcPr>
          <w:p w14:paraId="36B73654" w14:textId="77777777" w:rsidR="00343E34" w:rsidRPr="00343E34" w:rsidRDefault="00343E34" w:rsidP="00343E34">
            <w:pPr>
              <w:spacing w:line="240" w:lineRule="auto"/>
              <w:jc w:val="right"/>
              <w:rPr>
                <w:rFonts w:cs="Times New Roman"/>
                <w:color w:val="000000"/>
              </w:rPr>
            </w:pPr>
          </w:p>
        </w:tc>
      </w:tr>
      <w:tr w:rsidR="00FA4834" w:rsidRPr="00343E34" w14:paraId="4AF7E070" w14:textId="77777777" w:rsidTr="0015289A">
        <w:trPr>
          <w:trHeight w:val="315"/>
        </w:trPr>
        <w:tc>
          <w:tcPr>
            <w:tcW w:w="1604" w:type="pct"/>
            <w:tcBorders>
              <w:top w:val="nil"/>
              <w:left w:val="nil"/>
              <w:bottom w:val="nil"/>
              <w:right w:val="nil"/>
            </w:tcBorders>
            <w:shd w:val="clear" w:color="auto" w:fill="auto"/>
            <w:noWrap/>
            <w:vAlign w:val="bottom"/>
            <w:hideMark/>
          </w:tcPr>
          <w:p w14:paraId="539D1E2C" w14:textId="77777777" w:rsidR="00FA4834" w:rsidRDefault="00FA4834" w:rsidP="00343E34">
            <w:pPr>
              <w:spacing w:line="240" w:lineRule="auto"/>
              <w:rPr>
                <w:rFonts w:cs="Times New Roman"/>
                <w:b/>
                <w:bCs/>
                <w:color w:val="000000"/>
              </w:rPr>
            </w:pPr>
            <w:r>
              <w:rPr>
                <w:rFonts w:cs="Times New Roman"/>
                <w:b/>
                <w:bCs/>
                <w:color w:val="000000"/>
              </w:rPr>
              <w:t xml:space="preserve">Predicted </w:t>
            </w:r>
            <w:r w:rsidR="00343E34" w:rsidRPr="00343E34">
              <w:rPr>
                <w:rFonts w:cs="Times New Roman"/>
                <w:b/>
                <w:bCs/>
                <w:color w:val="000000"/>
              </w:rPr>
              <w:t xml:space="preserve">Ethanol Yield </w:t>
            </w:r>
          </w:p>
          <w:p w14:paraId="3BC3D556" w14:textId="4D9B6589" w:rsidR="00343E34" w:rsidRPr="00343E34" w:rsidRDefault="00343E34" w:rsidP="00343E34">
            <w:pPr>
              <w:spacing w:line="240" w:lineRule="auto"/>
              <w:rPr>
                <w:rFonts w:cs="Times New Roman"/>
                <w:b/>
                <w:bCs/>
                <w:color w:val="000000"/>
              </w:rPr>
            </w:pPr>
            <w:r w:rsidRPr="00343E34">
              <w:rPr>
                <w:rFonts w:cs="Times New Roman"/>
                <w:b/>
                <w:bCs/>
                <w:color w:val="000000"/>
              </w:rPr>
              <w:t>(mg g</w:t>
            </w:r>
            <w:r w:rsidRPr="00343E34">
              <w:rPr>
                <w:rFonts w:cs="Times New Roman"/>
                <w:b/>
                <w:bCs/>
                <w:color w:val="000000"/>
                <w:vertAlign w:val="superscript"/>
              </w:rPr>
              <w:t>-1</w:t>
            </w:r>
            <w:r w:rsidRPr="00343E34">
              <w:rPr>
                <w:rFonts w:cs="Times New Roman"/>
                <w:b/>
                <w:bCs/>
                <w:color w:val="000000"/>
              </w:rPr>
              <w:t>) 2012</w:t>
            </w:r>
          </w:p>
        </w:tc>
        <w:tc>
          <w:tcPr>
            <w:tcW w:w="420" w:type="pct"/>
            <w:tcBorders>
              <w:top w:val="nil"/>
              <w:left w:val="nil"/>
              <w:bottom w:val="nil"/>
              <w:right w:val="nil"/>
            </w:tcBorders>
            <w:shd w:val="clear" w:color="000000" w:fill="BFBFBF"/>
            <w:noWrap/>
            <w:vAlign w:val="bottom"/>
            <w:hideMark/>
          </w:tcPr>
          <w:p w14:paraId="62DC1649" w14:textId="77777777" w:rsidR="00343E34" w:rsidRPr="00343E34" w:rsidRDefault="00343E34" w:rsidP="00343E34">
            <w:pPr>
              <w:spacing w:line="240" w:lineRule="auto"/>
              <w:jc w:val="right"/>
              <w:rPr>
                <w:rFonts w:cs="Times New Roman"/>
                <w:color w:val="000000"/>
              </w:rPr>
            </w:pPr>
            <w:r w:rsidRPr="00343E34">
              <w:rPr>
                <w:rFonts w:cs="Times New Roman"/>
                <w:color w:val="000000"/>
              </w:rPr>
              <w:t>-0.34</w:t>
            </w:r>
          </w:p>
        </w:tc>
        <w:tc>
          <w:tcPr>
            <w:tcW w:w="418" w:type="pct"/>
            <w:gridSpan w:val="2"/>
            <w:tcBorders>
              <w:top w:val="nil"/>
              <w:left w:val="nil"/>
              <w:bottom w:val="nil"/>
              <w:right w:val="nil"/>
            </w:tcBorders>
            <w:shd w:val="clear" w:color="000000" w:fill="BFBFBF"/>
            <w:noWrap/>
            <w:vAlign w:val="bottom"/>
            <w:hideMark/>
          </w:tcPr>
          <w:p w14:paraId="304FEAC0" w14:textId="77777777" w:rsidR="00343E34" w:rsidRPr="00343E34" w:rsidRDefault="00343E34" w:rsidP="00343E34">
            <w:pPr>
              <w:spacing w:line="240" w:lineRule="auto"/>
              <w:rPr>
                <w:rFonts w:cs="Times New Roman"/>
                <w:color w:val="000000"/>
              </w:rPr>
            </w:pPr>
            <w:r w:rsidRPr="00343E34">
              <w:rPr>
                <w:rFonts w:cs="Times New Roman"/>
                <w:color w:val="000000"/>
              </w:rPr>
              <w:t>***</w:t>
            </w:r>
          </w:p>
        </w:tc>
        <w:tc>
          <w:tcPr>
            <w:tcW w:w="433" w:type="pct"/>
            <w:gridSpan w:val="2"/>
            <w:tcBorders>
              <w:top w:val="nil"/>
              <w:left w:val="nil"/>
              <w:bottom w:val="nil"/>
              <w:right w:val="nil"/>
            </w:tcBorders>
            <w:shd w:val="clear" w:color="auto" w:fill="auto"/>
            <w:noWrap/>
            <w:vAlign w:val="bottom"/>
            <w:hideMark/>
          </w:tcPr>
          <w:p w14:paraId="04EDA7BD" w14:textId="77777777" w:rsidR="00343E34" w:rsidRPr="00343E34" w:rsidRDefault="00343E34" w:rsidP="00343E34">
            <w:pPr>
              <w:spacing w:line="240" w:lineRule="auto"/>
              <w:jc w:val="right"/>
              <w:rPr>
                <w:rFonts w:cs="Times New Roman"/>
                <w:color w:val="000000"/>
              </w:rPr>
            </w:pPr>
            <w:r w:rsidRPr="00343E34">
              <w:rPr>
                <w:rFonts w:cs="Times New Roman"/>
                <w:color w:val="000000"/>
              </w:rPr>
              <w:t>-0.24</w:t>
            </w:r>
          </w:p>
        </w:tc>
        <w:tc>
          <w:tcPr>
            <w:tcW w:w="427" w:type="pct"/>
            <w:gridSpan w:val="2"/>
            <w:tcBorders>
              <w:top w:val="nil"/>
              <w:left w:val="nil"/>
              <w:bottom w:val="nil"/>
              <w:right w:val="nil"/>
            </w:tcBorders>
            <w:shd w:val="clear" w:color="auto" w:fill="auto"/>
            <w:noWrap/>
            <w:vAlign w:val="bottom"/>
            <w:hideMark/>
          </w:tcPr>
          <w:p w14:paraId="2C48A4ED" w14:textId="77777777" w:rsidR="00343E34" w:rsidRPr="00343E34" w:rsidRDefault="00343E34" w:rsidP="00343E34">
            <w:pPr>
              <w:spacing w:line="240" w:lineRule="auto"/>
              <w:rPr>
                <w:rFonts w:cs="Times New Roman"/>
                <w:color w:val="000000"/>
              </w:rPr>
            </w:pPr>
            <w:r w:rsidRPr="00343E34">
              <w:rPr>
                <w:rFonts w:cs="Times New Roman"/>
                <w:color w:val="000000"/>
              </w:rPr>
              <w:t>*</w:t>
            </w:r>
          </w:p>
        </w:tc>
        <w:tc>
          <w:tcPr>
            <w:tcW w:w="419" w:type="pct"/>
            <w:tcBorders>
              <w:top w:val="nil"/>
              <w:left w:val="nil"/>
              <w:bottom w:val="nil"/>
              <w:right w:val="nil"/>
            </w:tcBorders>
            <w:shd w:val="clear" w:color="auto" w:fill="auto"/>
            <w:noWrap/>
            <w:vAlign w:val="bottom"/>
            <w:hideMark/>
          </w:tcPr>
          <w:p w14:paraId="79EBD277" w14:textId="77777777" w:rsidR="00343E34" w:rsidRPr="00343E34" w:rsidRDefault="00343E34" w:rsidP="00343E34">
            <w:pPr>
              <w:spacing w:line="240" w:lineRule="auto"/>
              <w:rPr>
                <w:rFonts w:cs="Times New Roman"/>
                <w:color w:val="000000"/>
              </w:rPr>
            </w:pPr>
          </w:p>
        </w:tc>
        <w:tc>
          <w:tcPr>
            <w:tcW w:w="419" w:type="pct"/>
            <w:gridSpan w:val="2"/>
            <w:tcBorders>
              <w:top w:val="nil"/>
              <w:left w:val="nil"/>
              <w:bottom w:val="nil"/>
              <w:right w:val="nil"/>
            </w:tcBorders>
            <w:shd w:val="clear" w:color="auto" w:fill="auto"/>
            <w:noWrap/>
            <w:vAlign w:val="bottom"/>
            <w:hideMark/>
          </w:tcPr>
          <w:p w14:paraId="66F60C2D" w14:textId="77777777" w:rsidR="00343E34" w:rsidRPr="00343E34" w:rsidRDefault="00343E34" w:rsidP="00343E34">
            <w:pPr>
              <w:spacing w:line="240" w:lineRule="auto"/>
              <w:rPr>
                <w:rFonts w:cs="Times New Roman"/>
                <w:sz w:val="20"/>
                <w:szCs w:val="20"/>
              </w:rPr>
            </w:pPr>
          </w:p>
        </w:tc>
        <w:tc>
          <w:tcPr>
            <w:tcW w:w="432" w:type="pct"/>
            <w:gridSpan w:val="2"/>
            <w:tcBorders>
              <w:top w:val="nil"/>
              <w:left w:val="nil"/>
              <w:bottom w:val="nil"/>
              <w:right w:val="nil"/>
            </w:tcBorders>
            <w:shd w:val="clear" w:color="auto" w:fill="auto"/>
            <w:noWrap/>
            <w:vAlign w:val="bottom"/>
            <w:hideMark/>
          </w:tcPr>
          <w:p w14:paraId="083DF863" w14:textId="77777777" w:rsidR="00343E34" w:rsidRPr="00343E34" w:rsidRDefault="00343E34" w:rsidP="00343E34">
            <w:pPr>
              <w:spacing w:line="240" w:lineRule="auto"/>
              <w:rPr>
                <w:rFonts w:cs="Times New Roman"/>
                <w:sz w:val="20"/>
                <w:szCs w:val="20"/>
              </w:rPr>
            </w:pPr>
          </w:p>
        </w:tc>
        <w:tc>
          <w:tcPr>
            <w:tcW w:w="428" w:type="pct"/>
            <w:gridSpan w:val="2"/>
            <w:tcBorders>
              <w:top w:val="nil"/>
              <w:left w:val="nil"/>
              <w:bottom w:val="nil"/>
              <w:right w:val="nil"/>
            </w:tcBorders>
            <w:shd w:val="clear" w:color="auto" w:fill="auto"/>
            <w:noWrap/>
            <w:vAlign w:val="bottom"/>
            <w:hideMark/>
          </w:tcPr>
          <w:p w14:paraId="4C6E9FDE" w14:textId="77777777" w:rsidR="00343E34" w:rsidRPr="00343E34" w:rsidRDefault="00343E34" w:rsidP="00343E34">
            <w:pPr>
              <w:spacing w:line="240" w:lineRule="auto"/>
              <w:rPr>
                <w:rFonts w:cs="Times New Roman"/>
                <w:sz w:val="20"/>
                <w:szCs w:val="20"/>
              </w:rPr>
            </w:pPr>
          </w:p>
        </w:tc>
      </w:tr>
      <w:tr w:rsidR="00FA4834" w:rsidRPr="00343E34" w14:paraId="366E3CF8" w14:textId="77777777" w:rsidTr="0015289A">
        <w:trPr>
          <w:trHeight w:val="315"/>
        </w:trPr>
        <w:tc>
          <w:tcPr>
            <w:tcW w:w="1604" w:type="pct"/>
            <w:tcBorders>
              <w:top w:val="nil"/>
              <w:left w:val="nil"/>
              <w:bottom w:val="single" w:sz="8" w:space="0" w:color="auto"/>
              <w:right w:val="nil"/>
            </w:tcBorders>
            <w:shd w:val="clear" w:color="auto" w:fill="auto"/>
            <w:noWrap/>
            <w:vAlign w:val="bottom"/>
            <w:hideMark/>
          </w:tcPr>
          <w:p w14:paraId="6E65FA88" w14:textId="77777777" w:rsidR="00FA4834" w:rsidRDefault="00FA4834" w:rsidP="00343E34">
            <w:pPr>
              <w:spacing w:line="240" w:lineRule="auto"/>
              <w:rPr>
                <w:rFonts w:cs="Times New Roman"/>
                <w:b/>
                <w:bCs/>
                <w:color w:val="000000"/>
              </w:rPr>
            </w:pPr>
            <w:r>
              <w:rPr>
                <w:rFonts w:cs="Times New Roman"/>
                <w:b/>
                <w:bCs/>
                <w:color w:val="000000"/>
              </w:rPr>
              <w:t xml:space="preserve">Predicted </w:t>
            </w:r>
            <w:r w:rsidR="00343E34" w:rsidRPr="00343E34">
              <w:rPr>
                <w:rFonts w:cs="Times New Roman"/>
                <w:b/>
                <w:bCs/>
                <w:color w:val="000000"/>
              </w:rPr>
              <w:t xml:space="preserve">Ethanol Yield </w:t>
            </w:r>
          </w:p>
          <w:p w14:paraId="226A0BE5" w14:textId="59491FD4" w:rsidR="00343E34" w:rsidRPr="00343E34" w:rsidRDefault="00343E34" w:rsidP="00343E34">
            <w:pPr>
              <w:spacing w:line="240" w:lineRule="auto"/>
              <w:rPr>
                <w:rFonts w:cs="Times New Roman"/>
                <w:b/>
                <w:bCs/>
                <w:color w:val="000000"/>
              </w:rPr>
            </w:pPr>
            <w:r w:rsidRPr="00343E34">
              <w:rPr>
                <w:rFonts w:cs="Times New Roman"/>
                <w:b/>
                <w:bCs/>
                <w:color w:val="000000"/>
              </w:rPr>
              <w:t>(mg g</w:t>
            </w:r>
            <w:r w:rsidRPr="00343E34">
              <w:rPr>
                <w:rFonts w:cs="Times New Roman"/>
                <w:b/>
                <w:bCs/>
                <w:color w:val="000000"/>
                <w:vertAlign w:val="superscript"/>
              </w:rPr>
              <w:t>-1</w:t>
            </w:r>
            <w:r w:rsidRPr="00343E34">
              <w:rPr>
                <w:rFonts w:cs="Times New Roman"/>
                <w:b/>
                <w:bCs/>
                <w:color w:val="000000"/>
              </w:rPr>
              <w:t>) 2013</w:t>
            </w:r>
          </w:p>
        </w:tc>
        <w:tc>
          <w:tcPr>
            <w:tcW w:w="420" w:type="pct"/>
            <w:tcBorders>
              <w:top w:val="nil"/>
              <w:left w:val="nil"/>
              <w:bottom w:val="single" w:sz="4" w:space="0" w:color="auto"/>
              <w:right w:val="nil"/>
            </w:tcBorders>
            <w:shd w:val="clear" w:color="000000" w:fill="BFBFBF"/>
            <w:noWrap/>
            <w:vAlign w:val="bottom"/>
            <w:hideMark/>
          </w:tcPr>
          <w:p w14:paraId="5957168C" w14:textId="77777777" w:rsidR="00343E34" w:rsidRPr="00343E34" w:rsidRDefault="00343E34" w:rsidP="00343E34">
            <w:pPr>
              <w:spacing w:line="240" w:lineRule="auto"/>
              <w:jc w:val="right"/>
              <w:rPr>
                <w:rFonts w:cs="Times New Roman"/>
                <w:color w:val="000000"/>
              </w:rPr>
            </w:pPr>
            <w:r w:rsidRPr="00343E34">
              <w:rPr>
                <w:rFonts w:cs="Times New Roman"/>
                <w:color w:val="000000"/>
              </w:rPr>
              <w:t>-0.30</w:t>
            </w:r>
          </w:p>
        </w:tc>
        <w:tc>
          <w:tcPr>
            <w:tcW w:w="418" w:type="pct"/>
            <w:gridSpan w:val="2"/>
            <w:tcBorders>
              <w:top w:val="nil"/>
              <w:left w:val="nil"/>
              <w:bottom w:val="single" w:sz="4" w:space="0" w:color="auto"/>
              <w:right w:val="nil"/>
            </w:tcBorders>
            <w:shd w:val="clear" w:color="000000" w:fill="BFBFBF"/>
            <w:noWrap/>
            <w:vAlign w:val="bottom"/>
            <w:hideMark/>
          </w:tcPr>
          <w:p w14:paraId="7D08E833" w14:textId="77777777" w:rsidR="00343E34" w:rsidRPr="00343E34" w:rsidRDefault="00343E34" w:rsidP="00343E34">
            <w:pPr>
              <w:spacing w:line="240" w:lineRule="auto"/>
              <w:rPr>
                <w:rFonts w:cs="Times New Roman"/>
                <w:color w:val="000000"/>
              </w:rPr>
            </w:pPr>
            <w:r w:rsidRPr="00343E34">
              <w:rPr>
                <w:rFonts w:cs="Times New Roman"/>
                <w:color w:val="000000"/>
              </w:rPr>
              <w:t>***</w:t>
            </w:r>
          </w:p>
        </w:tc>
        <w:tc>
          <w:tcPr>
            <w:tcW w:w="433" w:type="pct"/>
            <w:gridSpan w:val="2"/>
            <w:tcBorders>
              <w:top w:val="nil"/>
              <w:left w:val="nil"/>
              <w:bottom w:val="single" w:sz="4" w:space="0" w:color="auto"/>
              <w:right w:val="nil"/>
            </w:tcBorders>
            <w:shd w:val="clear" w:color="auto" w:fill="auto"/>
            <w:noWrap/>
            <w:vAlign w:val="bottom"/>
            <w:hideMark/>
          </w:tcPr>
          <w:p w14:paraId="59C0E995" w14:textId="77777777" w:rsidR="00343E34" w:rsidRPr="00343E34" w:rsidRDefault="00343E34" w:rsidP="00343E34">
            <w:pPr>
              <w:spacing w:line="240" w:lineRule="auto"/>
              <w:jc w:val="right"/>
              <w:rPr>
                <w:rFonts w:cs="Times New Roman"/>
                <w:color w:val="000000"/>
              </w:rPr>
            </w:pPr>
            <w:r w:rsidRPr="00343E34">
              <w:rPr>
                <w:rFonts w:cs="Times New Roman"/>
                <w:color w:val="000000"/>
              </w:rPr>
              <w:t>-0.09</w:t>
            </w:r>
          </w:p>
        </w:tc>
        <w:tc>
          <w:tcPr>
            <w:tcW w:w="427" w:type="pct"/>
            <w:gridSpan w:val="2"/>
            <w:tcBorders>
              <w:top w:val="nil"/>
              <w:left w:val="nil"/>
              <w:bottom w:val="single" w:sz="4" w:space="0" w:color="auto"/>
              <w:right w:val="nil"/>
            </w:tcBorders>
            <w:shd w:val="clear" w:color="auto" w:fill="auto"/>
            <w:noWrap/>
            <w:vAlign w:val="bottom"/>
            <w:hideMark/>
          </w:tcPr>
          <w:p w14:paraId="58CDD91C" w14:textId="77777777" w:rsidR="00343E34" w:rsidRPr="00343E34" w:rsidRDefault="00343E34" w:rsidP="00343E34">
            <w:pPr>
              <w:spacing w:line="240" w:lineRule="auto"/>
              <w:rPr>
                <w:rFonts w:cs="Times New Roman"/>
                <w:color w:val="000000"/>
              </w:rPr>
            </w:pPr>
            <w:r w:rsidRPr="00343E34">
              <w:rPr>
                <w:rFonts w:cs="Times New Roman"/>
                <w:color w:val="000000"/>
              </w:rPr>
              <w:t> </w:t>
            </w:r>
          </w:p>
        </w:tc>
        <w:tc>
          <w:tcPr>
            <w:tcW w:w="419" w:type="pct"/>
            <w:tcBorders>
              <w:top w:val="nil"/>
              <w:left w:val="nil"/>
              <w:bottom w:val="single" w:sz="4" w:space="0" w:color="auto"/>
              <w:right w:val="nil"/>
            </w:tcBorders>
            <w:shd w:val="clear" w:color="auto" w:fill="auto"/>
            <w:noWrap/>
            <w:vAlign w:val="bottom"/>
            <w:hideMark/>
          </w:tcPr>
          <w:p w14:paraId="6C0EFB29" w14:textId="77777777" w:rsidR="00343E34" w:rsidRPr="00343E34" w:rsidRDefault="00343E34" w:rsidP="00343E34">
            <w:pPr>
              <w:spacing w:line="240" w:lineRule="auto"/>
              <w:rPr>
                <w:rFonts w:cs="Times New Roman"/>
                <w:color w:val="000000"/>
              </w:rPr>
            </w:pPr>
            <w:r w:rsidRPr="00343E34">
              <w:rPr>
                <w:rFonts w:cs="Times New Roman"/>
                <w:color w:val="000000"/>
              </w:rPr>
              <w:t> </w:t>
            </w:r>
          </w:p>
        </w:tc>
        <w:tc>
          <w:tcPr>
            <w:tcW w:w="419" w:type="pct"/>
            <w:gridSpan w:val="2"/>
            <w:tcBorders>
              <w:top w:val="nil"/>
              <w:left w:val="nil"/>
              <w:bottom w:val="single" w:sz="4" w:space="0" w:color="auto"/>
              <w:right w:val="nil"/>
            </w:tcBorders>
            <w:shd w:val="clear" w:color="auto" w:fill="auto"/>
            <w:noWrap/>
            <w:vAlign w:val="bottom"/>
            <w:hideMark/>
          </w:tcPr>
          <w:p w14:paraId="15C634A1" w14:textId="77777777" w:rsidR="00343E34" w:rsidRPr="00343E34" w:rsidRDefault="00343E34" w:rsidP="00343E34">
            <w:pPr>
              <w:spacing w:line="240" w:lineRule="auto"/>
              <w:rPr>
                <w:rFonts w:cs="Times New Roman"/>
                <w:color w:val="000000"/>
              </w:rPr>
            </w:pPr>
            <w:r w:rsidRPr="00343E34">
              <w:rPr>
                <w:rFonts w:cs="Times New Roman"/>
                <w:color w:val="000000"/>
              </w:rPr>
              <w:t> </w:t>
            </w:r>
          </w:p>
        </w:tc>
        <w:tc>
          <w:tcPr>
            <w:tcW w:w="432" w:type="pct"/>
            <w:gridSpan w:val="2"/>
            <w:tcBorders>
              <w:top w:val="nil"/>
              <w:left w:val="nil"/>
              <w:bottom w:val="single" w:sz="4" w:space="0" w:color="auto"/>
              <w:right w:val="nil"/>
            </w:tcBorders>
            <w:shd w:val="clear" w:color="auto" w:fill="auto"/>
            <w:noWrap/>
            <w:vAlign w:val="bottom"/>
            <w:hideMark/>
          </w:tcPr>
          <w:p w14:paraId="6FDDCB25" w14:textId="77777777" w:rsidR="00343E34" w:rsidRPr="00343E34" w:rsidRDefault="00343E34" w:rsidP="00343E34">
            <w:pPr>
              <w:spacing w:line="240" w:lineRule="auto"/>
              <w:rPr>
                <w:rFonts w:cs="Times New Roman"/>
                <w:color w:val="000000"/>
              </w:rPr>
            </w:pPr>
            <w:r w:rsidRPr="00343E34">
              <w:rPr>
                <w:rFonts w:cs="Times New Roman"/>
                <w:color w:val="000000"/>
              </w:rPr>
              <w:t> </w:t>
            </w:r>
          </w:p>
        </w:tc>
        <w:tc>
          <w:tcPr>
            <w:tcW w:w="428" w:type="pct"/>
            <w:gridSpan w:val="2"/>
            <w:tcBorders>
              <w:top w:val="nil"/>
              <w:left w:val="nil"/>
              <w:bottom w:val="single" w:sz="4" w:space="0" w:color="auto"/>
              <w:right w:val="nil"/>
            </w:tcBorders>
            <w:shd w:val="clear" w:color="auto" w:fill="auto"/>
            <w:noWrap/>
            <w:vAlign w:val="bottom"/>
            <w:hideMark/>
          </w:tcPr>
          <w:p w14:paraId="2AC72F4C" w14:textId="77777777" w:rsidR="00343E34" w:rsidRPr="00343E34" w:rsidRDefault="00343E34" w:rsidP="00343E34">
            <w:pPr>
              <w:spacing w:line="240" w:lineRule="auto"/>
              <w:rPr>
                <w:rFonts w:cs="Times New Roman"/>
                <w:color w:val="000000"/>
              </w:rPr>
            </w:pPr>
            <w:r w:rsidRPr="00343E34">
              <w:rPr>
                <w:rFonts w:cs="Times New Roman"/>
                <w:color w:val="000000"/>
              </w:rPr>
              <w:t> </w:t>
            </w:r>
          </w:p>
        </w:tc>
      </w:tr>
      <w:tr w:rsidR="00FA4834" w:rsidRPr="00343E34" w14:paraId="57C75050" w14:textId="77777777" w:rsidTr="0015289A">
        <w:trPr>
          <w:trHeight w:val="315"/>
        </w:trPr>
        <w:tc>
          <w:tcPr>
            <w:tcW w:w="1604" w:type="pct"/>
            <w:tcBorders>
              <w:top w:val="single" w:sz="4" w:space="0" w:color="auto"/>
              <w:left w:val="nil"/>
              <w:bottom w:val="single" w:sz="4" w:space="0" w:color="auto"/>
              <w:right w:val="nil"/>
            </w:tcBorders>
            <w:shd w:val="clear" w:color="auto" w:fill="auto"/>
            <w:noWrap/>
            <w:vAlign w:val="bottom"/>
            <w:hideMark/>
          </w:tcPr>
          <w:p w14:paraId="3E25BF13" w14:textId="77777777" w:rsidR="00343E34" w:rsidRPr="00343E34" w:rsidRDefault="00343E34" w:rsidP="00343E34">
            <w:pPr>
              <w:spacing w:line="240" w:lineRule="auto"/>
              <w:jc w:val="center"/>
              <w:rPr>
                <w:rFonts w:cs="Times New Roman"/>
                <w:b/>
                <w:bCs/>
                <w:color w:val="000000"/>
              </w:rPr>
            </w:pPr>
            <w:r w:rsidRPr="00343E34">
              <w:rPr>
                <w:rFonts w:cs="Times New Roman"/>
                <w:b/>
                <w:bCs/>
                <w:color w:val="000000"/>
              </w:rPr>
              <w:t>2013</w:t>
            </w:r>
          </w:p>
        </w:tc>
        <w:tc>
          <w:tcPr>
            <w:tcW w:w="420" w:type="pct"/>
            <w:tcBorders>
              <w:top w:val="nil"/>
              <w:left w:val="nil"/>
              <w:bottom w:val="single" w:sz="4" w:space="0" w:color="auto"/>
              <w:right w:val="nil"/>
            </w:tcBorders>
            <w:shd w:val="clear" w:color="auto" w:fill="auto"/>
            <w:noWrap/>
            <w:vAlign w:val="bottom"/>
            <w:hideMark/>
          </w:tcPr>
          <w:p w14:paraId="49201298" w14:textId="77777777" w:rsidR="00343E34" w:rsidRPr="00343E34" w:rsidRDefault="00343E34" w:rsidP="00343E34">
            <w:pPr>
              <w:spacing w:line="240" w:lineRule="auto"/>
              <w:rPr>
                <w:rFonts w:cs="Times New Roman"/>
                <w:color w:val="000000"/>
              </w:rPr>
            </w:pPr>
            <w:r w:rsidRPr="00343E34">
              <w:rPr>
                <w:rFonts w:cs="Times New Roman"/>
                <w:color w:val="000000"/>
              </w:rPr>
              <w:t> </w:t>
            </w:r>
          </w:p>
        </w:tc>
        <w:tc>
          <w:tcPr>
            <w:tcW w:w="418" w:type="pct"/>
            <w:gridSpan w:val="2"/>
            <w:tcBorders>
              <w:top w:val="nil"/>
              <w:left w:val="nil"/>
              <w:bottom w:val="single" w:sz="4" w:space="0" w:color="auto"/>
              <w:right w:val="nil"/>
            </w:tcBorders>
            <w:shd w:val="clear" w:color="auto" w:fill="auto"/>
            <w:noWrap/>
            <w:vAlign w:val="bottom"/>
            <w:hideMark/>
          </w:tcPr>
          <w:p w14:paraId="6E763120" w14:textId="77777777" w:rsidR="00343E34" w:rsidRPr="00343E34" w:rsidRDefault="00343E34" w:rsidP="00343E34">
            <w:pPr>
              <w:spacing w:line="240" w:lineRule="auto"/>
              <w:rPr>
                <w:rFonts w:cs="Times New Roman"/>
                <w:color w:val="000000"/>
              </w:rPr>
            </w:pPr>
            <w:r w:rsidRPr="00343E34">
              <w:rPr>
                <w:rFonts w:cs="Times New Roman"/>
                <w:color w:val="000000"/>
              </w:rPr>
              <w:t> </w:t>
            </w:r>
          </w:p>
        </w:tc>
        <w:tc>
          <w:tcPr>
            <w:tcW w:w="433" w:type="pct"/>
            <w:gridSpan w:val="2"/>
            <w:tcBorders>
              <w:top w:val="nil"/>
              <w:left w:val="nil"/>
              <w:bottom w:val="single" w:sz="4" w:space="0" w:color="auto"/>
              <w:right w:val="nil"/>
            </w:tcBorders>
            <w:shd w:val="clear" w:color="auto" w:fill="auto"/>
            <w:noWrap/>
            <w:vAlign w:val="bottom"/>
            <w:hideMark/>
          </w:tcPr>
          <w:p w14:paraId="474785A5" w14:textId="77777777" w:rsidR="00343E34" w:rsidRPr="00343E34" w:rsidRDefault="00343E34" w:rsidP="00343E34">
            <w:pPr>
              <w:spacing w:line="240" w:lineRule="auto"/>
              <w:rPr>
                <w:rFonts w:cs="Times New Roman"/>
                <w:color w:val="000000"/>
              </w:rPr>
            </w:pPr>
            <w:r w:rsidRPr="00343E34">
              <w:rPr>
                <w:rFonts w:cs="Times New Roman"/>
                <w:color w:val="000000"/>
              </w:rPr>
              <w:t> </w:t>
            </w:r>
          </w:p>
        </w:tc>
        <w:tc>
          <w:tcPr>
            <w:tcW w:w="427" w:type="pct"/>
            <w:gridSpan w:val="2"/>
            <w:tcBorders>
              <w:top w:val="nil"/>
              <w:left w:val="nil"/>
              <w:bottom w:val="single" w:sz="4" w:space="0" w:color="auto"/>
              <w:right w:val="nil"/>
            </w:tcBorders>
            <w:shd w:val="clear" w:color="auto" w:fill="auto"/>
            <w:noWrap/>
            <w:vAlign w:val="bottom"/>
            <w:hideMark/>
          </w:tcPr>
          <w:p w14:paraId="1DDEEFDF" w14:textId="77777777" w:rsidR="00343E34" w:rsidRPr="00343E34" w:rsidRDefault="00343E34" w:rsidP="00343E34">
            <w:pPr>
              <w:spacing w:line="240" w:lineRule="auto"/>
              <w:rPr>
                <w:rFonts w:cs="Times New Roman"/>
                <w:color w:val="000000"/>
              </w:rPr>
            </w:pPr>
            <w:r w:rsidRPr="00343E34">
              <w:rPr>
                <w:rFonts w:cs="Times New Roman"/>
                <w:color w:val="000000"/>
              </w:rPr>
              <w:t> </w:t>
            </w:r>
          </w:p>
        </w:tc>
        <w:tc>
          <w:tcPr>
            <w:tcW w:w="419" w:type="pct"/>
            <w:tcBorders>
              <w:top w:val="nil"/>
              <w:left w:val="nil"/>
              <w:bottom w:val="single" w:sz="4" w:space="0" w:color="auto"/>
              <w:right w:val="nil"/>
            </w:tcBorders>
            <w:shd w:val="clear" w:color="auto" w:fill="auto"/>
            <w:noWrap/>
            <w:vAlign w:val="bottom"/>
            <w:hideMark/>
          </w:tcPr>
          <w:p w14:paraId="0CA50B31" w14:textId="77777777" w:rsidR="00343E34" w:rsidRPr="00343E34" w:rsidRDefault="00343E34" w:rsidP="00343E34">
            <w:pPr>
              <w:spacing w:line="240" w:lineRule="auto"/>
              <w:rPr>
                <w:rFonts w:cs="Times New Roman"/>
                <w:color w:val="000000"/>
              </w:rPr>
            </w:pPr>
            <w:r w:rsidRPr="00343E34">
              <w:rPr>
                <w:rFonts w:cs="Times New Roman"/>
                <w:color w:val="000000"/>
              </w:rPr>
              <w:t> </w:t>
            </w:r>
          </w:p>
        </w:tc>
        <w:tc>
          <w:tcPr>
            <w:tcW w:w="419" w:type="pct"/>
            <w:gridSpan w:val="2"/>
            <w:tcBorders>
              <w:top w:val="nil"/>
              <w:left w:val="nil"/>
              <w:bottom w:val="single" w:sz="4" w:space="0" w:color="auto"/>
              <w:right w:val="nil"/>
            </w:tcBorders>
            <w:shd w:val="clear" w:color="auto" w:fill="auto"/>
            <w:noWrap/>
            <w:vAlign w:val="bottom"/>
            <w:hideMark/>
          </w:tcPr>
          <w:p w14:paraId="32AB0DB9" w14:textId="77777777" w:rsidR="00343E34" w:rsidRPr="00343E34" w:rsidRDefault="00343E34" w:rsidP="00343E34">
            <w:pPr>
              <w:spacing w:line="240" w:lineRule="auto"/>
              <w:rPr>
                <w:rFonts w:cs="Times New Roman"/>
                <w:color w:val="000000"/>
              </w:rPr>
            </w:pPr>
            <w:r w:rsidRPr="00343E34">
              <w:rPr>
                <w:rFonts w:cs="Times New Roman"/>
                <w:color w:val="000000"/>
              </w:rPr>
              <w:t> </w:t>
            </w:r>
          </w:p>
        </w:tc>
        <w:tc>
          <w:tcPr>
            <w:tcW w:w="432" w:type="pct"/>
            <w:gridSpan w:val="2"/>
            <w:tcBorders>
              <w:top w:val="nil"/>
              <w:left w:val="nil"/>
              <w:bottom w:val="single" w:sz="4" w:space="0" w:color="auto"/>
              <w:right w:val="nil"/>
            </w:tcBorders>
            <w:shd w:val="clear" w:color="auto" w:fill="auto"/>
            <w:noWrap/>
            <w:vAlign w:val="bottom"/>
            <w:hideMark/>
          </w:tcPr>
          <w:p w14:paraId="673A5184" w14:textId="77777777" w:rsidR="00343E34" w:rsidRPr="00343E34" w:rsidRDefault="00343E34" w:rsidP="00343E34">
            <w:pPr>
              <w:spacing w:line="240" w:lineRule="auto"/>
              <w:rPr>
                <w:rFonts w:cs="Times New Roman"/>
                <w:color w:val="000000"/>
              </w:rPr>
            </w:pPr>
            <w:r w:rsidRPr="00343E34">
              <w:rPr>
                <w:rFonts w:cs="Times New Roman"/>
                <w:color w:val="000000"/>
              </w:rPr>
              <w:t> </w:t>
            </w:r>
          </w:p>
        </w:tc>
        <w:tc>
          <w:tcPr>
            <w:tcW w:w="428" w:type="pct"/>
            <w:gridSpan w:val="2"/>
            <w:tcBorders>
              <w:top w:val="nil"/>
              <w:left w:val="nil"/>
              <w:bottom w:val="single" w:sz="4" w:space="0" w:color="auto"/>
              <w:right w:val="nil"/>
            </w:tcBorders>
            <w:shd w:val="clear" w:color="auto" w:fill="auto"/>
            <w:noWrap/>
            <w:vAlign w:val="bottom"/>
            <w:hideMark/>
          </w:tcPr>
          <w:p w14:paraId="43561097" w14:textId="77777777" w:rsidR="00343E34" w:rsidRPr="00343E34" w:rsidRDefault="00343E34" w:rsidP="00343E34">
            <w:pPr>
              <w:spacing w:line="240" w:lineRule="auto"/>
              <w:rPr>
                <w:rFonts w:cs="Times New Roman"/>
                <w:color w:val="000000"/>
              </w:rPr>
            </w:pPr>
            <w:r w:rsidRPr="00343E34">
              <w:rPr>
                <w:rFonts w:cs="Times New Roman"/>
                <w:color w:val="000000"/>
              </w:rPr>
              <w:t> </w:t>
            </w:r>
          </w:p>
        </w:tc>
      </w:tr>
      <w:tr w:rsidR="00FA4834" w:rsidRPr="00343E34" w14:paraId="1D02F762" w14:textId="77777777" w:rsidTr="0015289A">
        <w:trPr>
          <w:trHeight w:val="315"/>
        </w:trPr>
        <w:tc>
          <w:tcPr>
            <w:tcW w:w="1604" w:type="pct"/>
            <w:tcBorders>
              <w:top w:val="nil"/>
              <w:left w:val="nil"/>
              <w:bottom w:val="nil"/>
              <w:right w:val="nil"/>
            </w:tcBorders>
            <w:shd w:val="clear" w:color="auto" w:fill="auto"/>
            <w:noWrap/>
            <w:vAlign w:val="bottom"/>
            <w:hideMark/>
          </w:tcPr>
          <w:p w14:paraId="1460F6A4" w14:textId="77777777" w:rsidR="00343E34" w:rsidRPr="00343E34" w:rsidRDefault="00343E34" w:rsidP="00343E34">
            <w:pPr>
              <w:spacing w:line="240" w:lineRule="auto"/>
              <w:rPr>
                <w:rFonts w:cs="Times New Roman"/>
                <w:b/>
                <w:bCs/>
                <w:color w:val="000000"/>
              </w:rPr>
            </w:pPr>
            <w:r w:rsidRPr="00343E34">
              <w:rPr>
                <w:rFonts w:cs="Times New Roman"/>
                <w:b/>
                <w:bCs/>
                <w:color w:val="000000"/>
              </w:rPr>
              <w:t>Spring Height (cm)</w:t>
            </w:r>
          </w:p>
        </w:tc>
        <w:tc>
          <w:tcPr>
            <w:tcW w:w="420" w:type="pct"/>
            <w:tcBorders>
              <w:top w:val="nil"/>
              <w:left w:val="nil"/>
              <w:bottom w:val="nil"/>
              <w:right w:val="nil"/>
            </w:tcBorders>
            <w:shd w:val="clear" w:color="000000" w:fill="808080"/>
            <w:noWrap/>
            <w:vAlign w:val="bottom"/>
            <w:hideMark/>
          </w:tcPr>
          <w:p w14:paraId="66E2A26E" w14:textId="77777777" w:rsidR="00343E34" w:rsidRPr="00343E34" w:rsidRDefault="00343E34" w:rsidP="00343E34">
            <w:pPr>
              <w:spacing w:line="240" w:lineRule="auto"/>
              <w:jc w:val="right"/>
              <w:rPr>
                <w:rFonts w:cs="Times New Roman"/>
                <w:color w:val="000000"/>
              </w:rPr>
            </w:pPr>
            <w:r w:rsidRPr="00343E34">
              <w:rPr>
                <w:rFonts w:cs="Times New Roman"/>
                <w:color w:val="000000"/>
              </w:rPr>
              <w:t>0.70</w:t>
            </w:r>
          </w:p>
        </w:tc>
        <w:tc>
          <w:tcPr>
            <w:tcW w:w="418" w:type="pct"/>
            <w:gridSpan w:val="2"/>
            <w:tcBorders>
              <w:top w:val="nil"/>
              <w:left w:val="nil"/>
              <w:bottom w:val="nil"/>
              <w:right w:val="nil"/>
            </w:tcBorders>
            <w:shd w:val="clear" w:color="000000" w:fill="808080"/>
            <w:noWrap/>
            <w:vAlign w:val="bottom"/>
            <w:hideMark/>
          </w:tcPr>
          <w:p w14:paraId="1F7E4049" w14:textId="77777777" w:rsidR="00343E34" w:rsidRPr="00343E34" w:rsidRDefault="00343E34" w:rsidP="00343E34">
            <w:pPr>
              <w:spacing w:line="240" w:lineRule="auto"/>
              <w:rPr>
                <w:rFonts w:cs="Times New Roman"/>
                <w:color w:val="000000"/>
              </w:rPr>
            </w:pPr>
            <w:r w:rsidRPr="00343E34">
              <w:rPr>
                <w:rFonts w:cs="Times New Roman"/>
                <w:color w:val="000000"/>
              </w:rPr>
              <w:t>***</w:t>
            </w:r>
          </w:p>
        </w:tc>
        <w:tc>
          <w:tcPr>
            <w:tcW w:w="433" w:type="pct"/>
            <w:gridSpan w:val="2"/>
            <w:tcBorders>
              <w:top w:val="nil"/>
              <w:left w:val="nil"/>
              <w:bottom w:val="nil"/>
              <w:right w:val="nil"/>
            </w:tcBorders>
            <w:shd w:val="clear" w:color="auto" w:fill="auto"/>
            <w:noWrap/>
            <w:vAlign w:val="bottom"/>
            <w:hideMark/>
          </w:tcPr>
          <w:p w14:paraId="497500B1" w14:textId="77777777" w:rsidR="00343E34" w:rsidRPr="00343E34" w:rsidRDefault="00343E34" w:rsidP="00343E34">
            <w:pPr>
              <w:spacing w:line="240" w:lineRule="auto"/>
              <w:rPr>
                <w:rFonts w:cs="Times New Roman"/>
                <w:color w:val="000000"/>
              </w:rPr>
            </w:pPr>
          </w:p>
        </w:tc>
        <w:tc>
          <w:tcPr>
            <w:tcW w:w="427" w:type="pct"/>
            <w:gridSpan w:val="2"/>
            <w:tcBorders>
              <w:top w:val="nil"/>
              <w:left w:val="nil"/>
              <w:bottom w:val="nil"/>
              <w:right w:val="nil"/>
            </w:tcBorders>
            <w:shd w:val="clear" w:color="auto" w:fill="auto"/>
            <w:noWrap/>
            <w:vAlign w:val="bottom"/>
            <w:hideMark/>
          </w:tcPr>
          <w:p w14:paraId="28A86DC7" w14:textId="77777777" w:rsidR="00343E34" w:rsidRPr="00343E34" w:rsidRDefault="00343E34" w:rsidP="00343E34">
            <w:pPr>
              <w:spacing w:line="240" w:lineRule="auto"/>
              <w:rPr>
                <w:rFonts w:cs="Times New Roman"/>
                <w:sz w:val="20"/>
                <w:szCs w:val="20"/>
              </w:rPr>
            </w:pPr>
          </w:p>
        </w:tc>
        <w:tc>
          <w:tcPr>
            <w:tcW w:w="419" w:type="pct"/>
            <w:tcBorders>
              <w:top w:val="nil"/>
              <w:left w:val="nil"/>
              <w:bottom w:val="nil"/>
              <w:right w:val="nil"/>
            </w:tcBorders>
            <w:shd w:val="clear" w:color="000000" w:fill="BFBFBF"/>
            <w:noWrap/>
            <w:vAlign w:val="bottom"/>
            <w:hideMark/>
          </w:tcPr>
          <w:p w14:paraId="60883F36" w14:textId="77777777" w:rsidR="00343E34" w:rsidRPr="00343E34" w:rsidRDefault="00343E34" w:rsidP="00343E34">
            <w:pPr>
              <w:spacing w:line="240" w:lineRule="auto"/>
              <w:jc w:val="right"/>
              <w:rPr>
                <w:rFonts w:cs="Times New Roman"/>
                <w:color w:val="000000"/>
              </w:rPr>
            </w:pPr>
            <w:r w:rsidRPr="00343E34">
              <w:rPr>
                <w:rFonts w:cs="Times New Roman"/>
                <w:color w:val="000000"/>
              </w:rPr>
              <w:t>-0.37</w:t>
            </w:r>
          </w:p>
        </w:tc>
        <w:tc>
          <w:tcPr>
            <w:tcW w:w="419" w:type="pct"/>
            <w:gridSpan w:val="2"/>
            <w:tcBorders>
              <w:top w:val="nil"/>
              <w:left w:val="nil"/>
              <w:bottom w:val="nil"/>
              <w:right w:val="nil"/>
            </w:tcBorders>
            <w:shd w:val="clear" w:color="000000" w:fill="BFBFBF"/>
            <w:noWrap/>
            <w:vAlign w:val="bottom"/>
            <w:hideMark/>
          </w:tcPr>
          <w:p w14:paraId="65EDE53D" w14:textId="77777777" w:rsidR="00343E34" w:rsidRPr="00343E34" w:rsidRDefault="00343E34" w:rsidP="00343E34">
            <w:pPr>
              <w:spacing w:line="240" w:lineRule="auto"/>
              <w:rPr>
                <w:rFonts w:cs="Times New Roman"/>
                <w:color w:val="000000"/>
              </w:rPr>
            </w:pPr>
            <w:r w:rsidRPr="00343E34">
              <w:rPr>
                <w:rFonts w:cs="Times New Roman"/>
                <w:color w:val="000000"/>
              </w:rPr>
              <w:t>***</w:t>
            </w:r>
          </w:p>
        </w:tc>
        <w:tc>
          <w:tcPr>
            <w:tcW w:w="432" w:type="pct"/>
            <w:gridSpan w:val="2"/>
            <w:tcBorders>
              <w:top w:val="nil"/>
              <w:left w:val="nil"/>
              <w:bottom w:val="nil"/>
              <w:right w:val="nil"/>
            </w:tcBorders>
            <w:shd w:val="clear" w:color="000000" w:fill="BFBFBF"/>
            <w:noWrap/>
            <w:vAlign w:val="bottom"/>
            <w:hideMark/>
          </w:tcPr>
          <w:p w14:paraId="72804134" w14:textId="77777777" w:rsidR="00343E34" w:rsidRPr="00343E34" w:rsidRDefault="00343E34" w:rsidP="00343E34">
            <w:pPr>
              <w:spacing w:line="240" w:lineRule="auto"/>
              <w:rPr>
                <w:rFonts w:cs="Times New Roman"/>
                <w:color w:val="000000"/>
              </w:rPr>
            </w:pPr>
            <w:r w:rsidRPr="00343E34">
              <w:rPr>
                <w:rFonts w:cs="Times New Roman"/>
                <w:color w:val="000000"/>
              </w:rPr>
              <w:t> </w:t>
            </w:r>
          </w:p>
        </w:tc>
        <w:tc>
          <w:tcPr>
            <w:tcW w:w="428" w:type="pct"/>
            <w:gridSpan w:val="2"/>
            <w:tcBorders>
              <w:top w:val="nil"/>
              <w:left w:val="nil"/>
              <w:bottom w:val="nil"/>
              <w:right w:val="nil"/>
            </w:tcBorders>
            <w:shd w:val="clear" w:color="000000" w:fill="BFBFBF"/>
            <w:noWrap/>
            <w:vAlign w:val="bottom"/>
            <w:hideMark/>
          </w:tcPr>
          <w:p w14:paraId="3D52653F" w14:textId="77777777" w:rsidR="00343E34" w:rsidRPr="00343E34" w:rsidRDefault="00343E34" w:rsidP="00343E34">
            <w:pPr>
              <w:spacing w:line="240" w:lineRule="auto"/>
              <w:rPr>
                <w:rFonts w:cs="Times New Roman"/>
                <w:color w:val="000000"/>
              </w:rPr>
            </w:pPr>
            <w:r w:rsidRPr="00343E34">
              <w:rPr>
                <w:rFonts w:cs="Times New Roman"/>
                <w:color w:val="000000"/>
              </w:rPr>
              <w:t> </w:t>
            </w:r>
          </w:p>
        </w:tc>
      </w:tr>
      <w:tr w:rsidR="00FA4834" w:rsidRPr="00343E34" w14:paraId="229BEDC6" w14:textId="77777777" w:rsidTr="0015289A">
        <w:trPr>
          <w:trHeight w:val="315"/>
        </w:trPr>
        <w:tc>
          <w:tcPr>
            <w:tcW w:w="1604" w:type="pct"/>
            <w:tcBorders>
              <w:top w:val="nil"/>
              <w:left w:val="nil"/>
              <w:bottom w:val="nil"/>
              <w:right w:val="nil"/>
            </w:tcBorders>
            <w:shd w:val="clear" w:color="auto" w:fill="auto"/>
            <w:noWrap/>
            <w:vAlign w:val="bottom"/>
            <w:hideMark/>
          </w:tcPr>
          <w:p w14:paraId="15D927BF" w14:textId="77777777" w:rsidR="00343E34" w:rsidRPr="00343E34" w:rsidRDefault="00343E34" w:rsidP="00343E34">
            <w:pPr>
              <w:spacing w:line="240" w:lineRule="auto"/>
              <w:rPr>
                <w:rFonts w:cs="Times New Roman"/>
                <w:b/>
                <w:bCs/>
              </w:rPr>
            </w:pPr>
            <w:r w:rsidRPr="00343E34">
              <w:rPr>
                <w:rFonts w:cs="Times New Roman"/>
                <w:b/>
                <w:bCs/>
              </w:rPr>
              <w:t>Plant Color</w:t>
            </w:r>
            <w:r w:rsidRPr="00343E34">
              <w:rPr>
                <w:rFonts w:cs="Times New Roman"/>
                <w:b/>
                <w:bCs/>
                <w:vertAlign w:val="superscript"/>
              </w:rPr>
              <w:t>‡</w:t>
            </w:r>
            <w:r w:rsidRPr="00343E34">
              <w:rPr>
                <w:rFonts w:cs="Times New Roman"/>
                <w:b/>
                <w:bCs/>
              </w:rPr>
              <w:t xml:space="preserve"> </w:t>
            </w:r>
          </w:p>
        </w:tc>
        <w:tc>
          <w:tcPr>
            <w:tcW w:w="420" w:type="pct"/>
            <w:tcBorders>
              <w:top w:val="nil"/>
              <w:left w:val="nil"/>
              <w:bottom w:val="nil"/>
              <w:right w:val="nil"/>
            </w:tcBorders>
            <w:shd w:val="clear" w:color="auto" w:fill="auto"/>
            <w:noWrap/>
            <w:vAlign w:val="bottom"/>
            <w:hideMark/>
          </w:tcPr>
          <w:p w14:paraId="46D68641" w14:textId="77777777" w:rsidR="00343E34" w:rsidRPr="00343E34" w:rsidRDefault="00343E34" w:rsidP="00343E34">
            <w:pPr>
              <w:spacing w:line="240" w:lineRule="auto"/>
              <w:jc w:val="right"/>
              <w:rPr>
                <w:rFonts w:cs="Times New Roman"/>
                <w:color w:val="000000"/>
              </w:rPr>
            </w:pPr>
            <w:r w:rsidRPr="00343E34">
              <w:rPr>
                <w:rFonts w:cs="Times New Roman"/>
                <w:color w:val="000000"/>
              </w:rPr>
              <w:t>-0.03</w:t>
            </w:r>
          </w:p>
        </w:tc>
        <w:tc>
          <w:tcPr>
            <w:tcW w:w="418" w:type="pct"/>
            <w:gridSpan w:val="2"/>
            <w:tcBorders>
              <w:top w:val="nil"/>
              <w:left w:val="nil"/>
              <w:bottom w:val="nil"/>
              <w:right w:val="nil"/>
            </w:tcBorders>
            <w:shd w:val="clear" w:color="auto" w:fill="auto"/>
            <w:noWrap/>
            <w:vAlign w:val="bottom"/>
            <w:hideMark/>
          </w:tcPr>
          <w:p w14:paraId="2EE94A79" w14:textId="77777777" w:rsidR="00343E34" w:rsidRPr="00343E34" w:rsidRDefault="00343E34" w:rsidP="00343E34">
            <w:pPr>
              <w:spacing w:line="240" w:lineRule="auto"/>
              <w:jc w:val="right"/>
              <w:rPr>
                <w:rFonts w:cs="Times New Roman"/>
                <w:color w:val="000000"/>
              </w:rPr>
            </w:pPr>
          </w:p>
        </w:tc>
        <w:tc>
          <w:tcPr>
            <w:tcW w:w="433" w:type="pct"/>
            <w:gridSpan w:val="2"/>
            <w:tcBorders>
              <w:top w:val="nil"/>
              <w:left w:val="nil"/>
              <w:bottom w:val="nil"/>
              <w:right w:val="nil"/>
            </w:tcBorders>
            <w:shd w:val="clear" w:color="auto" w:fill="auto"/>
            <w:noWrap/>
            <w:vAlign w:val="bottom"/>
            <w:hideMark/>
          </w:tcPr>
          <w:p w14:paraId="46DADC26" w14:textId="77777777" w:rsidR="00343E34" w:rsidRPr="00343E34" w:rsidRDefault="00343E34" w:rsidP="00343E34">
            <w:pPr>
              <w:spacing w:line="240" w:lineRule="auto"/>
              <w:rPr>
                <w:rFonts w:cs="Times New Roman"/>
                <w:sz w:val="20"/>
                <w:szCs w:val="20"/>
              </w:rPr>
            </w:pPr>
          </w:p>
        </w:tc>
        <w:tc>
          <w:tcPr>
            <w:tcW w:w="427" w:type="pct"/>
            <w:gridSpan w:val="2"/>
            <w:tcBorders>
              <w:top w:val="nil"/>
              <w:left w:val="nil"/>
              <w:bottom w:val="nil"/>
              <w:right w:val="nil"/>
            </w:tcBorders>
            <w:shd w:val="clear" w:color="auto" w:fill="auto"/>
            <w:noWrap/>
            <w:vAlign w:val="bottom"/>
            <w:hideMark/>
          </w:tcPr>
          <w:p w14:paraId="553C6FA0" w14:textId="77777777" w:rsidR="00343E34" w:rsidRPr="00343E34" w:rsidRDefault="00343E34" w:rsidP="00343E34">
            <w:pPr>
              <w:spacing w:line="240" w:lineRule="auto"/>
              <w:rPr>
                <w:rFonts w:cs="Times New Roman"/>
                <w:sz w:val="20"/>
                <w:szCs w:val="20"/>
              </w:rPr>
            </w:pPr>
          </w:p>
        </w:tc>
        <w:tc>
          <w:tcPr>
            <w:tcW w:w="419" w:type="pct"/>
            <w:tcBorders>
              <w:top w:val="nil"/>
              <w:left w:val="nil"/>
              <w:bottom w:val="nil"/>
              <w:right w:val="nil"/>
            </w:tcBorders>
            <w:shd w:val="clear" w:color="auto" w:fill="auto"/>
            <w:noWrap/>
            <w:vAlign w:val="bottom"/>
            <w:hideMark/>
          </w:tcPr>
          <w:p w14:paraId="0A933474" w14:textId="77777777" w:rsidR="00343E34" w:rsidRPr="00343E34" w:rsidRDefault="00343E34" w:rsidP="00343E34">
            <w:pPr>
              <w:spacing w:line="240" w:lineRule="auto"/>
              <w:jc w:val="right"/>
              <w:rPr>
                <w:rFonts w:cs="Times New Roman"/>
                <w:color w:val="000000"/>
              </w:rPr>
            </w:pPr>
            <w:r w:rsidRPr="00343E34">
              <w:rPr>
                <w:rFonts w:cs="Times New Roman"/>
                <w:color w:val="000000"/>
              </w:rPr>
              <w:t>0.00</w:t>
            </w:r>
          </w:p>
        </w:tc>
        <w:tc>
          <w:tcPr>
            <w:tcW w:w="419" w:type="pct"/>
            <w:gridSpan w:val="2"/>
            <w:tcBorders>
              <w:top w:val="nil"/>
              <w:left w:val="nil"/>
              <w:bottom w:val="nil"/>
              <w:right w:val="nil"/>
            </w:tcBorders>
            <w:shd w:val="clear" w:color="auto" w:fill="auto"/>
            <w:noWrap/>
            <w:vAlign w:val="bottom"/>
            <w:hideMark/>
          </w:tcPr>
          <w:p w14:paraId="4C500C20" w14:textId="77777777" w:rsidR="00343E34" w:rsidRPr="00343E34" w:rsidRDefault="00343E34" w:rsidP="00343E34">
            <w:pPr>
              <w:spacing w:line="240" w:lineRule="auto"/>
              <w:jc w:val="right"/>
              <w:rPr>
                <w:rFonts w:cs="Times New Roman"/>
                <w:color w:val="000000"/>
              </w:rPr>
            </w:pPr>
          </w:p>
        </w:tc>
        <w:tc>
          <w:tcPr>
            <w:tcW w:w="432" w:type="pct"/>
            <w:gridSpan w:val="2"/>
            <w:tcBorders>
              <w:top w:val="nil"/>
              <w:left w:val="nil"/>
              <w:bottom w:val="nil"/>
              <w:right w:val="nil"/>
            </w:tcBorders>
            <w:shd w:val="clear" w:color="auto" w:fill="auto"/>
            <w:noWrap/>
            <w:vAlign w:val="bottom"/>
            <w:hideMark/>
          </w:tcPr>
          <w:p w14:paraId="35EDF421" w14:textId="77777777" w:rsidR="00343E34" w:rsidRPr="00343E34" w:rsidRDefault="00343E34" w:rsidP="00343E34">
            <w:pPr>
              <w:spacing w:line="240" w:lineRule="auto"/>
              <w:rPr>
                <w:rFonts w:cs="Times New Roman"/>
                <w:sz w:val="20"/>
                <w:szCs w:val="20"/>
              </w:rPr>
            </w:pPr>
          </w:p>
        </w:tc>
        <w:tc>
          <w:tcPr>
            <w:tcW w:w="428" w:type="pct"/>
            <w:gridSpan w:val="2"/>
            <w:tcBorders>
              <w:top w:val="nil"/>
              <w:left w:val="nil"/>
              <w:bottom w:val="nil"/>
              <w:right w:val="nil"/>
            </w:tcBorders>
            <w:shd w:val="clear" w:color="auto" w:fill="auto"/>
            <w:noWrap/>
            <w:vAlign w:val="bottom"/>
            <w:hideMark/>
          </w:tcPr>
          <w:p w14:paraId="04BB5AED" w14:textId="77777777" w:rsidR="00343E34" w:rsidRPr="00343E34" w:rsidRDefault="00343E34" w:rsidP="00343E34">
            <w:pPr>
              <w:spacing w:line="240" w:lineRule="auto"/>
              <w:rPr>
                <w:rFonts w:cs="Times New Roman"/>
                <w:sz w:val="20"/>
                <w:szCs w:val="20"/>
              </w:rPr>
            </w:pPr>
          </w:p>
        </w:tc>
      </w:tr>
      <w:tr w:rsidR="00FA4834" w:rsidRPr="00343E34" w14:paraId="2D365C62" w14:textId="77777777" w:rsidTr="0015289A">
        <w:trPr>
          <w:trHeight w:val="315"/>
        </w:trPr>
        <w:tc>
          <w:tcPr>
            <w:tcW w:w="1604" w:type="pct"/>
            <w:tcBorders>
              <w:top w:val="nil"/>
              <w:left w:val="nil"/>
              <w:bottom w:val="nil"/>
              <w:right w:val="nil"/>
            </w:tcBorders>
            <w:shd w:val="clear" w:color="auto" w:fill="auto"/>
            <w:noWrap/>
            <w:vAlign w:val="bottom"/>
            <w:hideMark/>
          </w:tcPr>
          <w:p w14:paraId="52FD76D5" w14:textId="77777777" w:rsidR="00343E34" w:rsidRPr="00343E34" w:rsidRDefault="00343E34" w:rsidP="00343E34">
            <w:pPr>
              <w:spacing w:line="240" w:lineRule="auto"/>
              <w:rPr>
                <w:rFonts w:cs="Times New Roman"/>
                <w:b/>
                <w:bCs/>
              </w:rPr>
            </w:pPr>
            <w:r w:rsidRPr="00343E34">
              <w:rPr>
                <w:rFonts w:cs="Times New Roman"/>
                <w:b/>
                <w:bCs/>
              </w:rPr>
              <w:t>Canopy</w:t>
            </w:r>
            <w:r w:rsidRPr="00343E34">
              <w:rPr>
                <w:rFonts w:cs="Times New Roman"/>
                <w:b/>
                <w:bCs/>
                <w:vertAlign w:val="superscript"/>
              </w:rPr>
              <w:t>§</w:t>
            </w:r>
          </w:p>
        </w:tc>
        <w:tc>
          <w:tcPr>
            <w:tcW w:w="420" w:type="pct"/>
            <w:tcBorders>
              <w:top w:val="nil"/>
              <w:left w:val="nil"/>
              <w:bottom w:val="nil"/>
              <w:right w:val="nil"/>
            </w:tcBorders>
            <w:shd w:val="clear" w:color="000000" w:fill="BFBFBF"/>
            <w:noWrap/>
            <w:vAlign w:val="bottom"/>
            <w:hideMark/>
          </w:tcPr>
          <w:p w14:paraId="60C4A22B" w14:textId="77777777" w:rsidR="00343E34" w:rsidRPr="00343E34" w:rsidRDefault="00343E34" w:rsidP="00343E34">
            <w:pPr>
              <w:spacing w:line="240" w:lineRule="auto"/>
              <w:jc w:val="right"/>
              <w:rPr>
                <w:rFonts w:cs="Times New Roman"/>
                <w:color w:val="000000"/>
              </w:rPr>
            </w:pPr>
            <w:r w:rsidRPr="00343E34">
              <w:rPr>
                <w:rFonts w:cs="Times New Roman"/>
                <w:color w:val="000000"/>
              </w:rPr>
              <w:t>0.44</w:t>
            </w:r>
          </w:p>
        </w:tc>
        <w:tc>
          <w:tcPr>
            <w:tcW w:w="418" w:type="pct"/>
            <w:gridSpan w:val="2"/>
            <w:tcBorders>
              <w:top w:val="nil"/>
              <w:left w:val="nil"/>
              <w:bottom w:val="nil"/>
              <w:right w:val="nil"/>
            </w:tcBorders>
            <w:shd w:val="clear" w:color="000000" w:fill="BFBFBF"/>
            <w:noWrap/>
            <w:vAlign w:val="bottom"/>
            <w:hideMark/>
          </w:tcPr>
          <w:p w14:paraId="728E2ED3" w14:textId="77777777" w:rsidR="00343E34" w:rsidRPr="00343E34" w:rsidRDefault="00343E34" w:rsidP="00343E34">
            <w:pPr>
              <w:spacing w:line="240" w:lineRule="auto"/>
              <w:rPr>
                <w:rFonts w:cs="Times New Roman"/>
                <w:color w:val="000000"/>
              </w:rPr>
            </w:pPr>
            <w:r w:rsidRPr="00343E34">
              <w:rPr>
                <w:rFonts w:cs="Times New Roman"/>
                <w:color w:val="000000"/>
              </w:rPr>
              <w:t>***</w:t>
            </w:r>
          </w:p>
        </w:tc>
        <w:tc>
          <w:tcPr>
            <w:tcW w:w="433" w:type="pct"/>
            <w:gridSpan w:val="2"/>
            <w:tcBorders>
              <w:top w:val="nil"/>
              <w:left w:val="nil"/>
              <w:bottom w:val="nil"/>
              <w:right w:val="nil"/>
            </w:tcBorders>
            <w:shd w:val="clear" w:color="auto" w:fill="auto"/>
            <w:noWrap/>
            <w:vAlign w:val="bottom"/>
            <w:hideMark/>
          </w:tcPr>
          <w:p w14:paraId="53A7415F" w14:textId="77777777" w:rsidR="00343E34" w:rsidRPr="00343E34" w:rsidRDefault="00343E34" w:rsidP="00343E34">
            <w:pPr>
              <w:spacing w:line="240" w:lineRule="auto"/>
              <w:rPr>
                <w:rFonts w:cs="Times New Roman"/>
                <w:color w:val="000000"/>
              </w:rPr>
            </w:pPr>
          </w:p>
        </w:tc>
        <w:tc>
          <w:tcPr>
            <w:tcW w:w="427" w:type="pct"/>
            <w:gridSpan w:val="2"/>
            <w:tcBorders>
              <w:top w:val="nil"/>
              <w:left w:val="nil"/>
              <w:bottom w:val="nil"/>
              <w:right w:val="nil"/>
            </w:tcBorders>
            <w:shd w:val="clear" w:color="auto" w:fill="auto"/>
            <w:noWrap/>
            <w:vAlign w:val="bottom"/>
            <w:hideMark/>
          </w:tcPr>
          <w:p w14:paraId="5283C8EE" w14:textId="77777777" w:rsidR="00343E34" w:rsidRPr="00343E34" w:rsidRDefault="00343E34" w:rsidP="00343E34">
            <w:pPr>
              <w:spacing w:line="240" w:lineRule="auto"/>
              <w:rPr>
                <w:rFonts w:cs="Times New Roman"/>
                <w:sz w:val="20"/>
                <w:szCs w:val="20"/>
              </w:rPr>
            </w:pPr>
          </w:p>
        </w:tc>
        <w:tc>
          <w:tcPr>
            <w:tcW w:w="419" w:type="pct"/>
            <w:tcBorders>
              <w:top w:val="nil"/>
              <w:left w:val="nil"/>
              <w:bottom w:val="nil"/>
              <w:right w:val="nil"/>
            </w:tcBorders>
            <w:shd w:val="clear" w:color="auto" w:fill="auto"/>
            <w:noWrap/>
            <w:vAlign w:val="bottom"/>
            <w:hideMark/>
          </w:tcPr>
          <w:p w14:paraId="24C03020" w14:textId="77777777" w:rsidR="00343E34" w:rsidRPr="00343E34" w:rsidRDefault="00343E34" w:rsidP="00343E34">
            <w:pPr>
              <w:spacing w:line="240" w:lineRule="auto"/>
              <w:jc w:val="right"/>
              <w:rPr>
                <w:rFonts w:cs="Times New Roman"/>
                <w:color w:val="000000"/>
              </w:rPr>
            </w:pPr>
            <w:r w:rsidRPr="00343E34">
              <w:rPr>
                <w:rFonts w:cs="Times New Roman"/>
                <w:color w:val="000000"/>
              </w:rPr>
              <w:t>0.00</w:t>
            </w:r>
          </w:p>
        </w:tc>
        <w:tc>
          <w:tcPr>
            <w:tcW w:w="419" w:type="pct"/>
            <w:gridSpan w:val="2"/>
            <w:tcBorders>
              <w:top w:val="nil"/>
              <w:left w:val="nil"/>
              <w:bottom w:val="nil"/>
              <w:right w:val="nil"/>
            </w:tcBorders>
            <w:shd w:val="clear" w:color="auto" w:fill="auto"/>
            <w:noWrap/>
            <w:vAlign w:val="bottom"/>
            <w:hideMark/>
          </w:tcPr>
          <w:p w14:paraId="7C02F10C" w14:textId="77777777" w:rsidR="00343E34" w:rsidRPr="00343E34" w:rsidRDefault="00343E34" w:rsidP="00343E34">
            <w:pPr>
              <w:spacing w:line="240" w:lineRule="auto"/>
              <w:jc w:val="right"/>
              <w:rPr>
                <w:rFonts w:cs="Times New Roman"/>
                <w:color w:val="000000"/>
              </w:rPr>
            </w:pPr>
          </w:p>
        </w:tc>
        <w:tc>
          <w:tcPr>
            <w:tcW w:w="432" w:type="pct"/>
            <w:gridSpan w:val="2"/>
            <w:tcBorders>
              <w:top w:val="nil"/>
              <w:left w:val="nil"/>
              <w:bottom w:val="nil"/>
              <w:right w:val="nil"/>
            </w:tcBorders>
            <w:shd w:val="clear" w:color="auto" w:fill="auto"/>
            <w:noWrap/>
            <w:vAlign w:val="bottom"/>
            <w:hideMark/>
          </w:tcPr>
          <w:p w14:paraId="17E646C2" w14:textId="77777777" w:rsidR="00343E34" w:rsidRPr="00343E34" w:rsidRDefault="00343E34" w:rsidP="00343E34">
            <w:pPr>
              <w:spacing w:line="240" w:lineRule="auto"/>
              <w:rPr>
                <w:rFonts w:cs="Times New Roman"/>
                <w:sz w:val="20"/>
                <w:szCs w:val="20"/>
              </w:rPr>
            </w:pPr>
          </w:p>
        </w:tc>
        <w:tc>
          <w:tcPr>
            <w:tcW w:w="428" w:type="pct"/>
            <w:gridSpan w:val="2"/>
            <w:tcBorders>
              <w:top w:val="nil"/>
              <w:left w:val="nil"/>
              <w:bottom w:val="nil"/>
              <w:right w:val="nil"/>
            </w:tcBorders>
            <w:shd w:val="clear" w:color="auto" w:fill="auto"/>
            <w:noWrap/>
            <w:vAlign w:val="bottom"/>
            <w:hideMark/>
          </w:tcPr>
          <w:p w14:paraId="78353B71" w14:textId="77777777" w:rsidR="00343E34" w:rsidRPr="00343E34" w:rsidRDefault="00343E34" w:rsidP="00343E34">
            <w:pPr>
              <w:spacing w:line="240" w:lineRule="auto"/>
              <w:rPr>
                <w:rFonts w:cs="Times New Roman"/>
                <w:sz w:val="20"/>
                <w:szCs w:val="20"/>
              </w:rPr>
            </w:pPr>
          </w:p>
        </w:tc>
      </w:tr>
      <w:tr w:rsidR="00FA4834" w:rsidRPr="00343E34" w14:paraId="64B399CB" w14:textId="77777777" w:rsidTr="0015289A">
        <w:trPr>
          <w:trHeight w:val="315"/>
        </w:trPr>
        <w:tc>
          <w:tcPr>
            <w:tcW w:w="1604" w:type="pct"/>
            <w:tcBorders>
              <w:top w:val="nil"/>
              <w:left w:val="nil"/>
              <w:bottom w:val="nil"/>
              <w:right w:val="nil"/>
            </w:tcBorders>
            <w:shd w:val="clear" w:color="auto" w:fill="auto"/>
            <w:noWrap/>
            <w:vAlign w:val="bottom"/>
            <w:hideMark/>
          </w:tcPr>
          <w:p w14:paraId="1982D8AC" w14:textId="77777777" w:rsidR="00343E34" w:rsidRPr="00343E34" w:rsidRDefault="00343E34" w:rsidP="00343E34">
            <w:pPr>
              <w:spacing w:line="240" w:lineRule="auto"/>
              <w:rPr>
                <w:rFonts w:cs="Times New Roman"/>
                <w:b/>
                <w:bCs/>
              </w:rPr>
            </w:pPr>
            <w:r w:rsidRPr="00343E34">
              <w:rPr>
                <w:rFonts w:cs="Times New Roman"/>
                <w:b/>
                <w:bCs/>
              </w:rPr>
              <w:t>Leaf Angle</w:t>
            </w:r>
            <w:r w:rsidRPr="00343E34">
              <w:rPr>
                <w:rFonts w:cs="Times New Roman"/>
                <w:b/>
                <w:bCs/>
                <w:vertAlign w:val="superscript"/>
              </w:rPr>
              <w:t xml:space="preserve"> ¶</w:t>
            </w:r>
          </w:p>
        </w:tc>
        <w:tc>
          <w:tcPr>
            <w:tcW w:w="420" w:type="pct"/>
            <w:tcBorders>
              <w:top w:val="nil"/>
              <w:left w:val="nil"/>
              <w:bottom w:val="nil"/>
              <w:right w:val="nil"/>
            </w:tcBorders>
            <w:shd w:val="clear" w:color="auto" w:fill="auto"/>
            <w:noWrap/>
            <w:vAlign w:val="bottom"/>
            <w:hideMark/>
          </w:tcPr>
          <w:p w14:paraId="4BBEF362" w14:textId="77777777" w:rsidR="00343E34" w:rsidRPr="00343E34" w:rsidRDefault="00343E34" w:rsidP="00343E34">
            <w:pPr>
              <w:spacing w:line="240" w:lineRule="auto"/>
              <w:jc w:val="right"/>
              <w:rPr>
                <w:rFonts w:cs="Times New Roman"/>
                <w:color w:val="000000"/>
              </w:rPr>
            </w:pPr>
            <w:r w:rsidRPr="00343E34">
              <w:rPr>
                <w:rFonts w:cs="Times New Roman"/>
                <w:color w:val="000000"/>
              </w:rPr>
              <w:t>-0.08</w:t>
            </w:r>
          </w:p>
        </w:tc>
        <w:tc>
          <w:tcPr>
            <w:tcW w:w="418" w:type="pct"/>
            <w:gridSpan w:val="2"/>
            <w:tcBorders>
              <w:top w:val="nil"/>
              <w:left w:val="nil"/>
              <w:bottom w:val="nil"/>
              <w:right w:val="nil"/>
            </w:tcBorders>
            <w:shd w:val="clear" w:color="auto" w:fill="auto"/>
            <w:noWrap/>
            <w:vAlign w:val="bottom"/>
            <w:hideMark/>
          </w:tcPr>
          <w:p w14:paraId="778BD994" w14:textId="77777777" w:rsidR="00343E34" w:rsidRPr="00343E34" w:rsidRDefault="00343E34" w:rsidP="00343E34">
            <w:pPr>
              <w:spacing w:line="240" w:lineRule="auto"/>
              <w:jc w:val="right"/>
              <w:rPr>
                <w:rFonts w:cs="Times New Roman"/>
                <w:color w:val="000000"/>
              </w:rPr>
            </w:pPr>
          </w:p>
        </w:tc>
        <w:tc>
          <w:tcPr>
            <w:tcW w:w="433" w:type="pct"/>
            <w:gridSpan w:val="2"/>
            <w:tcBorders>
              <w:top w:val="nil"/>
              <w:left w:val="nil"/>
              <w:bottom w:val="nil"/>
              <w:right w:val="nil"/>
            </w:tcBorders>
            <w:shd w:val="clear" w:color="auto" w:fill="auto"/>
            <w:noWrap/>
            <w:vAlign w:val="bottom"/>
            <w:hideMark/>
          </w:tcPr>
          <w:p w14:paraId="4B2700F2" w14:textId="77777777" w:rsidR="00343E34" w:rsidRPr="00343E34" w:rsidRDefault="00343E34" w:rsidP="00343E34">
            <w:pPr>
              <w:spacing w:line="240" w:lineRule="auto"/>
              <w:rPr>
                <w:rFonts w:cs="Times New Roman"/>
                <w:sz w:val="20"/>
                <w:szCs w:val="20"/>
              </w:rPr>
            </w:pPr>
          </w:p>
        </w:tc>
        <w:tc>
          <w:tcPr>
            <w:tcW w:w="427" w:type="pct"/>
            <w:gridSpan w:val="2"/>
            <w:tcBorders>
              <w:top w:val="nil"/>
              <w:left w:val="nil"/>
              <w:bottom w:val="nil"/>
              <w:right w:val="nil"/>
            </w:tcBorders>
            <w:shd w:val="clear" w:color="auto" w:fill="auto"/>
            <w:noWrap/>
            <w:vAlign w:val="bottom"/>
            <w:hideMark/>
          </w:tcPr>
          <w:p w14:paraId="325C1942" w14:textId="77777777" w:rsidR="00343E34" w:rsidRPr="00343E34" w:rsidRDefault="00343E34" w:rsidP="00343E34">
            <w:pPr>
              <w:spacing w:line="240" w:lineRule="auto"/>
              <w:rPr>
                <w:rFonts w:cs="Times New Roman"/>
                <w:sz w:val="20"/>
                <w:szCs w:val="20"/>
              </w:rPr>
            </w:pPr>
          </w:p>
        </w:tc>
        <w:tc>
          <w:tcPr>
            <w:tcW w:w="419" w:type="pct"/>
            <w:tcBorders>
              <w:top w:val="nil"/>
              <w:left w:val="nil"/>
              <w:bottom w:val="nil"/>
              <w:right w:val="nil"/>
            </w:tcBorders>
            <w:shd w:val="clear" w:color="auto" w:fill="auto"/>
            <w:noWrap/>
            <w:vAlign w:val="bottom"/>
            <w:hideMark/>
          </w:tcPr>
          <w:p w14:paraId="1241CE8C" w14:textId="77777777" w:rsidR="00343E34" w:rsidRPr="00343E34" w:rsidRDefault="00343E34" w:rsidP="00343E34">
            <w:pPr>
              <w:spacing w:line="240" w:lineRule="auto"/>
              <w:jc w:val="right"/>
              <w:rPr>
                <w:rFonts w:cs="Times New Roman"/>
                <w:color w:val="000000"/>
              </w:rPr>
            </w:pPr>
            <w:r w:rsidRPr="00343E34">
              <w:rPr>
                <w:rFonts w:cs="Times New Roman"/>
                <w:color w:val="000000"/>
              </w:rPr>
              <w:t>-0.03</w:t>
            </w:r>
          </w:p>
        </w:tc>
        <w:tc>
          <w:tcPr>
            <w:tcW w:w="419" w:type="pct"/>
            <w:gridSpan w:val="2"/>
            <w:tcBorders>
              <w:top w:val="nil"/>
              <w:left w:val="nil"/>
              <w:bottom w:val="nil"/>
              <w:right w:val="nil"/>
            </w:tcBorders>
            <w:shd w:val="clear" w:color="auto" w:fill="auto"/>
            <w:noWrap/>
            <w:vAlign w:val="bottom"/>
            <w:hideMark/>
          </w:tcPr>
          <w:p w14:paraId="019D94F9" w14:textId="77777777" w:rsidR="00343E34" w:rsidRPr="00343E34" w:rsidRDefault="00343E34" w:rsidP="00343E34">
            <w:pPr>
              <w:spacing w:line="240" w:lineRule="auto"/>
              <w:jc w:val="right"/>
              <w:rPr>
                <w:rFonts w:cs="Times New Roman"/>
                <w:color w:val="000000"/>
              </w:rPr>
            </w:pPr>
          </w:p>
        </w:tc>
        <w:tc>
          <w:tcPr>
            <w:tcW w:w="432" w:type="pct"/>
            <w:gridSpan w:val="2"/>
            <w:tcBorders>
              <w:top w:val="nil"/>
              <w:left w:val="nil"/>
              <w:bottom w:val="nil"/>
              <w:right w:val="nil"/>
            </w:tcBorders>
            <w:shd w:val="clear" w:color="auto" w:fill="auto"/>
            <w:noWrap/>
            <w:vAlign w:val="bottom"/>
            <w:hideMark/>
          </w:tcPr>
          <w:p w14:paraId="1568CC35" w14:textId="77777777" w:rsidR="00343E34" w:rsidRPr="00343E34" w:rsidRDefault="00343E34" w:rsidP="00343E34">
            <w:pPr>
              <w:spacing w:line="240" w:lineRule="auto"/>
              <w:rPr>
                <w:rFonts w:cs="Times New Roman"/>
                <w:sz w:val="20"/>
                <w:szCs w:val="20"/>
              </w:rPr>
            </w:pPr>
          </w:p>
        </w:tc>
        <w:tc>
          <w:tcPr>
            <w:tcW w:w="428" w:type="pct"/>
            <w:gridSpan w:val="2"/>
            <w:tcBorders>
              <w:top w:val="nil"/>
              <w:left w:val="nil"/>
              <w:bottom w:val="nil"/>
              <w:right w:val="nil"/>
            </w:tcBorders>
            <w:shd w:val="clear" w:color="auto" w:fill="auto"/>
            <w:noWrap/>
            <w:vAlign w:val="bottom"/>
            <w:hideMark/>
          </w:tcPr>
          <w:p w14:paraId="706EC61F" w14:textId="77777777" w:rsidR="00343E34" w:rsidRPr="00343E34" w:rsidRDefault="00343E34" w:rsidP="00343E34">
            <w:pPr>
              <w:spacing w:line="240" w:lineRule="auto"/>
              <w:rPr>
                <w:rFonts w:cs="Times New Roman"/>
                <w:sz w:val="20"/>
                <w:szCs w:val="20"/>
              </w:rPr>
            </w:pPr>
          </w:p>
        </w:tc>
      </w:tr>
      <w:tr w:rsidR="00FA4834" w:rsidRPr="00343E34" w14:paraId="014D82E8" w14:textId="77777777" w:rsidTr="0015289A">
        <w:trPr>
          <w:trHeight w:val="315"/>
        </w:trPr>
        <w:tc>
          <w:tcPr>
            <w:tcW w:w="1604" w:type="pct"/>
            <w:tcBorders>
              <w:top w:val="nil"/>
              <w:left w:val="nil"/>
              <w:bottom w:val="nil"/>
              <w:right w:val="nil"/>
            </w:tcBorders>
            <w:shd w:val="clear" w:color="auto" w:fill="auto"/>
            <w:noWrap/>
            <w:vAlign w:val="bottom"/>
            <w:hideMark/>
          </w:tcPr>
          <w:p w14:paraId="591FF303" w14:textId="77777777" w:rsidR="00343E34" w:rsidRPr="00343E34" w:rsidRDefault="00343E34" w:rsidP="00343E34">
            <w:pPr>
              <w:spacing w:line="240" w:lineRule="auto"/>
              <w:rPr>
                <w:rFonts w:cs="Times New Roman"/>
                <w:b/>
                <w:bCs/>
              </w:rPr>
            </w:pPr>
            <w:r w:rsidRPr="00343E34">
              <w:rPr>
                <w:rFonts w:cs="Times New Roman"/>
                <w:b/>
                <w:bCs/>
              </w:rPr>
              <w:t>Tiller Number</w:t>
            </w:r>
          </w:p>
        </w:tc>
        <w:tc>
          <w:tcPr>
            <w:tcW w:w="420" w:type="pct"/>
            <w:tcBorders>
              <w:top w:val="nil"/>
              <w:left w:val="nil"/>
              <w:bottom w:val="nil"/>
              <w:right w:val="nil"/>
            </w:tcBorders>
            <w:shd w:val="clear" w:color="000000" w:fill="808080"/>
            <w:noWrap/>
            <w:vAlign w:val="bottom"/>
            <w:hideMark/>
          </w:tcPr>
          <w:p w14:paraId="39BA9401" w14:textId="77777777" w:rsidR="00343E34" w:rsidRPr="00343E34" w:rsidRDefault="00343E34" w:rsidP="00343E34">
            <w:pPr>
              <w:spacing w:line="240" w:lineRule="auto"/>
              <w:jc w:val="right"/>
              <w:rPr>
                <w:rFonts w:cs="Times New Roman"/>
                <w:color w:val="000000"/>
              </w:rPr>
            </w:pPr>
            <w:r w:rsidRPr="00343E34">
              <w:rPr>
                <w:rFonts w:cs="Times New Roman"/>
                <w:color w:val="000000"/>
              </w:rPr>
              <w:t>0.82</w:t>
            </w:r>
          </w:p>
        </w:tc>
        <w:tc>
          <w:tcPr>
            <w:tcW w:w="418" w:type="pct"/>
            <w:gridSpan w:val="2"/>
            <w:tcBorders>
              <w:top w:val="nil"/>
              <w:left w:val="nil"/>
              <w:bottom w:val="nil"/>
              <w:right w:val="nil"/>
            </w:tcBorders>
            <w:shd w:val="clear" w:color="000000" w:fill="808080"/>
            <w:noWrap/>
            <w:vAlign w:val="bottom"/>
            <w:hideMark/>
          </w:tcPr>
          <w:p w14:paraId="45CCC301" w14:textId="77777777" w:rsidR="00343E34" w:rsidRPr="00343E34" w:rsidRDefault="00343E34" w:rsidP="00343E34">
            <w:pPr>
              <w:spacing w:line="240" w:lineRule="auto"/>
              <w:rPr>
                <w:rFonts w:cs="Times New Roman"/>
                <w:color w:val="000000"/>
              </w:rPr>
            </w:pPr>
            <w:r w:rsidRPr="00343E34">
              <w:rPr>
                <w:rFonts w:cs="Times New Roman"/>
                <w:color w:val="000000"/>
              </w:rPr>
              <w:t>***</w:t>
            </w:r>
          </w:p>
        </w:tc>
        <w:tc>
          <w:tcPr>
            <w:tcW w:w="433" w:type="pct"/>
            <w:gridSpan w:val="2"/>
            <w:tcBorders>
              <w:top w:val="nil"/>
              <w:left w:val="nil"/>
              <w:bottom w:val="nil"/>
              <w:right w:val="nil"/>
            </w:tcBorders>
            <w:shd w:val="clear" w:color="000000" w:fill="808080"/>
            <w:noWrap/>
            <w:vAlign w:val="bottom"/>
            <w:hideMark/>
          </w:tcPr>
          <w:p w14:paraId="5B61D2A1" w14:textId="77777777" w:rsidR="00343E34" w:rsidRPr="00343E34" w:rsidRDefault="00343E34" w:rsidP="00343E34">
            <w:pPr>
              <w:spacing w:line="240" w:lineRule="auto"/>
              <w:jc w:val="right"/>
              <w:rPr>
                <w:rFonts w:cs="Times New Roman"/>
                <w:color w:val="000000"/>
              </w:rPr>
            </w:pPr>
            <w:r w:rsidRPr="00343E34">
              <w:rPr>
                <w:rFonts w:cs="Times New Roman"/>
                <w:color w:val="000000"/>
              </w:rPr>
              <w:t>0.74</w:t>
            </w:r>
          </w:p>
        </w:tc>
        <w:tc>
          <w:tcPr>
            <w:tcW w:w="427" w:type="pct"/>
            <w:gridSpan w:val="2"/>
            <w:tcBorders>
              <w:top w:val="nil"/>
              <w:left w:val="nil"/>
              <w:bottom w:val="nil"/>
              <w:right w:val="nil"/>
            </w:tcBorders>
            <w:shd w:val="clear" w:color="000000" w:fill="808080"/>
            <w:noWrap/>
            <w:vAlign w:val="bottom"/>
            <w:hideMark/>
          </w:tcPr>
          <w:p w14:paraId="52DA5F73" w14:textId="77777777" w:rsidR="00343E34" w:rsidRPr="00343E34" w:rsidRDefault="00343E34" w:rsidP="00343E34">
            <w:pPr>
              <w:spacing w:line="240" w:lineRule="auto"/>
              <w:rPr>
                <w:rFonts w:cs="Times New Roman"/>
                <w:color w:val="000000"/>
              </w:rPr>
            </w:pPr>
            <w:r w:rsidRPr="00343E34">
              <w:rPr>
                <w:rFonts w:cs="Times New Roman"/>
                <w:color w:val="000000"/>
              </w:rPr>
              <w:t>***</w:t>
            </w:r>
          </w:p>
        </w:tc>
        <w:tc>
          <w:tcPr>
            <w:tcW w:w="419" w:type="pct"/>
            <w:tcBorders>
              <w:top w:val="nil"/>
              <w:left w:val="nil"/>
              <w:bottom w:val="nil"/>
              <w:right w:val="nil"/>
            </w:tcBorders>
            <w:shd w:val="clear" w:color="auto" w:fill="auto"/>
            <w:noWrap/>
            <w:vAlign w:val="bottom"/>
            <w:hideMark/>
          </w:tcPr>
          <w:p w14:paraId="1E8CAD60" w14:textId="77777777" w:rsidR="00343E34" w:rsidRPr="00343E34" w:rsidRDefault="00343E34" w:rsidP="00343E34">
            <w:pPr>
              <w:spacing w:line="240" w:lineRule="auto"/>
              <w:jc w:val="right"/>
              <w:rPr>
                <w:rFonts w:cs="Times New Roman"/>
                <w:color w:val="000000"/>
              </w:rPr>
            </w:pPr>
            <w:r w:rsidRPr="00343E34">
              <w:rPr>
                <w:rFonts w:cs="Times New Roman"/>
                <w:color w:val="000000"/>
              </w:rPr>
              <w:t>-0.21</w:t>
            </w:r>
          </w:p>
        </w:tc>
        <w:tc>
          <w:tcPr>
            <w:tcW w:w="419" w:type="pct"/>
            <w:gridSpan w:val="2"/>
            <w:tcBorders>
              <w:top w:val="nil"/>
              <w:left w:val="nil"/>
              <w:bottom w:val="nil"/>
              <w:right w:val="nil"/>
            </w:tcBorders>
            <w:shd w:val="clear" w:color="auto" w:fill="auto"/>
            <w:noWrap/>
            <w:vAlign w:val="bottom"/>
            <w:hideMark/>
          </w:tcPr>
          <w:p w14:paraId="15E3F340" w14:textId="77777777" w:rsidR="00343E34" w:rsidRPr="00343E34" w:rsidRDefault="00343E34" w:rsidP="00343E34">
            <w:pPr>
              <w:spacing w:line="240" w:lineRule="auto"/>
              <w:rPr>
                <w:rFonts w:cs="Times New Roman"/>
                <w:color w:val="000000"/>
              </w:rPr>
            </w:pPr>
            <w:r w:rsidRPr="00343E34">
              <w:rPr>
                <w:rFonts w:cs="Times New Roman"/>
                <w:color w:val="000000"/>
              </w:rPr>
              <w:t>***</w:t>
            </w:r>
          </w:p>
        </w:tc>
        <w:tc>
          <w:tcPr>
            <w:tcW w:w="432" w:type="pct"/>
            <w:gridSpan w:val="2"/>
            <w:tcBorders>
              <w:top w:val="nil"/>
              <w:left w:val="nil"/>
              <w:bottom w:val="nil"/>
              <w:right w:val="nil"/>
            </w:tcBorders>
            <w:shd w:val="clear" w:color="auto" w:fill="auto"/>
            <w:noWrap/>
            <w:vAlign w:val="bottom"/>
            <w:hideMark/>
          </w:tcPr>
          <w:p w14:paraId="64F79AA4" w14:textId="77777777" w:rsidR="00343E34" w:rsidRPr="00343E34" w:rsidRDefault="00343E34" w:rsidP="00343E34">
            <w:pPr>
              <w:spacing w:line="240" w:lineRule="auto"/>
              <w:jc w:val="right"/>
              <w:rPr>
                <w:rFonts w:cs="Times New Roman"/>
                <w:color w:val="000000"/>
              </w:rPr>
            </w:pPr>
            <w:r w:rsidRPr="00343E34">
              <w:rPr>
                <w:rFonts w:cs="Times New Roman"/>
                <w:color w:val="000000"/>
              </w:rPr>
              <w:t>-0.10</w:t>
            </w:r>
          </w:p>
        </w:tc>
        <w:tc>
          <w:tcPr>
            <w:tcW w:w="428" w:type="pct"/>
            <w:gridSpan w:val="2"/>
            <w:tcBorders>
              <w:top w:val="nil"/>
              <w:left w:val="nil"/>
              <w:bottom w:val="nil"/>
              <w:right w:val="nil"/>
            </w:tcBorders>
            <w:shd w:val="clear" w:color="auto" w:fill="auto"/>
            <w:noWrap/>
            <w:vAlign w:val="bottom"/>
            <w:hideMark/>
          </w:tcPr>
          <w:p w14:paraId="09F46EDB" w14:textId="77777777" w:rsidR="00343E34" w:rsidRPr="00343E34" w:rsidRDefault="00343E34" w:rsidP="00343E34">
            <w:pPr>
              <w:spacing w:line="240" w:lineRule="auto"/>
              <w:jc w:val="right"/>
              <w:rPr>
                <w:rFonts w:cs="Times New Roman"/>
                <w:color w:val="000000"/>
              </w:rPr>
            </w:pPr>
          </w:p>
        </w:tc>
      </w:tr>
      <w:tr w:rsidR="00FA4834" w:rsidRPr="00343E34" w14:paraId="010C5DF3" w14:textId="77777777" w:rsidTr="0015289A">
        <w:trPr>
          <w:trHeight w:val="315"/>
        </w:trPr>
        <w:tc>
          <w:tcPr>
            <w:tcW w:w="1604" w:type="pct"/>
            <w:tcBorders>
              <w:top w:val="nil"/>
              <w:left w:val="nil"/>
              <w:bottom w:val="nil"/>
              <w:right w:val="nil"/>
            </w:tcBorders>
            <w:shd w:val="clear" w:color="auto" w:fill="auto"/>
            <w:noWrap/>
            <w:vAlign w:val="bottom"/>
            <w:hideMark/>
          </w:tcPr>
          <w:p w14:paraId="15A3AC5D" w14:textId="77777777" w:rsidR="00343E34" w:rsidRPr="00343E34" w:rsidRDefault="00343E34" w:rsidP="00343E34">
            <w:pPr>
              <w:spacing w:line="240" w:lineRule="auto"/>
              <w:rPr>
                <w:rFonts w:cs="Times New Roman"/>
                <w:b/>
                <w:bCs/>
                <w:color w:val="000000"/>
              </w:rPr>
            </w:pPr>
            <w:r w:rsidRPr="00343E34">
              <w:rPr>
                <w:rFonts w:cs="Times New Roman"/>
                <w:b/>
                <w:bCs/>
                <w:color w:val="000000"/>
              </w:rPr>
              <w:t>Tiller Diameter (mm)</w:t>
            </w:r>
          </w:p>
        </w:tc>
        <w:tc>
          <w:tcPr>
            <w:tcW w:w="420" w:type="pct"/>
            <w:tcBorders>
              <w:top w:val="nil"/>
              <w:left w:val="nil"/>
              <w:bottom w:val="nil"/>
              <w:right w:val="nil"/>
            </w:tcBorders>
            <w:shd w:val="clear" w:color="000000" w:fill="BFBFBF"/>
            <w:noWrap/>
            <w:vAlign w:val="bottom"/>
            <w:hideMark/>
          </w:tcPr>
          <w:p w14:paraId="43183A76" w14:textId="77777777" w:rsidR="00343E34" w:rsidRPr="00343E34" w:rsidRDefault="00343E34" w:rsidP="00343E34">
            <w:pPr>
              <w:spacing w:line="240" w:lineRule="auto"/>
              <w:jc w:val="right"/>
              <w:rPr>
                <w:rFonts w:cs="Times New Roman"/>
                <w:color w:val="000000"/>
              </w:rPr>
            </w:pPr>
            <w:r w:rsidRPr="00343E34">
              <w:rPr>
                <w:rFonts w:cs="Times New Roman"/>
                <w:color w:val="000000"/>
              </w:rPr>
              <w:t>0.58</w:t>
            </w:r>
          </w:p>
        </w:tc>
        <w:tc>
          <w:tcPr>
            <w:tcW w:w="418" w:type="pct"/>
            <w:gridSpan w:val="2"/>
            <w:tcBorders>
              <w:top w:val="nil"/>
              <w:left w:val="nil"/>
              <w:bottom w:val="nil"/>
              <w:right w:val="nil"/>
            </w:tcBorders>
            <w:shd w:val="clear" w:color="000000" w:fill="BFBFBF"/>
            <w:noWrap/>
            <w:vAlign w:val="bottom"/>
            <w:hideMark/>
          </w:tcPr>
          <w:p w14:paraId="13879B92" w14:textId="77777777" w:rsidR="00343E34" w:rsidRPr="00343E34" w:rsidRDefault="00343E34" w:rsidP="00343E34">
            <w:pPr>
              <w:spacing w:line="240" w:lineRule="auto"/>
              <w:rPr>
                <w:rFonts w:cs="Times New Roman"/>
                <w:color w:val="000000"/>
              </w:rPr>
            </w:pPr>
            <w:r w:rsidRPr="00343E34">
              <w:rPr>
                <w:rFonts w:cs="Times New Roman"/>
                <w:color w:val="000000"/>
              </w:rPr>
              <w:t>***</w:t>
            </w:r>
          </w:p>
        </w:tc>
        <w:tc>
          <w:tcPr>
            <w:tcW w:w="433" w:type="pct"/>
            <w:gridSpan w:val="2"/>
            <w:tcBorders>
              <w:top w:val="nil"/>
              <w:left w:val="nil"/>
              <w:bottom w:val="nil"/>
              <w:right w:val="nil"/>
            </w:tcBorders>
            <w:shd w:val="clear" w:color="000000" w:fill="BFBFBF"/>
            <w:noWrap/>
            <w:vAlign w:val="bottom"/>
            <w:hideMark/>
          </w:tcPr>
          <w:p w14:paraId="5467F1FA" w14:textId="77777777" w:rsidR="00343E34" w:rsidRPr="00343E34" w:rsidRDefault="00343E34" w:rsidP="00343E34">
            <w:pPr>
              <w:spacing w:line="240" w:lineRule="auto"/>
              <w:jc w:val="right"/>
              <w:rPr>
                <w:rFonts w:cs="Times New Roman"/>
                <w:color w:val="000000"/>
              </w:rPr>
            </w:pPr>
            <w:r w:rsidRPr="00343E34">
              <w:rPr>
                <w:rFonts w:cs="Times New Roman"/>
                <w:color w:val="000000"/>
              </w:rPr>
              <w:t>0.49</w:t>
            </w:r>
          </w:p>
        </w:tc>
        <w:tc>
          <w:tcPr>
            <w:tcW w:w="427" w:type="pct"/>
            <w:gridSpan w:val="2"/>
            <w:tcBorders>
              <w:top w:val="nil"/>
              <w:left w:val="nil"/>
              <w:bottom w:val="nil"/>
              <w:right w:val="nil"/>
            </w:tcBorders>
            <w:shd w:val="clear" w:color="000000" w:fill="BFBFBF"/>
            <w:noWrap/>
            <w:vAlign w:val="bottom"/>
            <w:hideMark/>
          </w:tcPr>
          <w:p w14:paraId="32BAD7AB" w14:textId="77777777" w:rsidR="00343E34" w:rsidRPr="00343E34" w:rsidRDefault="00343E34" w:rsidP="00343E34">
            <w:pPr>
              <w:spacing w:line="240" w:lineRule="auto"/>
              <w:rPr>
                <w:rFonts w:cs="Times New Roman"/>
                <w:color w:val="000000"/>
              </w:rPr>
            </w:pPr>
            <w:r w:rsidRPr="00343E34">
              <w:rPr>
                <w:rFonts w:cs="Times New Roman"/>
                <w:color w:val="000000"/>
              </w:rPr>
              <w:t>***</w:t>
            </w:r>
          </w:p>
        </w:tc>
        <w:tc>
          <w:tcPr>
            <w:tcW w:w="419" w:type="pct"/>
            <w:tcBorders>
              <w:top w:val="nil"/>
              <w:left w:val="nil"/>
              <w:bottom w:val="nil"/>
              <w:right w:val="nil"/>
            </w:tcBorders>
            <w:shd w:val="clear" w:color="000000" w:fill="BFBFBF"/>
            <w:noWrap/>
            <w:vAlign w:val="bottom"/>
            <w:hideMark/>
          </w:tcPr>
          <w:p w14:paraId="44F0786A" w14:textId="77777777" w:rsidR="00343E34" w:rsidRPr="00343E34" w:rsidRDefault="00343E34" w:rsidP="00343E34">
            <w:pPr>
              <w:spacing w:line="240" w:lineRule="auto"/>
              <w:jc w:val="right"/>
              <w:rPr>
                <w:rFonts w:cs="Times New Roman"/>
                <w:color w:val="000000"/>
              </w:rPr>
            </w:pPr>
            <w:r w:rsidRPr="00343E34">
              <w:rPr>
                <w:rFonts w:cs="Times New Roman"/>
                <w:color w:val="000000"/>
              </w:rPr>
              <w:t>-0.30</w:t>
            </w:r>
          </w:p>
        </w:tc>
        <w:tc>
          <w:tcPr>
            <w:tcW w:w="419" w:type="pct"/>
            <w:gridSpan w:val="2"/>
            <w:tcBorders>
              <w:top w:val="nil"/>
              <w:left w:val="nil"/>
              <w:bottom w:val="nil"/>
              <w:right w:val="nil"/>
            </w:tcBorders>
            <w:shd w:val="clear" w:color="000000" w:fill="BFBFBF"/>
            <w:noWrap/>
            <w:vAlign w:val="bottom"/>
            <w:hideMark/>
          </w:tcPr>
          <w:p w14:paraId="58484450" w14:textId="77777777" w:rsidR="00343E34" w:rsidRPr="00343E34" w:rsidRDefault="00343E34" w:rsidP="00343E34">
            <w:pPr>
              <w:spacing w:line="240" w:lineRule="auto"/>
              <w:rPr>
                <w:rFonts w:cs="Times New Roman"/>
                <w:color w:val="000000"/>
              </w:rPr>
            </w:pPr>
            <w:r w:rsidRPr="00343E34">
              <w:rPr>
                <w:rFonts w:cs="Times New Roman"/>
                <w:color w:val="000000"/>
              </w:rPr>
              <w:t>***</w:t>
            </w:r>
          </w:p>
        </w:tc>
        <w:tc>
          <w:tcPr>
            <w:tcW w:w="432" w:type="pct"/>
            <w:gridSpan w:val="2"/>
            <w:tcBorders>
              <w:top w:val="nil"/>
              <w:left w:val="nil"/>
              <w:bottom w:val="nil"/>
              <w:right w:val="nil"/>
            </w:tcBorders>
            <w:shd w:val="clear" w:color="auto" w:fill="auto"/>
            <w:noWrap/>
            <w:vAlign w:val="bottom"/>
            <w:hideMark/>
          </w:tcPr>
          <w:p w14:paraId="677187AD" w14:textId="77777777" w:rsidR="00343E34" w:rsidRPr="00343E34" w:rsidRDefault="00343E34" w:rsidP="00343E34">
            <w:pPr>
              <w:spacing w:line="240" w:lineRule="auto"/>
              <w:jc w:val="right"/>
              <w:rPr>
                <w:rFonts w:cs="Times New Roman"/>
                <w:color w:val="000000"/>
              </w:rPr>
            </w:pPr>
            <w:r w:rsidRPr="00343E34">
              <w:rPr>
                <w:rFonts w:cs="Times New Roman"/>
                <w:color w:val="000000"/>
              </w:rPr>
              <w:t>-0.21</w:t>
            </w:r>
          </w:p>
        </w:tc>
        <w:tc>
          <w:tcPr>
            <w:tcW w:w="428" w:type="pct"/>
            <w:gridSpan w:val="2"/>
            <w:tcBorders>
              <w:top w:val="nil"/>
              <w:left w:val="nil"/>
              <w:bottom w:val="nil"/>
              <w:right w:val="nil"/>
            </w:tcBorders>
            <w:shd w:val="clear" w:color="auto" w:fill="auto"/>
            <w:noWrap/>
            <w:vAlign w:val="bottom"/>
            <w:hideMark/>
          </w:tcPr>
          <w:p w14:paraId="096EF728" w14:textId="77777777" w:rsidR="00343E34" w:rsidRPr="00343E34" w:rsidRDefault="00343E34" w:rsidP="00343E34">
            <w:pPr>
              <w:spacing w:line="240" w:lineRule="auto"/>
              <w:rPr>
                <w:rFonts w:cs="Times New Roman"/>
                <w:color w:val="000000"/>
              </w:rPr>
            </w:pPr>
            <w:r w:rsidRPr="00343E34">
              <w:rPr>
                <w:rFonts w:cs="Times New Roman"/>
                <w:color w:val="000000"/>
              </w:rPr>
              <w:t>***</w:t>
            </w:r>
          </w:p>
        </w:tc>
      </w:tr>
      <w:tr w:rsidR="00FA4834" w:rsidRPr="00343E34" w14:paraId="52725DA8" w14:textId="77777777" w:rsidTr="0015289A">
        <w:trPr>
          <w:trHeight w:val="315"/>
        </w:trPr>
        <w:tc>
          <w:tcPr>
            <w:tcW w:w="1604" w:type="pct"/>
            <w:tcBorders>
              <w:top w:val="nil"/>
              <w:left w:val="nil"/>
              <w:bottom w:val="single" w:sz="8" w:space="0" w:color="auto"/>
              <w:right w:val="nil"/>
            </w:tcBorders>
            <w:shd w:val="clear" w:color="auto" w:fill="auto"/>
            <w:noWrap/>
            <w:vAlign w:val="bottom"/>
            <w:hideMark/>
          </w:tcPr>
          <w:p w14:paraId="527CF164" w14:textId="05151825" w:rsidR="00343E34" w:rsidRPr="00343E34" w:rsidRDefault="00B8390A" w:rsidP="00343E34">
            <w:pPr>
              <w:spacing w:line="240" w:lineRule="auto"/>
              <w:rPr>
                <w:rFonts w:cs="Times New Roman"/>
                <w:b/>
                <w:bCs/>
                <w:color w:val="000000"/>
              </w:rPr>
            </w:pPr>
            <w:r>
              <w:rPr>
                <w:rFonts w:cs="Times New Roman"/>
                <w:b/>
                <w:bCs/>
                <w:color w:val="000000"/>
              </w:rPr>
              <w:t>Leaf width</w:t>
            </w:r>
            <w:r w:rsidR="00343E34" w:rsidRPr="00343E34">
              <w:rPr>
                <w:rFonts w:cs="Times New Roman"/>
                <w:b/>
                <w:bCs/>
                <w:color w:val="000000"/>
              </w:rPr>
              <w:t xml:space="preserve"> (mm)</w:t>
            </w:r>
          </w:p>
        </w:tc>
        <w:tc>
          <w:tcPr>
            <w:tcW w:w="420" w:type="pct"/>
            <w:tcBorders>
              <w:top w:val="nil"/>
              <w:left w:val="nil"/>
              <w:bottom w:val="single" w:sz="8" w:space="0" w:color="auto"/>
              <w:right w:val="nil"/>
            </w:tcBorders>
            <w:shd w:val="clear" w:color="000000" w:fill="BFBFBF"/>
            <w:noWrap/>
            <w:vAlign w:val="bottom"/>
            <w:hideMark/>
          </w:tcPr>
          <w:p w14:paraId="1E45796D" w14:textId="77777777" w:rsidR="00343E34" w:rsidRPr="00343E34" w:rsidRDefault="00343E34" w:rsidP="00343E34">
            <w:pPr>
              <w:spacing w:line="240" w:lineRule="auto"/>
              <w:jc w:val="right"/>
              <w:rPr>
                <w:rFonts w:cs="Times New Roman"/>
                <w:color w:val="000000"/>
              </w:rPr>
            </w:pPr>
            <w:r w:rsidRPr="00343E34">
              <w:rPr>
                <w:rFonts w:cs="Times New Roman"/>
                <w:color w:val="000000"/>
              </w:rPr>
              <w:t>0.45</w:t>
            </w:r>
          </w:p>
        </w:tc>
        <w:tc>
          <w:tcPr>
            <w:tcW w:w="418" w:type="pct"/>
            <w:gridSpan w:val="2"/>
            <w:tcBorders>
              <w:top w:val="nil"/>
              <w:left w:val="nil"/>
              <w:bottom w:val="single" w:sz="8" w:space="0" w:color="auto"/>
              <w:right w:val="nil"/>
            </w:tcBorders>
            <w:shd w:val="clear" w:color="000000" w:fill="BFBFBF"/>
            <w:noWrap/>
            <w:vAlign w:val="bottom"/>
            <w:hideMark/>
          </w:tcPr>
          <w:p w14:paraId="6A4FFF58" w14:textId="77777777" w:rsidR="00343E34" w:rsidRPr="00343E34" w:rsidRDefault="00343E34" w:rsidP="00343E34">
            <w:pPr>
              <w:spacing w:line="240" w:lineRule="auto"/>
              <w:rPr>
                <w:rFonts w:cs="Times New Roman"/>
                <w:color w:val="000000"/>
              </w:rPr>
            </w:pPr>
            <w:r w:rsidRPr="00343E34">
              <w:rPr>
                <w:rFonts w:cs="Times New Roman"/>
                <w:color w:val="000000"/>
              </w:rPr>
              <w:t>***</w:t>
            </w:r>
          </w:p>
        </w:tc>
        <w:tc>
          <w:tcPr>
            <w:tcW w:w="433" w:type="pct"/>
            <w:gridSpan w:val="2"/>
            <w:tcBorders>
              <w:top w:val="nil"/>
              <w:left w:val="nil"/>
              <w:bottom w:val="single" w:sz="8" w:space="0" w:color="auto"/>
              <w:right w:val="nil"/>
            </w:tcBorders>
            <w:shd w:val="clear" w:color="auto" w:fill="auto"/>
            <w:noWrap/>
            <w:vAlign w:val="bottom"/>
            <w:hideMark/>
          </w:tcPr>
          <w:p w14:paraId="1A03CE61" w14:textId="77777777" w:rsidR="00343E34" w:rsidRPr="00343E34" w:rsidRDefault="00343E34" w:rsidP="00343E34">
            <w:pPr>
              <w:spacing w:line="240" w:lineRule="auto"/>
              <w:jc w:val="right"/>
              <w:rPr>
                <w:rFonts w:cs="Times New Roman"/>
                <w:color w:val="000000"/>
              </w:rPr>
            </w:pPr>
            <w:r w:rsidRPr="00343E34">
              <w:rPr>
                <w:rFonts w:cs="Times New Roman"/>
                <w:color w:val="000000"/>
              </w:rPr>
              <w:t>0.20</w:t>
            </w:r>
          </w:p>
        </w:tc>
        <w:tc>
          <w:tcPr>
            <w:tcW w:w="427" w:type="pct"/>
            <w:gridSpan w:val="2"/>
            <w:tcBorders>
              <w:top w:val="nil"/>
              <w:left w:val="nil"/>
              <w:bottom w:val="single" w:sz="8" w:space="0" w:color="auto"/>
              <w:right w:val="nil"/>
            </w:tcBorders>
            <w:shd w:val="clear" w:color="auto" w:fill="auto"/>
            <w:noWrap/>
            <w:vAlign w:val="bottom"/>
            <w:hideMark/>
          </w:tcPr>
          <w:p w14:paraId="1F1118EF" w14:textId="77777777" w:rsidR="00343E34" w:rsidRPr="00343E34" w:rsidRDefault="00343E34" w:rsidP="00343E34">
            <w:pPr>
              <w:spacing w:line="240" w:lineRule="auto"/>
              <w:rPr>
                <w:rFonts w:cs="Times New Roman"/>
                <w:color w:val="000000"/>
              </w:rPr>
            </w:pPr>
            <w:r w:rsidRPr="00343E34">
              <w:rPr>
                <w:rFonts w:cs="Times New Roman"/>
                <w:color w:val="000000"/>
              </w:rPr>
              <w:t>***</w:t>
            </w:r>
          </w:p>
        </w:tc>
        <w:tc>
          <w:tcPr>
            <w:tcW w:w="419" w:type="pct"/>
            <w:tcBorders>
              <w:top w:val="nil"/>
              <w:left w:val="nil"/>
              <w:bottom w:val="single" w:sz="8" w:space="0" w:color="auto"/>
              <w:right w:val="nil"/>
            </w:tcBorders>
            <w:shd w:val="clear" w:color="auto" w:fill="auto"/>
            <w:noWrap/>
            <w:vAlign w:val="bottom"/>
            <w:hideMark/>
          </w:tcPr>
          <w:p w14:paraId="6DF65D6A" w14:textId="77777777" w:rsidR="00343E34" w:rsidRPr="00343E34" w:rsidRDefault="00343E34" w:rsidP="00343E34">
            <w:pPr>
              <w:spacing w:line="240" w:lineRule="auto"/>
              <w:jc w:val="right"/>
              <w:rPr>
                <w:rFonts w:cs="Times New Roman"/>
                <w:color w:val="000000"/>
              </w:rPr>
            </w:pPr>
            <w:r w:rsidRPr="00343E34">
              <w:rPr>
                <w:rFonts w:cs="Times New Roman"/>
                <w:color w:val="000000"/>
              </w:rPr>
              <w:t>-0.19</w:t>
            </w:r>
          </w:p>
        </w:tc>
        <w:tc>
          <w:tcPr>
            <w:tcW w:w="419" w:type="pct"/>
            <w:gridSpan w:val="2"/>
            <w:tcBorders>
              <w:top w:val="nil"/>
              <w:left w:val="nil"/>
              <w:bottom w:val="single" w:sz="8" w:space="0" w:color="auto"/>
              <w:right w:val="nil"/>
            </w:tcBorders>
            <w:shd w:val="clear" w:color="000000" w:fill="808080"/>
            <w:noWrap/>
            <w:vAlign w:val="bottom"/>
            <w:hideMark/>
          </w:tcPr>
          <w:p w14:paraId="1F6AAE7C" w14:textId="77777777" w:rsidR="00343E34" w:rsidRPr="00343E34" w:rsidRDefault="00343E34" w:rsidP="00343E34">
            <w:pPr>
              <w:spacing w:line="240" w:lineRule="auto"/>
              <w:rPr>
                <w:rFonts w:cs="Times New Roman"/>
                <w:color w:val="000000"/>
              </w:rPr>
            </w:pPr>
            <w:r w:rsidRPr="00343E34">
              <w:rPr>
                <w:rFonts w:cs="Times New Roman"/>
                <w:color w:val="000000"/>
              </w:rPr>
              <w:t>***</w:t>
            </w:r>
          </w:p>
        </w:tc>
        <w:tc>
          <w:tcPr>
            <w:tcW w:w="432" w:type="pct"/>
            <w:gridSpan w:val="2"/>
            <w:tcBorders>
              <w:top w:val="nil"/>
              <w:left w:val="nil"/>
              <w:bottom w:val="single" w:sz="8" w:space="0" w:color="auto"/>
              <w:right w:val="nil"/>
            </w:tcBorders>
            <w:shd w:val="clear" w:color="auto" w:fill="auto"/>
            <w:noWrap/>
            <w:vAlign w:val="bottom"/>
            <w:hideMark/>
          </w:tcPr>
          <w:p w14:paraId="5AB49201" w14:textId="77777777" w:rsidR="00343E34" w:rsidRPr="00343E34" w:rsidRDefault="00343E34" w:rsidP="00343E34">
            <w:pPr>
              <w:spacing w:line="240" w:lineRule="auto"/>
              <w:jc w:val="right"/>
              <w:rPr>
                <w:rFonts w:cs="Times New Roman"/>
                <w:color w:val="000000"/>
              </w:rPr>
            </w:pPr>
            <w:r w:rsidRPr="00343E34">
              <w:rPr>
                <w:rFonts w:cs="Times New Roman"/>
                <w:color w:val="000000"/>
              </w:rPr>
              <w:t>0.00</w:t>
            </w:r>
          </w:p>
        </w:tc>
        <w:tc>
          <w:tcPr>
            <w:tcW w:w="428" w:type="pct"/>
            <w:gridSpan w:val="2"/>
            <w:tcBorders>
              <w:top w:val="nil"/>
              <w:left w:val="nil"/>
              <w:bottom w:val="single" w:sz="8" w:space="0" w:color="auto"/>
              <w:right w:val="nil"/>
            </w:tcBorders>
            <w:shd w:val="clear" w:color="auto" w:fill="auto"/>
            <w:noWrap/>
            <w:vAlign w:val="bottom"/>
            <w:hideMark/>
          </w:tcPr>
          <w:p w14:paraId="5C520ABA" w14:textId="77777777" w:rsidR="00343E34" w:rsidRPr="00343E34" w:rsidRDefault="00343E34" w:rsidP="00343E34">
            <w:pPr>
              <w:spacing w:line="240" w:lineRule="auto"/>
              <w:rPr>
                <w:rFonts w:cs="Times New Roman"/>
                <w:color w:val="000000"/>
              </w:rPr>
            </w:pPr>
            <w:r w:rsidRPr="00343E34">
              <w:rPr>
                <w:rFonts w:cs="Times New Roman"/>
                <w:color w:val="000000"/>
              </w:rPr>
              <w:t> </w:t>
            </w:r>
          </w:p>
        </w:tc>
      </w:tr>
      <w:tr w:rsidR="00343E34" w:rsidRPr="00343E34" w14:paraId="03220C34" w14:textId="77777777" w:rsidTr="00343E34">
        <w:trPr>
          <w:trHeight w:val="315"/>
        </w:trPr>
        <w:tc>
          <w:tcPr>
            <w:tcW w:w="5000" w:type="pct"/>
            <w:gridSpan w:val="15"/>
            <w:tcBorders>
              <w:top w:val="nil"/>
              <w:left w:val="nil"/>
              <w:bottom w:val="nil"/>
              <w:right w:val="nil"/>
            </w:tcBorders>
            <w:shd w:val="clear" w:color="auto" w:fill="auto"/>
            <w:noWrap/>
            <w:vAlign w:val="bottom"/>
            <w:hideMark/>
          </w:tcPr>
          <w:p w14:paraId="701224FE" w14:textId="77777777" w:rsidR="00343E34" w:rsidRPr="00343E34" w:rsidRDefault="00343E34" w:rsidP="00343E34">
            <w:pPr>
              <w:spacing w:line="240" w:lineRule="auto"/>
              <w:rPr>
                <w:rFonts w:cs="Times New Roman"/>
                <w:color w:val="000000"/>
              </w:rPr>
            </w:pPr>
            <w:r w:rsidRPr="00343E34">
              <w:rPr>
                <w:rFonts w:cs="Times New Roman"/>
                <w:color w:val="000000"/>
                <w:vertAlign w:val="subscript"/>
              </w:rPr>
              <w:t>† = Rating scale of 1-9 with 1 indicating symptomless and 9 indicating severe disease severity</w:t>
            </w:r>
          </w:p>
        </w:tc>
      </w:tr>
      <w:tr w:rsidR="00343E34" w:rsidRPr="00343E34" w14:paraId="087C1DF7" w14:textId="77777777" w:rsidTr="00343E34">
        <w:trPr>
          <w:trHeight w:val="315"/>
        </w:trPr>
        <w:tc>
          <w:tcPr>
            <w:tcW w:w="5000" w:type="pct"/>
            <w:gridSpan w:val="15"/>
            <w:tcBorders>
              <w:top w:val="nil"/>
              <w:left w:val="nil"/>
              <w:bottom w:val="nil"/>
              <w:right w:val="nil"/>
            </w:tcBorders>
            <w:shd w:val="clear" w:color="auto" w:fill="auto"/>
            <w:noWrap/>
            <w:vAlign w:val="bottom"/>
            <w:hideMark/>
          </w:tcPr>
          <w:p w14:paraId="4C3AD7F8" w14:textId="208433DB" w:rsidR="00343E34" w:rsidRPr="00343E34" w:rsidRDefault="00343E34" w:rsidP="00343E34">
            <w:pPr>
              <w:spacing w:line="240" w:lineRule="auto"/>
              <w:rPr>
                <w:rFonts w:cs="Times New Roman"/>
                <w:color w:val="000000"/>
              </w:rPr>
            </w:pPr>
            <w:r w:rsidRPr="00343E34">
              <w:rPr>
                <w:rFonts w:cs="Times New Roman"/>
                <w:color w:val="000000"/>
                <w:vertAlign w:val="subscript"/>
              </w:rPr>
              <w:t xml:space="preserve">‡ = Rating scale of 1-3, with 1 indicating </w:t>
            </w:r>
            <w:r w:rsidR="00A44411">
              <w:rPr>
                <w:rFonts w:cs="Times New Roman"/>
                <w:color w:val="000000"/>
                <w:vertAlign w:val="subscript"/>
              </w:rPr>
              <w:t xml:space="preserve">medium green </w:t>
            </w:r>
            <w:r w:rsidRPr="00343E34">
              <w:rPr>
                <w:rFonts w:cs="Times New Roman"/>
                <w:color w:val="000000"/>
                <w:vertAlign w:val="subscript"/>
              </w:rPr>
              <w:t>and 3 indicating blue plant color</w:t>
            </w:r>
          </w:p>
        </w:tc>
      </w:tr>
      <w:tr w:rsidR="00343E34" w:rsidRPr="00343E34" w14:paraId="4B4F613F" w14:textId="77777777" w:rsidTr="00343E34">
        <w:trPr>
          <w:trHeight w:val="315"/>
        </w:trPr>
        <w:tc>
          <w:tcPr>
            <w:tcW w:w="5000" w:type="pct"/>
            <w:gridSpan w:val="15"/>
            <w:tcBorders>
              <w:top w:val="nil"/>
              <w:left w:val="nil"/>
              <w:bottom w:val="nil"/>
              <w:right w:val="nil"/>
            </w:tcBorders>
            <w:shd w:val="clear" w:color="auto" w:fill="auto"/>
            <w:noWrap/>
            <w:vAlign w:val="bottom"/>
            <w:hideMark/>
          </w:tcPr>
          <w:p w14:paraId="1C96412F" w14:textId="77777777" w:rsidR="00343E34" w:rsidRPr="00343E34" w:rsidRDefault="00343E34" w:rsidP="00343E34">
            <w:pPr>
              <w:spacing w:line="240" w:lineRule="auto"/>
              <w:rPr>
                <w:rFonts w:cs="Times New Roman"/>
                <w:color w:val="000000"/>
              </w:rPr>
            </w:pPr>
            <w:r w:rsidRPr="00343E34">
              <w:rPr>
                <w:rFonts w:cs="Times New Roman"/>
                <w:color w:val="000000"/>
                <w:vertAlign w:val="subscript"/>
              </w:rPr>
              <w:t>§ = Rating scale of 1-5, with 1 indicating a dense canopy and 5 indicating an open canopy</w:t>
            </w:r>
          </w:p>
        </w:tc>
      </w:tr>
      <w:tr w:rsidR="00343E34" w:rsidRPr="00343E34" w14:paraId="59D4F745" w14:textId="77777777" w:rsidTr="00343E34">
        <w:trPr>
          <w:trHeight w:val="315"/>
        </w:trPr>
        <w:tc>
          <w:tcPr>
            <w:tcW w:w="5000" w:type="pct"/>
            <w:gridSpan w:val="15"/>
            <w:tcBorders>
              <w:top w:val="nil"/>
              <w:left w:val="nil"/>
              <w:bottom w:val="nil"/>
              <w:right w:val="nil"/>
            </w:tcBorders>
            <w:shd w:val="clear" w:color="auto" w:fill="auto"/>
            <w:vAlign w:val="bottom"/>
            <w:hideMark/>
          </w:tcPr>
          <w:p w14:paraId="3F527811" w14:textId="77777777" w:rsidR="00343E34" w:rsidRPr="00343E34" w:rsidRDefault="00343E34" w:rsidP="00343E34">
            <w:pPr>
              <w:spacing w:line="240" w:lineRule="auto"/>
              <w:rPr>
                <w:rFonts w:cs="Times New Roman"/>
                <w:color w:val="000000"/>
              </w:rPr>
            </w:pPr>
            <w:r w:rsidRPr="00343E34">
              <w:rPr>
                <w:rFonts w:cs="Times New Roman"/>
                <w:color w:val="000000"/>
                <w:vertAlign w:val="subscript"/>
              </w:rPr>
              <w:t xml:space="preserve"> ¶ = Rating scale of 1-5, with 1 indicating leaves less than 45° angle from stem, 5 indicating leaves with greater than 135° angle from stem</w:t>
            </w:r>
          </w:p>
        </w:tc>
      </w:tr>
      <w:tr w:rsidR="0015289A" w:rsidRPr="00343E34" w14:paraId="122A7EEF" w14:textId="77777777" w:rsidTr="0015289A">
        <w:trPr>
          <w:trHeight w:val="315"/>
        </w:trPr>
        <w:tc>
          <w:tcPr>
            <w:tcW w:w="2140" w:type="pct"/>
            <w:gridSpan w:val="3"/>
            <w:tcBorders>
              <w:left w:val="nil"/>
              <w:bottom w:val="nil"/>
              <w:right w:val="nil"/>
            </w:tcBorders>
            <w:shd w:val="clear" w:color="auto" w:fill="auto"/>
            <w:noWrap/>
            <w:vAlign w:val="bottom"/>
            <w:hideMark/>
          </w:tcPr>
          <w:p w14:paraId="3824BA53" w14:textId="77777777" w:rsidR="0015289A" w:rsidRPr="00343E34" w:rsidRDefault="0015289A" w:rsidP="007F56C3">
            <w:pPr>
              <w:spacing w:line="240" w:lineRule="auto"/>
              <w:rPr>
                <w:rFonts w:cs="Times New Roman"/>
                <w:color w:val="000000"/>
              </w:rPr>
            </w:pPr>
            <w:r w:rsidRPr="00343E34">
              <w:rPr>
                <w:rFonts w:cs="Times New Roman"/>
                <w:color w:val="000000"/>
                <w:vertAlign w:val="subscript"/>
              </w:rPr>
              <w:t xml:space="preserve">* </w:t>
            </w:r>
            <w:r>
              <w:rPr>
                <w:rFonts w:cs="Times New Roman"/>
                <w:color w:val="000000"/>
                <w:vertAlign w:val="subscript"/>
              </w:rPr>
              <w:t xml:space="preserve">P &lt; </w:t>
            </w:r>
            <w:r w:rsidRPr="00343E34">
              <w:rPr>
                <w:rFonts w:cs="Times New Roman"/>
                <w:color w:val="000000"/>
                <w:vertAlign w:val="subscript"/>
              </w:rPr>
              <w:t>0.05, **</w:t>
            </w:r>
            <w:r>
              <w:rPr>
                <w:rFonts w:cs="Times New Roman"/>
                <w:color w:val="000000"/>
                <w:vertAlign w:val="subscript"/>
              </w:rPr>
              <w:t xml:space="preserve">P &lt; </w:t>
            </w:r>
            <w:r w:rsidRPr="00343E34">
              <w:rPr>
                <w:rFonts w:cs="Times New Roman"/>
                <w:color w:val="000000"/>
                <w:vertAlign w:val="subscript"/>
              </w:rPr>
              <w:t>0.01, ***</w:t>
            </w:r>
            <w:r>
              <w:rPr>
                <w:rFonts w:cs="Times New Roman"/>
                <w:color w:val="000000"/>
                <w:vertAlign w:val="subscript"/>
              </w:rPr>
              <w:t xml:space="preserve">P &lt; </w:t>
            </w:r>
            <w:r w:rsidRPr="00343E34">
              <w:rPr>
                <w:rFonts w:cs="Times New Roman"/>
                <w:color w:val="000000"/>
                <w:vertAlign w:val="subscript"/>
              </w:rPr>
              <w:t>0.001 respectively</w:t>
            </w:r>
          </w:p>
        </w:tc>
        <w:tc>
          <w:tcPr>
            <w:tcW w:w="523" w:type="pct"/>
            <w:gridSpan w:val="2"/>
            <w:tcBorders>
              <w:top w:val="nil"/>
              <w:left w:val="nil"/>
              <w:bottom w:val="nil"/>
              <w:right w:val="nil"/>
            </w:tcBorders>
            <w:shd w:val="clear" w:color="auto" w:fill="auto"/>
            <w:noWrap/>
            <w:vAlign w:val="bottom"/>
            <w:hideMark/>
          </w:tcPr>
          <w:p w14:paraId="740CD28C" w14:textId="77777777" w:rsidR="0015289A" w:rsidRPr="00343E34" w:rsidRDefault="0015289A" w:rsidP="007F56C3">
            <w:pPr>
              <w:spacing w:line="240" w:lineRule="auto"/>
              <w:rPr>
                <w:rFonts w:cs="Times New Roman"/>
                <w:color w:val="000000"/>
              </w:rPr>
            </w:pPr>
            <w:r w:rsidRPr="00343E34">
              <w:rPr>
                <w:rFonts w:cs="Times New Roman"/>
                <w:color w:val="000000"/>
                <w:vertAlign w:val="subscript"/>
              </w:rPr>
              <w:t> </w:t>
            </w:r>
          </w:p>
        </w:tc>
        <w:tc>
          <w:tcPr>
            <w:tcW w:w="368" w:type="pct"/>
            <w:gridSpan w:val="2"/>
            <w:tcBorders>
              <w:top w:val="nil"/>
              <w:left w:val="nil"/>
              <w:bottom w:val="nil"/>
              <w:right w:val="nil"/>
            </w:tcBorders>
            <w:shd w:val="clear" w:color="auto" w:fill="auto"/>
            <w:noWrap/>
            <w:vAlign w:val="bottom"/>
            <w:hideMark/>
          </w:tcPr>
          <w:p w14:paraId="2AF6413E" w14:textId="77777777" w:rsidR="0015289A" w:rsidRPr="00343E34" w:rsidRDefault="0015289A" w:rsidP="007F56C3">
            <w:pPr>
              <w:spacing w:line="240" w:lineRule="auto"/>
              <w:rPr>
                <w:rFonts w:cs="Times New Roman"/>
                <w:color w:val="000000"/>
              </w:rPr>
            </w:pPr>
            <w:r w:rsidRPr="00343E34">
              <w:rPr>
                <w:rFonts w:cs="Times New Roman"/>
                <w:color w:val="000000"/>
                <w:vertAlign w:val="subscript"/>
              </w:rPr>
              <w:t> </w:t>
            </w:r>
          </w:p>
        </w:tc>
        <w:tc>
          <w:tcPr>
            <w:tcW w:w="271" w:type="pct"/>
            <w:tcBorders>
              <w:top w:val="nil"/>
              <w:left w:val="nil"/>
              <w:bottom w:val="nil"/>
              <w:right w:val="nil"/>
            </w:tcBorders>
            <w:shd w:val="clear" w:color="auto" w:fill="auto"/>
            <w:noWrap/>
            <w:vAlign w:val="bottom"/>
            <w:hideMark/>
          </w:tcPr>
          <w:p w14:paraId="4431AF14" w14:textId="77777777" w:rsidR="0015289A" w:rsidRPr="00343E34" w:rsidRDefault="0015289A" w:rsidP="007F56C3">
            <w:pPr>
              <w:spacing w:line="240" w:lineRule="auto"/>
              <w:rPr>
                <w:rFonts w:cs="Times New Roman"/>
                <w:color w:val="000000"/>
              </w:rPr>
            </w:pPr>
            <w:r w:rsidRPr="00343E34">
              <w:rPr>
                <w:rFonts w:cs="Times New Roman"/>
                <w:color w:val="000000"/>
                <w:vertAlign w:val="subscript"/>
              </w:rPr>
              <w:t> </w:t>
            </w:r>
          </w:p>
        </w:tc>
        <w:tc>
          <w:tcPr>
            <w:tcW w:w="537" w:type="pct"/>
            <w:gridSpan w:val="2"/>
            <w:tcBorders>
              <w:top w:val="nil"/>
              <w:left w:val="nil"/>
              <w:bottom w:val="nil"/>
              <w:right w:val="nil"/>
            </w:tcBorders>
            <w:shd w:val="clear" w:color="auto" w:fill="auto"/>
            <w:noWrap/>
            <w:vAlign w:val="bottom"/>
            <w:hideMark/>
          </w:tcPr>
          <w:p w14:paraId="41167E03" w14:textId="77777777" w:rsidR="0015289A" w:rsidRPr="00343E34" w:rsidRDefault="0015289A" w:rsidP="007F56C3">
            <w:pPr>
              <w:spacing w:line="240" w:lineRule="auto"/>
              <w:rPr>
                <w:rFonts w:cs="Times New Roman"/>
                <w:color w:val="000000"/>
              </w:rPr>
            </w:pPr>
            <w:r w:rsidRPr="00343E34">
              <w:rPr>
                <w:rFonts w:cs="Times New Roman"/>
                <w:color w:val="000000"/>
                <w:vertAlign w:val="subscript"/>
              </w:rPr>
              <w:t> </w:t>
            </w:r>
          </w:p>
        </w:tc>
        <w:tc>
          <w:tcPr>
            <w:tcW w:w="524" w:type="pct"/>
            <w:gridSpan w:val="2"/>
            <w:tcBorders>
              <w:top w:val="nil"/>
              <w:left w:val="nil"/>
              <w:bottom w:val="nil"/>
              <w:right w:val="nil"/>
            </w:tcBorders>
            <w:shd w:val="clear" w:color="auto" w:fill="auto"/>
            <w:noWrap/>
            <w:vAlign w:val="bottom"/>
            <w:hideMark/>
          </w:tcPr>
          <w:p w14:paraId="16ED1A93" w14:textId="77777777" w:rsidR="0015289A" w:rsidRPr="00343E34" w:rsidRDefault="0015289A" w:rsidP="007F56C3">
            <w:pPr>
              <w:spacing w:line="240" w:lineRule="auto"/>
              <w:rPr>
                <w:rFonts w:cs="Times New Roman"/>
                <w:color w:val="000000"/>
              </w:rPr>
            </w:pPr>
            <w:r w:rsidRPr="00343E34">
              <w:rPr>
                <w:rFonts w:cs="Times New Roman"/>
                <w:color w:val="000000"/>
                <w:vertAlign w:val="subscript"/>
              </w:rPr>
              <w:t> </w:t>
            </w:r>
          </w:p>
        </w:tc>
        <w:tc>
          <w:tcPr>
            <w:tcW w:w="368" w:type="pct"/>
            <w:gridSpan w:val="2"/>
            <w:tcBorders>
              <w:top w:val="nil"/>
              <w:left w:val="nil"/>
              <w:bottom w:val="nil"/>
              <w:right w:val="nil"/>
            </w:tcBorders>
            <w:shd w:val="clear" w:color="auto" w:fill="auto"/>
            <w:noWrap/>
            <w:vAlign w:val="bottom"/>
            <w:hideMark/>
          </w:tcPr>
          <w:p w14:paraId="212138F2" w14:textId="77777777" w:rsidR="0015289A" w:rsidRPr="00343E34" w:rsidRDefault="0015289A" w:rsidP="007F56C3">
            <w:pPr>
              <w:spacing w:line="240" w:lineRule="auto"/>
              <w:rPr>
                <w:rFonts w:cs="Times New Roman"/>
                <w:color w:val="000000"/>
              </w:rPr>
            </w:pPr>
            <w:r w:rsidRPr="00343E34">
              <w:rPr>
                <w:rFonts w:cs="Times New Roman"/>
                <w:color w:val="000000"/>
                <w:vertAlign w:val="subscript"/>
              </w:rPr>
              <w:t> </w:t>
            </w:r>
          </w:p>
        </w:tc>
        <w:tc>
          <w:tcPr>
            <w:tcW w:w="269" w:type="pct"/>
            <w:tcBorders>
              <w:top w:val="nil"/>
              <w:left w:val="nil"/>
              <w:bottom w:val="nil"/>
              <w:right w:val="nil"/>
            </w:tcBorders>
            <w:shd w:val="clear" w:color="auto" w:fill="auto"/>
            <w:noWrap/>
            <w:vAlign w:val="bottom"/>
            <w:hideMark/>
          </w:tcPr>
          <w:p w14:paraId="12925097" w14:textId="77777777" w:rsidR="0015289A" w:rsidRPr="00343E34" w:rsidRDefault="0015289A" w:rsidP="007F56C3">
            <w:pPr>
              <w:spacing w:line="240" w:lineRule="auto"/>
              <w:rPr>
                <w:rFonts w:cs="Times New Roman"/>
                <w:color w:val="000000"/>
              </w:rPr>
            </w:pPr>
            <w:r w:rsidRPr="00343E34">
              <w:rPr>
                <w:rFonts w:cs="Times New Roman"/>
                <w:color w:val="000000"/>
                <w:vertAlign w:val="subscript"/>
              </w:rPr>
              <w:t> </w:t>
            </w:r>
          </w:p>
        </w:tc>
      </w:tr>
    </w:tbl>
    <w:p w14:paraId="5A1EFCC3" w14:textId="77777777" w:rsidR="00343E34" w:rsidRPr="00343E34" w:rsidRDefault="00343E34" w:rsidP="00343E34">
      <w:pPr>
        <w:sectPr w:rsidR="00343E34" w:rsidRPr="00343E34" w:rsidSect="00794998">
          <w:pgSz w:w="12240" w:h="15840"/>
          <w:pgMar w:top="1440" w:right="1440" w:bottom="1440" w:left="1440" w:header="720" w:footer="720" w:gutter="0"/>
          <w:cols w:space="720"/>
          <w:docGrid w:linePitch="360"/>
        </w:sectPr>
      </w:pPr>
    </w:p>
    <w:p w14:paraId="71D3B7DA" w14:textId="0AC1A966" w:rsidR="00043399" w:rsidRDefault="00043399" w:rsidP="00043399">
      <w:pPr>
        <w:pStyle w:val="Caption"/>
        <w:rPr>
          <w:rFonts w:eastAsiaTheme="minorHAnsi"/>
        </w:rPr>
      </w:pPr>
      <w:bookmarkStart w:id="106" w:name="_Toc404070380"/>
      <w:r>
        <w:lastRenderedPageBreak/>
        <w:t>Table 3-</w:t>
      </w:r>
      <w:r w:rsidR="00343E34">
        <w:t>3</w:t>
      </w:r>
      <w:r>
        <w:t xml:space="preserve">: Variance components </w:t>
      </w:r>
      <w:r w:rsidR="00065705">
        <w:t xml:space="preserve">of the F1 population derived from the diallel cross of eight parents calculated using ANOVA for biomass yield and predicted ethanol yield in space planted (HSP) and sward planted (HSW) nurseries. Variance estimates and the percentage each term </w:t>
      </w:r>
      <w:r w:rsidR="000B7ED3">
        <w:t>contributes</w:t>
      </w:r>
      <w:r w:rsidR="00065705">
        <w:t xml:space="preserve"> to the phenotypic variance are listed. Calculated values for a</w:t>
      </w:r>
      <w:r>
        <w:t xml:space="preserve">dditive, dominance, and phenotypic </w:t>
      </w:r>
      <w:r w:rsidR="00065705">
        <w:t>variance</w:t>
      </w:r>
      <w:r>
        <w:t xml:space="preserve"> and narrow sense heritability (</w:t>
      </w:r>
      <w:r w:rsidRPr="00BE4047">
        <w:rPr>
          <w:rFonts w:cs="Times New Roman"/>
          <w:color w:val="000000"/>
        </w:rPr>
        <w:t>h</w:t>
      </w:r>
      <w:r w:rsidRPr="00BE4047">
        <w:rPr>
          <w:rFonts w:cs="Times New Roman"/>
          <w:color w:val="000000"/>
          <w:vertAlign w:val="superscript"/>
        </w:rPr>
        <w:t>2</w:t>
      </w:r>
      <w:r w:rsidRPr="00BE4047">
        <w:rPr>
          <w:rFonts w:cs="Times New Roman"/>
          <w:color w:val="000000"/>
          <w:vertAlign w:val="subscript"/>
        </w:rPr>
        <w:t>i</w:t>
      </w:r>
      <w:r>
        <w:t>) and broad sense heritability (</w:t>
      </w:r>
      <w:r w:rsidRPr="00BE4047">
        <w:rPr>
          <w:rFonts w:cs="Times New Roman"/>
          <w:color w:val="000000"/>
        </w:rPr>
        <w:t>H</w:t>
      </w:r>
      <w:r w:rsidRPr="00BE4047">
        <w:rPr>
          <w:rFonts w:cs="Times New Roman"/>
          <w:color w:val="000000"/>
          <w:vertAlign w:val="superscript"/>
        </w:rPr>
        <w:t>2</w:t>
      </w:r>
      <w:r w:rsidRPr="00BE4047">
        <w:rPr>
          <w:rFonts w:cs="Times New Roman"/>
          <w:color w:val="000000"/>
          <w:vertAlign w:val="subscript"/>
        </w:rPr>
        <w:t>i</w:t>
      </w:r>
      <w:r>
        <w:t xml:space="preserve">) </w:t>
      </w:r>
      <w:r w:rsidR="00065705">
        <w:t>are also listed.</w:t>
      </w:r>
      <w:r w:rsidR="003E20C4">
        <w:t xml:space="preserve"> </w:t>
      </w:r>
      <w:r w:rsidR="003E20C4">
        <w:rPr>
          <w:rFonts w:eastAsiaTheme="minorHAnsi"/>
        </w:rPr>
        <w:t>Asterisks indicate variance that is significantly different from zero based on Wald’s test (</w:t>
      </w:r>
      <w:r w:rsidR="003E20C4" w:rsidRPr="009B288B">
        <w:rPr>
          <w:rFonts w:cs="Times New Roman"/>
          <w:color w:val="000000"/>
        </w:rPr>
        <w:t xml:space="preserve">* </w:t>
      </w:r>
      <w:r w:rsidR="003E20C4">
        <w:rPr>
          <w:rFonts w:cs="Times New Roman"/>
          <w:color w:val="000000"/>
        </w:rPr>
        <w:t xml:space="preserve">P &lt; </w:t>
      </w:r>
      <w:r w:rsidR="003E20C4" w:rsidRPr="009B288B">
        <w:rPr>
          <w:rFonts w:cs="Times New Roman"/>
          <w:color w:val="000000"/>
        </w:rPr>
        <w:t>0.05, **</w:t>
      </w:r>
      <w:r w:rsidR="003E20C4">
        <w:rPr>
          <w:rFonts w:cs="Times New Roman"/>
          <w:color w:val="000000"/>
        </w:rPr>
        <w:t xml:space="preserve">P &lt; </w:t>
      </w:r>
      <w:r w:rsidR="003E20C4" w:rsidRPr="009B288B">
        <w:rPr>
          <w:rFonts w:cs="Times New Roman"/>
          <w:color w:val="000000"/>
        </w:rPr>
        <w:t>0.01, ***</w:t>
      </w:r>
      <w:r w:rsidR="003E20C4">
        <w:rPr>
          <w:rFonts w:cs="Times New Roman"/>
          <w:color w:val="000000"/>
        </w:rPr>
        <w:t xml:space="preserve">P &lt; </w:t>
      </w:r>
      <w:r w:rsidR="003E20C4" w:rsidRPr="009B288B">
        <w:rPr>
          <w:rFonts w:cs="Times New Roman"/>
          <w:color w:val="000000"/>
        </w:rPr>
        <w:t>0.001 respectively</w:t>
      </w:r>
      <w:r w:rsidR="003E20C4">
        <w:rPr>
          <w:rFonts w:cs="Times New Roman"/>
          <w:color w:val="000000"/>
        </w:rPr>
        <w:t>)</w:t>
      </w:r>
      <w:r w:rsidR="00954DB7">
        <w:rPr>
          <w:rFonts w:cs="Times New Roman"/>
          <w:color w:val="000000"/>
        </w:rPr>
        <w:t>.</w:t>
      </w:r>
      <w:bookmarkEnd w:id="106"/>
      <w:r w:rsidR="00954DB7">
        <w:rPr>
          <w:rFonts w:cs="Times New Roman"/>
          <w:color w:val="000000"/>
        </w:rPr>
        <w:t xml:space="preserve"> </w:t>
      </w:r>
      <w:r w:rsidR="003E20C4">
        <w:rPr>
          <w:rFonts w:eastAsiaTheme="minorHAnsi"/>
        </w:rPr>
        <w:t xml:space="preserve"> </w:t>
      </w:r>
      <w:r>
        <w:rPr>
          <w:rFonts w:eastAsiaTheme="minorHAnsi"/>
        </w:rPr>
        <w:t xml:space="preserve"> </w:t>
      </w:r>
    </w:p>
    <w:tbl>
      <w:tblPr>
        <w:tblW w:w="12556" w:type="dxa"/>
        <w:tblInd w:w="93" w:type="dxa"/>
        <w:tblLook w:val="04A0" w:firstRow="1" w:lastRow="0" w:firstColumn="1" w:lastColumn="0" w:noHBand="0" w:noVBand="1"/>
      </w:tblPr>
      <w:tblGrid>
        <w:gridCol w:w="2781"/>
        <w:gridCol w:w="936"/>
        <w:gridCol w:w="626"/>
        <w:gridCol w:w="920"/>
        <w:gridCol w:w="1012"/>
        <w:gridCol w:w="626"/>
        <w:gridCol w:w="920"/>
        <w:gridCol w:w="920"/>
        <w:gridCol w:w="626"/>
        <w:gridCol w:w="920"/>
        <w:gridCol w:w="723"/>
        <w:gridCol w:w="626"/>
        <w:gridCol w:w="920"/>
      </w:tblGrid>
      <w:tr w:rsidR="00043399" w:rsidRPr="00F649A7" w14:paraId="3F585CAB" w14:textId="77777777" w:rsidTr="00E965BC">
        <w:trPr>
          <w:trHeight w:val="315"/>
        </w:trPr>
        <w:tc>
          <w:tcPr>
            <w:tcW w:w="2781" w:type="dxa"/>
            <w:tcBorders>
              <w:top w:val="single" w:sz="8" w:space="0" w:color="auto"/>
              <w:left w:val="nil"/>
              <w:bottom w:val="nil"/>
              <w:right w:val="nil"/>
            </w:tcBorders>
            <w:shd w:val="clear" w:color="auto" w:fill="auto"/>
            <w:noWrap/>
            <w:vAlign w:val="bottom"/>
            <w:hideMark/>
          </w:tcPr>
          <w:p w14:paraId="62411F6D" w14:textId="77777777" w:rsidR="00043399" w:rsidRPr="00F649A7" w:rsidRDefault="00043399" w:rsidP="00E965BC">
            <w:pPr>
              <w:spacing w:line="240" w:lineRule="auto"/>
              <w:rPr>
                <w:rFonts w:cs="Times New Roman"/>
                <w:color w:val="000000"/>
              </w:rPr>
            </w:pPr>
            <w:r w:rsidRPr="00F649A7">
              <w:rPr>
                <w:rFonts w:cs="Times New Roman"/>
                <w:color w:val="000000"/>
              </w:rPr>
              <w:t> </w:t>
            </w:r>
          </w:p>
        </w:tc>
        <w:tc>
          <w:tcPr>
            <w:tcW w:w="5040" w:type="dxa"/>
            <w:gridSpan w:val="6"/>
            <w:tcBorders>
              <w:top w:val="single" w:sz="8" w:space="0" w:color="auto"/>
              <w:left w:val="nil"/>
              <w:bottom w:val="nil"/>
              <w:right w:val="nil"/>
            </w:tcBorders>
            <w:shd w:val="clear" w:color="auto" w:fill="auto"/>
            <w:vAlign w:val="bottom"/>
            <w:hideMark/>
          </w:tcPr>
          <w:p w14:paraId="775F94E7" w14:textId="50EA3918" w:rsidR="00043399" w:rsidRPr="00F649A7" w:rsidRDefault="00043399" w:rsidP="007124CD">
            <w:pPr>
              <w:spacing w:line="240" w:lineRule="auto"/>
              <w:jc w:val="center"/>
              <w:rPr>
                <w:rFonts w:cs="Times New Roman"/>
                <w:b/>
                <w:bCs/>
                <w:color w:val="000000"/>
              </w:rPr>
            </w:pPr>
            <w:r w:rsidRPr="00F649A7">
              <w:rPr>
                <w:rFonts w:cs="Times New Roman"/>
                <w:b/>
                <w:bCs/>
                <w:color w:val="000000"/>
              </w:rPr>
              <w:t xml:space="preserve">Biomass Yield </w:t>
            </w:r>
          </w:p>
        </w:tc>
        <w:tc>
          <w:tcPr>
            <w:tcW w:w="4735" w:type="dxa"/>
            <w:gridSpan w:val="6"/>
            <w:tcBorders>
              <w:top w:val="single" w:sz="8" w:space="0" w:color="auto"/>
              <w:left w:val="nil"/>
              <w:bottom w:val="nil"/>
              <w:right w:val="nil"/>
            </w:tcBorders>
            <w:shd w:val="clear" w:color="auto" w:fill="auto"/>
            <w:noWrap/>
            <w:vAlign w:val="bottom"/>
            <w:hideMark/>
          </w:tcPr>
          <w:p w14:paraId="28E048DF" w14:textId="591E8BD4" w:rsidR="00043399" w:rsidRPr="00F649A7" w:rsidRDefault="00FA4834" w:rsidP="007124CD">
            <w:pPr>
              <w:spacing w:line="240" w:lineRule="auto"/>
              <w:jc w:val="center"/>
              <w:rPr>
                <w:rFonts w:cs="Times New Roman"/>
                <w:b/>
                <w:bCs/>
                <w:color w:val="000000"/>
              </w:rPr>
            </w:pPr>
            <w:r>
              <w:rPr>
                <w:rFonts w:cs="Times New Roman"/>
                <w:b/>
                <w:bCs/>
                <w:color w:val="000000"/>
              </w:rPr>
              <w:t>Predicted Ethanol Y</w:t>
            </w:r>
            <w:r w:rsidR="00043399">
              <w:rPr>
                <w:rFonts w:cs="Times New Roman"/>
                <w:b/>
                <w:bCs/>
                <w:color w:val="000000"/>
              </w:rPr>
              <w:t>ield</w:t>
            </w:r>
            <w:r w:rsidR="00043399" w:rsidRPr="00F649A7">
              <w:rPr>
                <w:rFonts w:cs="Times New Roman"/>
                <w:b/>
                <w:bCs/>
                <w:color w:val="000000"/>
              </w:rPr>
              <w:t xml:space="preserve"> </w:t>
            </w:r>
          </w:p>
        </w:tc>
      </w:tr>
      <w:tr w:rsidR="00043399" w:rsidRPr="00F649A7" w14:paraId="1FA6A82D" w14:textId="77777777" w:rsidTr="00E965BC">
        <w:trPr>
          <w:trHeight w:val="315"/>
        </w:trPr>
        <w:tc>
          <w:tcPr>
            <w:tcW w:w="2781" w:type="dxa"/>
            <w:tcBorders>
              <w:top w:val="nil"/>
              <w:left w:val="nil"/>
              <w:bottom w:val="single" w:sz="8" w:space="0" w:color="auto"/>
              <w:right w:val="nil"/>
            </w:tcBorders>
            <w:shd w:val="clear" w:color="auto" w:fill="auto"/>
            <w:vAlign w:val="bottom"/>
            <w:hideMark/>
          </w:tcPr>
          <w:p w14:paraId="3BE7D4CD" w14:textId="77777777" w:rsidR="00043399" w:rsidRPr="00F649A7" w:rsidRDefault="00043399" w:rsidP="00E965BC">
            <w:pPr>
              <w:spacing w:line="240" w:lineRule="auto"/>
              <w:rPr>
                <w:rFonts w:cs="Times New Roman"/>
                <w:b/>
                <w:bCs/>
                <w:color w:val="000000"/>
              </w:rPr>
            </w:pPr>
            <w:r w:rsidRPr="00F649A7">
              <w:rPr>
                <w:rFonts w:cs="Times New Roman"/>
                <w:b/>
                <w:bCs/>
                <w:color w:val="000000"/>
              </w:rPr>
              <w:t>Source of Variation</w:t>
            </w:r>
          </w:p>
        </w:tc>
        <w:tc>
          <w:tcPr>
            <w:tcW w:w="2482" w:type="dxa"/>
            <w:gridSpan w:val="3"/>
            <w:tcBorders>
              <w:top w:val="nil"/>
              <w:left w:val="nil"/>
              <w:bottom w:val="single" w:sz="8" w:space="0" w:color="auto"/>
              <w:right w:val="nil"/>
            </w:tcBorders>
            <w:shd w:val="clear" w:color="auto" w:fill="auto"/>
            <w:noWrap/>
            <w:vAlign w:val="bottom"/>
            <w:hideMark/>
          </w:tcPr>
          <w:p w14:paraId="47DB9DA8" w14:textId="77777777" w:rsidR="00043399" w:rsidRPr="00F649A7" w:rsidRDefault="00043399" w:rsidP="00E965BC">
            <w:pPr>
              <w:spacing w:line="240" w:lineRule="auto"/>
              <w:jc w:val="center"/>
              <w:rPr>
                <w:rFonts w:cs="Times New Roman"/>
                <w:b/>
                <w:bCs/>
                <w:color w:val="000000"/>
              </w:rPr>
            </w:pPr>
            <w:r w:rsidRPr="00F649A7">
              <w:rPr>
                <w:rFonts w:cs="Times New Roman"/>
                <w:b/>
                <w:bCs/>
                <w:color w:val="000000"/>
              </w:rPr>
              <w:t>HSP</w:t>
            </w:r>
          </w:p>
        </w:tc>
        <w:tc>
          <w:tcPr>
            <w:tcW w:w="2558" w:type="dxa"/>
            <w:gridSpan w:val="3"/>
            <w:tcBorders>
              <w:top w:val="nil"/>
              <w:left w:val="nil"/>
              <w:bottom w:val="single" w:sz="8" w:space="0" w:color="auto"/>
              <w:right w:val="nil"/>
            </w:tcBorders>
            <w:shd w:val="clear" w:color="auto" w:fill="auto"/>
            <w:vAlign w:val="bottom"/>
            <w:hideMark/>
          </w:tcPr>
          <w:p w14:paraId="4F3C000F" w14:textId="77777777" w:rsidR="00043399" w:rsidRPr="00F649A7" w:rsidRDefault="00043399" w:rsidP="00E965BC">
            <w:pPr>
              <w:spacing w:line="240" w:lineRule="auto"/>
              <w:jc w:val="center"/>
              <w:rPr>
                <w:rFonts w:cs="Times New Roman"/>
                <w:b/>
                <w:bCs/>
                <w:color w:val="000000"/>
              </w:rPr>
            </w:pPr>
            <w:r w:rsidRPr="00F649A7">
              <w:rPr>
                <w:rFonts w:cs="Times New Roman"/>
                <w:b/>
                <w:bCs/>
                <w:color w:val="000000"/>
              </w:rPr>
              <w:t>HSW</w:t>
            </w:r>
          </w:p>
        </w:tc>
        <w:tc>
          <w:tcPr>
            <w:tcW w:w="2466" w:type="dxa"/>
            <w:gridSpan w:val="3"/>
            <w:tcBorders>
              <w:top w:val="nil"/>
              <w:left w:val="nil"/>
              <w:bottom w:val="single" w:sz="8" w:space="0" w:color="auto"/>
              <w:right w:val="nil"/>
            </w:tcBorders>
            <w:shd w:val="clear" w:color="auto" w:fill="auto"/>
            <w:vAlign w:val="bottom"/>
            <w:hideMark/>
          </w:tcPr>
          <w:p w14:paraId="4BDB2AF9" w14:textId="77777777" w:rsidR="00043399" w:rsidRPr="00F649A7" w:rsidRDefault="00043399" w:rsidP="00E965BC">
            <w:pPr>
              <w:spacing w:line="240" w:lineRule="auto"/>
              <w:jc w:val="center"/>
              <w:rPr>
                <w:rFonts w:cs="Times New Roman"/>
                <w:b/>
                <w:bCs/>
                <w:color w:val="000000"/>
              </w:rPr>
            </w:pPr>
            <w:r w:rsidRPr="00F649A7">
              <w:rPr>
                <w:rFonts w:cs="Times New Roman"/>
                <w:b/>
                <w:bCs/>
                <w:color w:val="000000"/>
              </w:rPr>
              <w:t>HSP</w:t>
            </w:r>
          </w:p>
        </w:tc>
        <w:tc>
          <w:tcPr>
            <w:tcW w:w="2269" w:type="dxa"/>
            <w:gridSpan w:val="3"/>
            <w:tcBorders>
              <w:top w:val="nil"/>
              <w:left w:val="nil"/>
              <w:bottom w:val="single" w:sz="8" w:space="0" w:color="auto"/>
              <w:right w:val="nil"/>
            </w:tcBorders>
            <w:shd w:val="clear" w:color="auto" w:fill="auto"/>
            <w:vAlign w:val="bottom"/>
            <w:hideMark/>
          </w:tcPr>
          <w:p w14:paraId="320C5F09" w14:textId="77777777" w:rsidR="00043399" w:rsidRPr="00F649A7" w:rsidRDefault="00043399" w:rsidP="00E965BC">
            <w:pPr>
              <w:spacing w:line="240" w:lineRule="auto"/>
              <w:jc w:val="center"/>
              <w:rPr>
                <w:rFonts w:cs="Times New Roman"/>
                <w:b/>
                <w:bCs/>
                <w:color w:val="000000"/>
              </w:rPr>
            </w:pPr>
            <w:r w:rsidRPr="00F649A7">
              <w:rPr>
                <w:rFonts w:cs="Times New Roman"/>
                <w:b/>
                <w:bCs/>
                <w:color w:val="000000"/>
              </w:rPr>
              <w:t>HSW</w:t>
            </w:r>
          </w:p>
        </w:tc>
      </w:tr>
      <w:tr w:rsidR="00043399" w:rsidRPr="00F649A7" w14:paraId="25196325" w14:textId="77777777" w:rsidTr="00E965BC">
        <w:trPr>
          <w:trHeight w:val="315"/>
        </w:trPr>
        <w:tc>
          <w:tcPr>
            <w:tcW w:w="2781" w:type="dxa"/>
            <w:tcBorders>
              <w:top w:val="nil"/>
              <w:left w:val="nil"/>
              <w:bottom w:val="nil"/>
              <w:right w:val="nil"/>
            </w:tcBorders>
            <w:shd w:val="clear" w:color="auto" w:fill="auto"/>
            <w:noWrap/>
            <w:vAlign w:val="bottom"/>
            <w:hideMark/>
          </w:tcPr>
          <w:p w14:paraId="578E79E6" w14:textId="77777777" w:rsidR="00043399" w:rsidRPr="00F649A7" w:rsidRDefault="00065705" w:rsidP="00E965BC">
            <w:pPr>
              <w:spacing w:line="240" w:lineRule="auto"/>
              <w:rPr>
                <w:rFonts w:cs="Times New Roman"/>
                <w:b/>
                <w:bCs/>
                <w:color w:val="000000"/>
              </w:rPr>
            </w:pPr>
            <w:r>
              <w:rPr>
                <w:rFonts w:cs="Times New Roman"/>
                <w:b/>
                <w:bCs/>
                <w:color w:val="000000"/>
              </w:rPr>
              <w:t>GCA</w:t>
            </w:r>
            <w:r w:rsidR="00043399" w:rsidRPr="00F649A7">
              <w:rPr>
                <w:rFonts w:cs="Times New Roman"/>
                <w:b/>
                <w:bCs/>
                <w:color w:val="000000"/>
              </w:rPr>
              <w:t xml:space="preserve"> </w:t>
            </w:r>
          </w:p>
        </w:tc>
        <w:tc>
          <w:tcPr>
            <w:tcW w:w="936" w:type="dxa"/>
            <w:tcBorders>
              <w:top w:val="nil"/>
              <w:left w:val="nil"/>
              <w:bottom w:val="nil"/>
              <w:right w:val="nil"/>
            </w:tcBorders>
            <w:shd w:val="clear" w:color="auto" w:fill="auto"/>
            <w:vAlign w:val="bottom"/>
            <w:hideMark/>
          </w:tcPr>
          <w:p w14:paraId="0FE74533" w14:textId="77777777" w:rsidR="00043399" w:rsidRPr="00F649A7" w:rsidRDefault="00043399" w:rsidP="00E965BC">
            <w:pPr>
              <w:spacing w:line="240" w:lineRule="auto"/>
              <w:jc w:val="right"/>
              <w:rPr>
                <w:rFonts w:cs="Times New Roman"/>
                <w:color w:val="000000"/>
              </w:rPr>
            </w:pPr>
            <w:r w:rsidRPr="00F649A7">
              <w:rPr>
                <w:rFonts w:cs="Times New Roman"/>
                <w:color w:val="000000"/>
              </w:rPr>
              <w:t>3787</w:t>
            </w:r>
          </w:p>
        </w:tc>
        <w:tc>
          <w:tcPr>
            <w:tcW w:w="626" w:type="dxa"/>
            <w:tcBorders>
              <w:top w:val="nil"/>
              <w:left w:val="nil"/>
              <w:bottom w:val="nil"/>
              <w:right w:val="nil"/>
            </w:tcBorders>
            <w:shd w:val="clear" w:color="auto" w:fill="auto"/>
            <w:noWrap/>
            <w:vAlign w:val="bottom"/>
            <w:hideMark/>
          </w:tcPr>
          <w:p w14:paraId="3656646F" w14:textId="77777777" w:rsidR="00043399" w:rsidRPr="00F649A7" w:rsidRDefault="00043399" w:rsidP="00E965BC">
            <w:pPr>
              <w:spacing w:line="240" w:lineRule="auto"/>
              <w:rPr>
                <w:rFonts w:cs="Times New Roman"/>
                <w:color w:val="000000"/>
              </w:rPr>
            </w:pPr>
            <w:r w:rsidRPr="00F649A7">
              <w:rPr>
                <w:rFonts w:cs="Times New Roman"/>
                <w:color w:val="000000"/>
              </w:rPr>
              <w:t xml:space="preserve"> </w:t>
            </w:r>
          </w:p>
        </w:tc>
        <w:tc>
          <w:tcPr>
            <w:tcW w:w="920" w:type="dxa"/>
            <w:tcBorders>
              <w:top w:val="nil"/>
              <w:left w:val="nil"/>
              <w:bottom w:val="nil"/>
              <w:right w:val="nil"/>
            </w:tcBorders>
            <w:shd w:val="clear" w:color="auto" w:fill="auto"/>
            <w:vAlign w:val="bottom"/>
            <w:hideMark/>
          </w:tcPr>
          <w:p w14:paraId="2B57C4ED" w14:textId="77777777" w:rsidR="00043399" w:rsidRPr="00F649A7" w:rsidRDefault="00043399" w:rsidP="00E965BC">
            <w:pPr>
              <w:spacing w:line="240" w:lineRule="auto"/>
              <w:jc w:val="center"/>
              <w:rPr>
                <w:rFonts w:cs="Times New Roman"/>
                <w:color w:val="000000"/>
              </w:rPr>
            </w:pPr>
            <w:r w:rsidRPr="00F649A7">
              <w:rPr>
                <w:rFonts w:cs="Times New Roman"/>
                <w:color w:val="000000"/>
              </w:rPr>
              <w:t>1%</w:t>
            </w:r>
          </w:p>
        </w:tc>
        <w:tc>
          <w:tcPr>
            <w:tcW w:w="1012" w:type="dxa"/>
            <w:tcBorders>
              <w:top w:val="nil"/>
              <w:left w:val="nil"/>
              <w:bottom w:val="nil"/>
              <w:right w:val="nil"/>
            </w:tcBorders>
            <w:shd w:val="clear" w:color="auto" w:fill="auto"/>
            <w:noWrap/>
            <w:vAlign w:val="bottom"/>
            <w:hideMark/>
          </w:tcPr>
          <w:p w14:paraId="612A8054" w14:textId="77777777" w:rsidR="00043399" w:rsidRPr="00F649A7" w:rsidRDefault="00043399" w:rsidP="00E965BC">
            <w:pPr>
              <w:spacing w:line="240" w:lineRule="auto"/>
              <w:jc w:val="right"/>
              <w:rPr>
                <w:rFonts w:cs="Times New Roman"/>
                <w:color w:val="000000"/>
              </w:rPr>
            </w:pPr>
            <w:r w:rsidRPr="00F649A7">
              <w:rPr>
                <w:rFonts w:cs="Times New Roman"/>
                <w:color w:val="000000"/>
              </w:rPr>
              <w:t>0</w:t>
            </w:r>
          </w:p>
        </w:tc>
        <w:tc>
          <w:tcPr>
            <w:tcW w:w="626" w:type="dxa"/>
            <w:tcBorders>
              <w:top w:val="nil"/>
              <w:left w:val="nil"/>
              <w:bottom w:val="nil"/>
              <w:right w:val="nil"/>
            </w:tcBorders>
            <w:shd w:val="clear" w:color="auto" w:fill="auto"/>
            <w:noWrap/>
            <w:vAlign w:val="bottom"/>
            <w:hideMark/>
          </w:tcPr>
          <w:p w14:paraId="3689F440" w14:textId="77777777" w:rsidR="00043399" w:rsidRPr="00F649A7" w:rsidRDefault="00043399" w:rsidP="00E965BC">
            <w:pPr>
              <w:spacing w:line="240" w:lineRule="auto"/>
              <w:rPr>
                <w:rFonts w:cs="Times New Roman"/>
                <w:color w:val="000000"/>
              </w:rPr>
            </w:pPr>
          </w:p>
        </w:tc>
        <w:tc>
          <w:tcPr>
            <w:tcW w:w="920" w:type="dxa"/>
            <w:tcBorders>
              <w:top w:val="nil"/>
              <w:left w:val="nil"/>
              <w:bottom w:val="nil"/>
              <w:right w:val="nil"/>
            </w:tcBorders>
            <w:shd w:val="clear" w:color="auto" w:fill="auto"/>
            <w:vAlign w:val="bottom"/>
            <w:hideMark/>
          </w:tcPr>
          <w:p w14:paraId="656C1E01" w14:textId="77777777" w:rsidR="00043399" w:rsidRPr="00F649A7" w:rsidRDefault="00043399" w:rsidP="00E965BC">
            <w:pPr>
              <w:spacing w:line="240" w:lineRule="auto"/>
              <w:jc w:val="center"/>
              <w:rPr>
                <w:rFonts w:cs="Times New Roman"/>
                <w:color w:val="000000"/>
              </w:rPr>
            </w:pPr>
            <w:r w:rsidRPr="00F649A7">
              <w:rPr>
                <w:rFonts w:cs="Times New Roman"/>
                <w:color w:val="000000"/>
              </w:rPr>
              <w:t>0%</w:t>
            </w:r>
          </w:p>
        </w:tc>
        <w:tc>
          <w:tcPr>
            <w:tcW w:w="920" w:type="dxa"/>
            <w:tcBorders>
              <w:top w:val="nil"/>
              <w:left w:val="nil"/>
              <w:bottom w:val="nil"/>
              <w:right w:val="nil"/>
            </w:tcBorders>
            <w:shd w:val="clear" w:color="auto" w:fill="auto"/>
            <w:vAlign w:val="bottom"/>
            <w:hideMark/>
          </w:tcPr>
          <w:p w14:paraId="7FC7F5A2" w14:textId="77777777" w:rsidR="00043399" w:rsidRPr="00F649A7" w:rsidRDefault="00043399" w:rsidP="00E965BC">
            <w:pPr>
              <w:spacing w:line="240" w:lineRule="auto"/>
              <w:jc w:val="right"/>
              <w:rPr>
                <w:rFonts w:cs="Times New Roman"/>
                <w:color w:val="000000"/>
              </w:rPr>
            </w:pPr>
            <w:r w:rsidRPr="00F649A7">
              <w:rPr>
                <w:rFonts w:cs="Times New Roman"/>
                <w:color w:val="000000"/>
              </w:rPr>
              <w:t>0.0</w:t>
            </w:r>
          </w:p>
        </w:tc>
        <w:tc>
          <w:tcPr>
            <w:tcW w:w="626" w:type="dxa"/>
            <w:tcBorders>
              <w:top w:val="nil"/>
              <w:left w:val="nil"/>
              <w:bottom w:val="nil"/>
              <w:right w:val="nil"/>
            </w:tcBorders>
            <w:shd w:val="clear" w:color="auto" w:fill="auto"/>
            <w:noWrap/>
            <w:vAlign w:val="bottom"/>
            <w:hideMark/>
          </w:tcPr>
          <w:p w14:paraId="35274FEC" w14:textId="77777777" w:rsidR="00043399" w:rsidRPr="00F649A7" w:rsidRDefault="00043399" w:rsidP="00E965BC">
            <w:pPr>
              <w:spacing w:line="240" w:lineRule="auto"/>
              <w:rPr>
                <w:rFonts w:cs="Times New Roman"/>
                <w:color w:val="000000"/>
              </w:rPr>
            </w:pPr>
          </w:p>
        </w:tc>
        <w:tc>
          <w:tcPr>
            <w:tcW w:w="920" w:type="dxa"/>
            <w:tcBorders>
              <w:top w:val="nil"/>
              <w:left w:val="nil"/>
              <w:bottom w:val="nil"/>
              <w:right w:val="nil"/>
            </w:tcBorders>
            <w:shd w:val="clear" w:color="auto" w:fill="auto"/>
            <w:vAlign w:val="bottom"/>
            <w:hideMark/>
          </w:tcPr>
          <w:p w14:paraId="4031E52E" w14:textId="77777777" w:rsidR="00043399" w:rsidRPr="00F649A7" w:rsidRDefault="00043399" w:rsidP="00E965BC">
            <w:pPr>
              <w:spacing w:line="240" w:lineRule="auto"/>
              <w:jc w:val="center"/>
              <w:rPr>
                <w:rFonts w:cs="Times New Roman"/>
                <w:color w:val="000000"/>
              </w:rPr>
            </w:pPr>
            <w:r w:rsidRPr="00F649A7">
              <w:rPr>
                <w:rFonts w:cs="Times New Roman"/>
                <w:color w:val="000000"/>
              </w:rPr>
              <w:t>0%</w:t>
            </w:r>
          </w:p>
        </w:tc>
        <w:tc>
          <w:tcPr>
            <w:tcW w:w="723" w:type="dxa"/>
            <w:tcBorders>
              <w:top w:val="nil"/>
              <w:left w:val="nil"/>
              <w:bottom w:val="nil"/>
              <w:right w:val="nil"/>
            </w:tcBorders>
            <w:shd w:val="clear" w:color="auto" w:fill="auto"/>
            <w:noWrap/>
            <w:vAlign w:val="bottom"/>
            <w:hideMark/>
          </w:tcPr>
          <w:p w14:paraId="5531E462" w14:textId="77777777" w:rsidR="00043399" w:rsidRPr="00F649A7" w:rsidRDefault="00043399" w:rsidP="00E965BC">
            <w:pPr>
              <w:spacing w:line="240" w:lineRule="auto"/>
              <w:jc w:val="right"/>
              <w:rPr>
                <w:rFonts w:cs="Times New Roman"/>
                <w:color w:val="000000"/>
              </w:rPr>
            </w:pPr>
            <w:r w:rsidRPr="00F649A7">
              <w:rPr>
                <w:rFonts w:cs="Times New Roman"/>
                <w:color w:val="000000"/>
              </w:rPr>
              <w:t>0.8</w:t>
            </w:r>
          </w:p>
        </w:tc>
        <w:tc>
          <w:tcPr>
            <w:tcW w:w="626" w:type="dxa"/>
            <w:tcBorders>
              <w:top w:val="nil"/>
              <w:left w:val="nil"/>
              <w:bottom w:val="nil"/>
              <w:right w:val="nil"/>
            </w:tcBorders>
            <w:shd w:val="clear" w:color="auto" w:fill="auto"/>
            <w:noWrap/>
            <w:vAlign w:val="bottom"/>
            <w:hideMark/>
          </w:tcPr>
          <w:p w14:paraId="76137929" w14:textId="77777777" w:rsidR="00043399" w:rsidRPr="00F649A7" w:rsidRDefault="00043399" w:rsidP="00E965BC">
            <w:pPr>
              <w:spacing w:line="240" w:lineRule="auto"/>
              <w:rPr>
                <w:rFonts w:cs="Times New Roman"/>
                <w:color w:val="000000"/>
              </w:rPr>
            </w:pPr>
            <w:r w:rsidRPr="00F649A7">
              <w:rPr>
                <w:rFonts w:cs="Times New Roman"/>
                <w:color w:val="000000"/>
              </w:rPr>
              <w:t xml:space="preserve"> </w:t>
            </w:r>
          </w:p>
        </w:tc>
        <w:tc>
          <w:tcPr>
            <w:tcW w:w="920" w:type="dxa"/>
            <w:tcBorders>
              <w:top w:val="nil"/>
              <w:left w:val="nil"/>
              <w:bottom w:val="nil"/>
              <w:right w:val="nil"/>
            </w:tcBorders>
            <w:shd w:val="clear" w:color="auto" w:fill="auto"/>
            <w:vAlign w:val="bottom"/>
            <w:hideMark/>
          </w:tcPr>
          <w:p w14:paraId="641C19DF" w14:textId="77777777" w:rsidR="00043399" w:rsidRPr="00F649A7" w:rsidRDefault="00043399" w:rsidP="00E965BC">
            <w:pPr>
              <w:spacing w:line="240" w:lineRule="auto"/>
              <w:jc w:val="center"/>
              <w:rPr>
                <w:rFonts w:cs="Times New Roman"/>
                <w:color w:val="000000"/>
              </w:rPr>
            </w:pPr>
            <w:r w:rsidRPr="00F649A7">
              <w:rPr>
                <w:rFonts w:cs="Times New Roman"/>
                <w:color w:val="000000"/>
              </w:rPr>
              <w:t>2%</w:t>
            </w:r>
          </w:p>
        </w:tc>
      </w:tr>
      <w:tr w:rsidR="00043399" w:rsidRPr="00F649A7" w14:paraId="54248367" w14:textId="77777777" w:rsidTr="00E965BC">
        <w:trPr>
          <w:trHeight w:val="315"/>
        </w:trPr>
        <w:tc>
          <w:tcPr>
            <w:tcW w:w="2781" w:type="dxa"/>
            <w:tcBorders>
              <w:top w:val="nil"/>
              <w:left w:val="nil"/>
              <w:bottom w:val="nil"/>
              <w:right w:val="nil"/>
            </w:tcBorders>
            <w:shd w:val="clear" w:color="auto" w:fill="auto"/>
            <w:noWrap/>
            <w:vAlign w:val="bottom"/>
            <w:hideMark/>
          </w:tcPr>
          <w:p w14:paraId="59FD41D4" w14:textId="77777777" w:rsidR="00043399" w:rsidRPr="00F649A7" w:rsidRDefault="00065705" w:rsidP="00E965BC">
            <w:pPr>
              <w:spacing w:line="240" w:lineRule="auto"/>
              <w:rPr>
                <w:rFonts w:cs="Times New Roman"/>
                <w:b/>
                <w:bCs/>
                <w:color w:val="000000"/>
              </w:rPr>
            </w:pPr>
            <w:r>
              <w:rPr>
                <w:rFonts w:cs="Times New Roman"/>
                <w:b/>
                <w:bCs/>
                <w:color w:val="000000"/>
              </w:rPr>
              <w:t>SCA</w:t>
            </w:r>
          </w:p>
        </w:tc>
        <w:tc>
          <w:tcPr>
            <w:tcW w:w="936" w:type="dxa"/>
            <w:tcBorders>
              <w:top w:val="nil"/>
              <w:left w:val="nil"/>
              <w:bottom w:val="nil"/>
              <w:right w:val="nil"/>
            </w:tcBorders>
            <w:shd w:val="clear" w:color="auto" w:fill="auto"/>
            <w:vAlign w:val="bottom"/>
            <w:hideMark/>
          </w:tcPr>
          <w:p w14:paraId="63D3557A" w14:textId="77777777" w:rsidR="00043399" w:rsidRPr="00F649A7" w:rsidRDefault="00043399" w:rsidP="00E965BC">
            <w:pPr>
              <w:spacing w:line="240" w:lineRule="auto"/>
              <w:jc w:val="right"/>
              <w:rPr>
                <w:rFonts w:cs="Times New Roman"/>
                <w:color w:val="000000"/>
              </w:rPr>
            </w:pPr>
            <w:r w:rsidRPr="00F649A7">
              <w:rPr>
                <w:rFonts w:cs="Times New Roman"/>
                <w:color w:val="000000"/>
              </w:rPr>
              <w:t>9473</w:t>
            </w:r>
          </w:p>
        </w:tc>
        <w:tc>
          <w:tcPr>
            <w:tcW w:w="626" w:type="dxa"/>
            <w:tcBorders>
              <w:top w:val="nil"/>
              <w:left w:val="nil"/>
              <w:bottom w:val="nil"/>
              <w:right w:val="nil"/>
            </w:tcBorders>
            <w:shd w:val="clear" w:color="auto" w:fill="auto"/>
            <w:noWrap/>
            <w:vAlign w:val="bottom"/>
            <w:hideMark/>
          </w:tcPr>
          <w:p w14:paraId="3D832600" w14:textId="77777777" w:rsidR="00043399" w:rsidRPr="00F649A7" w:rsidRDefault="00043399" w:rsidP="00E965BC">
            <w:pPr>
              <w:spacing w:line="240" w:lineRule="auto"/>
              <w:rPr>
                <w:rFonts w:cs="Times New Roman"/>
                <w:color w:val="000000"/>
              </w:rPr>
            </w:pPr>
            <w:r w:rsidRPr="00F649A7">
              <w:rPr>
                <w:rFonts w:cs="Times New Roman"/>
                <w:color w:val="000000"/>
              </w:rPr>
              <w:t xml:space="preserve"> </w:t>
            </w:r>
          </w:p>
        </w:tc>
        <w:tc>
          <w:tcPr>
            <w:tcW w:w="920" w:type="dxa"/>
            <w:tcBorders>
              <w:top w:val="nil"/>
              <w:left w:val="nil"/>
              <w:bottom w:val="nil"/>
              <w:right w:val="nil"/>
            </w:tcBorders>
            <w:shd w:val="clear" w:color="auto" w:fill="auto"/>
            <w:vAlign w:val="bottom"/>
            <w:hideMark/>
          </w:tcPr>
          <w:p w14:paraId="6B55B16D" w14:textId="77777777" w:rsidR="00043399" w:rsidRPr="00F649A7" w:rsidRDefault="00043399" w:rsidP="00E965BC">
            <w:pPr>
              <w:spacing w:line="240" w:lineRule="auto"/>
              <w:jc w:val="center"/>
              <w:rPr>
                <w:rFonts w:cs="Times New Roman"/>
                <w:color w:val="000000"/>
              </w:rPr>
            </w:pPr>
            <w:r w:rsidRPr="00F649A7">
              <w:rPr>
                <w:rFonts w:cs="Times New Roman"/>
                <w:color w:val="000000"/>
              </w:rPr>
              <w:t>2%</w:t>
            </w:r>
          </w:p>
        </w:tc>
        <w:tc>
          <w:tcPr>
            <w:tcW w:w="1012" w:type="dxa"/>
            <w:tcBorders>
              <w:top w:val="nil"/>
              <w:left w:val="nil"/>
              <w:bottom w:val="nil"/>
              <w:right w:val="nil"/>
            </w:tcBorders>
            <w:shd w:val="clear" w:color="auto" w:fill="auto"/>
            <w:noWrap/>
            <w:vAlign w:val="bottom"/>
            <w:hideMark/>
          </w:tcPr>
          <w:p w14:paraId="5184A439" w14:textId="77777777" w:rsidR="00043399" w:rsidRPr="00F649A7" w:rsidRDefault="00043399" w:rsidP="00E965BC">
            <w:pPr>
              <w:spacing w:line="240" w:lineRule="auto"/>
              <w:jc w:val="right"/>
              <w:rPr>
                <w:rFonts w:cs="Times New Roman"/>
                <w:color w:val="000000"/>
              </w:rPr>
            </w:pPr>
            <w:r w:rsidRPr="00F649A7">
              <w:rPr>
                <w:rFonts w:cs="Times New Roman"/>
                <w:color w:val="000000"/>
              </w:rPr>
              <w:t>1177</w:t>
            </w:r>
          </w:p>
        </w:tc>
        <w:tc>
          <w:tcPr>
            <w:tcW w:w="626" w:type="dxa"/>
            <w:tcBorders>
              <w:top w:val="nil"/>
              <w:left w:val="nil"/>
              <w:bottom w:val="nil"/>
              <w:right w:val="nil"/>
            </w:tcBorders>
            <w:shd w:val="clear" w:color="auto" w:fill="auto"/>
            <w:noWrap/>
            <w:vAlign w:val="bottom"/>
            <w:hideMark/>
          </w:tcPr>
          <w:p w14:paraId="689D01D6" w14:textId="77777777" w:rsidR="00043399" w:rsidRPr="00F649A7" w:rsidRDefault="00043399" w:rsidP="00E965BC">
            <w:pPr>
              <w:spacing w:line="240" w:lineRule="auto"/>
              <w:rPr>
                <w:rFonts w:cs="Times New Roman"/>
                <w:color w:val="000000"/>
              </w:rPr>
            </w:pPr>
            <w:r w:rsidRPr="00F649A7">
              <w:rPr>
                <w:rFonts w:cs="Times New Roman"/>
                <w:color w:val="000000"/>
              </w:rPr>
              <w:t>*</w:t>
            </w:r>
          </w:p>
        </w:tc>
        <w:tc>
          <w:tcPr>
            <w:tcW w:w="920" w:type="dxa"/>
            <w:tcBorders>
              <w:top w:val="nil"/>
              <w:left w:val="nil"/>
              <w:bottom w:val="nil"/>
              <w:right w:val="nil"/>
            </w:tcBorders>
            <w:shd w:val="clear" w:color="auto" w:fill="auto"/>
            <w:vAlign w:val="bottom"/>
            <w:hideMark/>
          </w:tcPr>
          <w:p w14:paraId="6A5C547E" w14:textId="77777777" w:rsidR="00043399" w:rsidRPr="00F649A7" w:rsidRDefault="00043399" w:rsidP="00E965BC">
            <w:pPr>
              <w:spacing w:line="240" w:lineRule="auto"/>
              <w:jc w:val="center"/>
              <w:rPr>
                <w:rFonts w:cs="Times New Roman"/>
                <w:color w:val="000000"/>
              </w:rPr>
            </w:pPr>
            <w:r w:rsidRPr="00F649A7">
              <w:rPr>
                <w:rFonts w:cs="Times New Roman"/>
                <w:color w:val="000000"/>
              </w:rPr>
              <w:t>3%</w:t>
            </w:r>
          </w:p>
        </w:tc>
        <w:tc>
          <w:tcPr>
            <w:tcW w:w="920" w:type="dxa"/>
            <w:tcBorders>
              <w:top w:val="nil"/>
              <w:left w:val="nil"/>
              <w:bottom w:val="nil"/>
              <w:right w:val="nil"/>
            </w:tcBorders>
            <w:shd w:val="clear" w:color="auto" w:fill="auto"/>
            <w:vAlign w:val="bottom"/>
            <w:hideMark/>
          </w:tcPr>
          <w:p w14:paraId="7322593C" w14:textId="77777777" w:rsidR="00043399" w:rsidRPr="00F649A7" w:rsidRDefault="00043399" w:rsidP="00E965BC">
            <w:pPr>
              <w:spacing w:line="240" w:lineRule="auto"/>
              <w:jc w:val="right"/>
              <w:rPr>
                <w:rFonts w:cs="Times New Roman"/>
                <w:color w:val="000000"/>
              </w:rPr>
            </w:pPr>
            <w:r w:rsidRPr="00F649A7">
              <w:rPr>
                <w:rFonts w:cs="Times New Roman"/>
                <w:color w:val="000000"/>
              </w:rPr>
              <w:t>1.3</w:t>
            </w:r>
          </w:p>
        </w:tc>
        <w:tc>
          <w:tcPr>
            <w:tcW w:w="626" w:type="dxa"/>
            <w:tcBorders>
              <w:top w:val="nil"/>
              <w:left w:val="nil"/>
              <w:bottom w:val="nil"/>
              <w:right w:val="nil"/>
            </w:tcBorders>
            <w:shd w:val="clear" w:color="auto" w:fill="auto"/>
            <w:noWrap/>
            <w:vAlign w:val="bottom"/>
            <w:hideMark/>
          </w:tcPr>
          <w:p w14:paraId="07C64F7B" w14:textId="77777777" w:rsidR="00043399" w:rsidRPr="00F649A7" w:rsidRDefault="00043399" w:rsidP="00E965BC">
            <w:pPr>
              <w:spacing w:line="240" w:lineRule="auto"/>
              <w:rPr>
                <w:rFonts w:cs="Times New Roman"/>
                <w:color w:val="000000"/>
              </w:rPr>
            </w:pPr>
            <w:r w:rsidRPr="00F649A7">
              <w:rPr>
                <w:rFonts w:cs="Times New Roman"/>
                <w:color w:val="000000"/>
              </w:rPr>
              <w:t>*</w:t>
            </w:r>
          </w:p>
        </w:tc>
        <w:tc>
          <w:tcPr>
            <w:tcW w:w="920" w:type="dxa"/>
            <w:tcBorders>
              <w:top w:val="nil"/>
              <w:left w:val="nil"/>
              <w:bottom w:val="nil"/>
              <w:right w:val="nil"/>
            </w:tcBorders>
            <w:shd w:val="clear" w:color="auto" w:fill="auto"/>
            <w:vAlign w:val="bottom"/>
            <w:hideMark/>
          </w:tcPr>
          <w:p w14:paraId="5DE3DEC0" w14:textId="77777777" w:rsidR="00043399" w:rsidRPr="00F649A7" w:rsidRDefault="00043399" w:rsidP="00E965BC">
            <w:pPr>
              <w:spacing w:line="240" w:lineRule="auto"/>
              <w:jc w:val="center"/>
              <w:rPr>
                <w:rFonts w:cs="Times New Roman"/>
                <w:color w:val="000000"/>
              </w:rPr>
            </w:pPr>
            <w:r w:rsidRPr="00F649A7">
              <w:rPr>
                <w:rFonts w:cs="Times New Roman"/>
                <w:color w:val="000000"/>
              </w:rPr>
              <w:t>4%</w:t>
            </w:r>
          </w:p>
        </w:tc>
        <w:tc>
          <w:tcPr>
            <w:tcW w:w="723" w:type="dxa"/>
            <w:tcBorders>
              <w:top w:val="nil"/>
              <w:left w:val="nil"/>
              <w:bottom w:val="nil"/>
              <w:right w:val="nil"/>
            </w:tcBorders>
            <w:shd w:val="clear" w:color="auto" w:fill="auto"/>
            <w:noWrap/>
            <w:vAlign w:val="bottom"/>
            <w:hideMark/>
          </w:tcPr>
          <w:p w14:paraId="09E54704" w14:textId="77777777" w:rsidR="00043399" w:rsidRPr="00F649A7" w:rsidRDefault="00043399" w:rsidP="00E965BC">
            <w:pPr>
              <w:spacing w:line="240" w:lineRule="auto"/>
              <w:jc w:val="right"/>
              <w:rPr>
                <w:rFonts w:cs="Times New Roman"/>
                <w:color w:val="000000"/>
              </w:rPr>
            </w:pPr>
            <w:r w:rsidRPr="00F649A7">
              <w:rPr>
                <w:rFonts w:cs="Times New Roman"/>
                <w:color w:val="000000"/>
              </w:rPr>
              <w:t>1.5</w:t>
            </w:r>
          </w:p>
        </w:tc>
        <w:tc>
          <w:tcPr>
            <w:tcW w:w="626" w:type="dxa"/>
            <w:tcBorders>
              <w:top w:val="nil"/>
              <w:left w:val="nil"/>
              <w:bottom w:val="nil"/>
              <w:right w:val="nil"/>
            </w:tcBorders>
            <w:shd w:val="clear" w:color="auto" w:fill="auto"/>
            <w:noWrap/>
            <w:vAlign w:val="bottom"/>
            <w:hideMark/>
          </w:tcPr>
          <w:p w14:paraId="3BE22112" w14:textId="77777777" w:rsidR="00043399" w:rsidRPr="00F649A7" w:rsidRDefault="00043399" w:rsidP="00E965BC">
            <w:pPr>
              <w:spacing w:line="240" w:lineRule="auto"/>
              <w:rPr>
                <w:rFonts w:cs="Times New Roman"/>
                <w:color w:val="000000"/>
              </w:rPr>
            </w:pPr>
            <w:r w:rsidRPr="00F649A7">
              <w:rPr>
                <w:rFonts w:cs="Times New Roman"/>
                <w:color w:val="000000"/>
              </w:rPr>
              <w:t xml:space="preserve"> </w:t>
            </w:r>
          </w:p>
        </w:tc>
        <w:tc>
          <w:tcPr>
            <w:tcW w:w="920" w:type="dxa"/>
            <w:tcBorders>
              <w:top w:val="nil"/>
              <w:left w:val="nil"/>
              <w:bottom w:val="nil"/>
              <w:right w:val="nil"/>
            </w:tcBorders>
            <w:shd w:val="clear" w:color="auto" w:fill="auto"/>
            <w:vAlign w:val="bottom"/>
            <w:hideMark/>
          </w:tcPr>
          <w:p w14:paraId="6D1B875A" w14:textId="77777777" w:rsidR="00043399" w:rsidRPr="00F649A7" w:rsidRDefault="00043399" w:rsidP="00E965BC">
            <w:pPr>
              <w:spacing w:line="240" w:lineRule="auto"/>
              <w:jc w:val="center"/>
              <w:rPr>
                <w:rFonts w:cs="Times New Roman"/>
                <w:color w:val="000000"/>
              </w:rPr>
            </w:pPr>
            <w:r w:rsidRPr="00F649A7">
              <w:rPr>
                <w:rFonts w:cs="Times New Roman"/>
                <w:color w:val="000000"/>
              </w:rPr>
              <w:t>4%</w:t>
            </w:r>
          </w:p>
        </w:tc>
      </w:tr>
      <w:tr w:rsidR="00043399" w:rsidRPr="00F649A7" w14:paraId="32CAE580" w14:textId="77777777" w:rsidTr="00E965BC">
        <w:trPr>
          <w:trHeight w:val="315"/>
        </w:trPr>
        <w:tc>
          <w:tcPr>
            <w:tcW w:w="2781" w:type="dxa"/>
            <w:tcBorders>
              <w:top w:val="nil"/>
              <w:left w:val="nil"/>
              <w:bottom w:val="nil"/>
              <w:right w:val="nil"/>
            </w:tcBorders>
            <w:shd w:val="clear" w:color="auto" w:fill="auto"/>
            <w:noWrap/>
            <w:vAlign w:val="bottom"/>
            <w:hideMark/>
          </w:tcPr>
          <w:p w14:paraId="17D1DC10" w14:textId="77777777" w:rsidR="00043399" w:rsidRPr="00F649A7" w:rsidRDefault="00065705" w:rsidP="00E965BC">
            <w:pPr>
              <w:spacing w:line="240" w:lineRule="auto"/>
              <w:rPr>
                <w:rFonts w:cs="Times New Roman"/>
                <w:b/>
                <w:bCs/>
                <w:color w:val="000000"/>
              </w:rPr>
            </w:pPr>
            <w:r>
              <w:rPr>
                <w:rFonts w:cs="Times New Roman"/>
                <w:b/>
                <w:bCs/>
                <w:color w:val="000000"/>
              </w:rPr>
              <w:t>GCA</w:t>
            </w:r>
            <w:r w:rsidR="00043399" w:rsidRPr="00F649A7">
              <w:rPr>
                <w:rFonts w:cs="Times New Roman"/>
                <w:b/>
                <w:bCs/>
                <w:color w:val="000000"/>
              </w:rPr>
              <w:t>*Block</w:t>
            </w:r>
          </w:p>
        </w:tc>
        <w:tc>
          <w:tcPr>
            <w:tcW w:w="936" w:type="dxa"/>
            <w:tcBorders>
              <w:top w:val="nil"/>
              <w:left w:val="nil"/>
              <w:bottom w:val="nil"/>
              <w:right w:val="nil"/>
            </w:tcBorders>
            <w:shd w:val="clear" w:color="auto" w:fill="auto"/>
            <w:vAlign w:val="bottom"/>
            <w:hideMark/>
          </w:tcPr>
          <w:p w14:paraId="68F41CE3" w14:textId="77777777" w:rsidR="00043399" w:rsidRPr="00F649A7" w:rsidRDefault="00043399" w:rsidP="00E965BC">
            <w:pPr>
              <w:spacing w:line="240" w:lineRule="auto"/>
              <w:jc w:val="right"/>
              <w:rPr>
                <w:rFonts w:cs="Times New Roman"/>
                <w:color w:val="000000"/>
              </w:rPr>
            </w:pPr>
            <w:r w:rsidRPr="00F649A7">
              <w:rPr>
                <w:rFonts w:cs="Times New Roman"/>
                <w:color w:val="000000"/>
              </w:rPr>
              <w:t>0</w:t>
            </w:r>
          </w:p>
        </w:tc>
        <w:tc>
          <w:tcPr>
            <w:tcW w:w="626" w:type="dxa"/>
            <w:tcBorders>
              <w:top w:val="nil"/>
              <w:left w:val="nil"/>
              <w:bottom w:val="nil"/>
              <w:right w:val="nil"/>
            </w:tcBorders>
            <w:shd w:val="clear" w:color="auto" w:fill="auto"/>
            <w:noWrap/>
            <w:vAlign w:val="bottom"/>
            <w:hideMark/>
          </w:tcPr>
          <w:p w14:paraId="780530D0" w14:textId="77777777" w:rsidR="00043399" w:rsidRPr="00F649A7" w:rsidRDefault="00043399" w:rsidP="00E965BC">
            <w:pPr>
              <w:spacing w:line="240" w:lineRule="auto"/>
              <w:rPr>
                <w:rFonts w:cs="Times New Roman"/>
                <w:color w:val="000000"/>
              </w:rPr>
            </w:pPr>
          </w:p>
        </w:tc>
        <w:tc>
          <w:tcPr>
            <w:tcW w:w="920" w:type="dxa"/>
            <w:tcBorders>
              <w:top w:val="nil"/>
              <w:left w:val="nil"/>
              <w:bottom w:val="nil"/>
              <w:right w:val="nil"/>
            </w:tcBorders>
            <w:shd w:val="clear" w:color="auto" w:fill="auto"/>
            <w:vAlign w:val="bottom"/>
            <w:hideMark/>
          </w:tcPr>
          <w:p w14:paraId="7A2EA188" w14:textId="77777777" w:rsidR="00043399" w:rsidRPr="00F649A7" w:rsidRDefault="00043399" w:rsidP="00E965BC">
            <w:pPr>
              <w:spacing w:line="240" w:lineRule="auto"/>
              <w:jc w:val="center"/>
              <w:rPr>
                <w:rFonts w:cs="Times New Roman"/>
                <w:color w:val="000000"/>
              </w:rPr>
            </w:pPr>
            <w:r w:rsidRPr="00F649A7">
              <w:rPr>
                <w:rFonts w:cs="Times New Roman"/>
                <w:color w:val="000000"/>
              </w:rPr>
              <w:t>0%</w:t>
            </w:r>
          </w:p>
        </w:tc>
        <w:tc>
          <w:tcPr>
            <w:tcW w:w="1012" w:type="dxa"/>
            <w:tcBorders>
              <w:top w:val="nil"/>
              <w:left w:val="nil"/>
              <w:bottom w:val="nil"/>
              <w:right w:val="nil"/>
            </w:tcBorders>
            <w:shd w:val="clear" w:color="auto" w:fill="auto"/>
            <w:noWrap/>
            <w:vAlign w:val="bottom"/>
            <w:hideMark/>
          </w:tcPr>
          <w:p w14:paraId="69F7D5EA" w14:textId="77777777" w:rsidR="00043399" w:rsidRPr="00F649A7" w:rsidRDefault="00043399" w:rsidP="00E965BC">
            <w:pPr>
              <w:spacing w:line="240" w:lineRule="auto"/>
              <w:jc w:val="right"/>
              <w:rPr>
                <w:rFonts w:cs="Times New Roman"/>
                <w:color w:val="000000"/>
              </w:rPr>
            </w:pPr>
            <w:r w:rsidRPr="00F649A7">
              <w:rPr>
                <w:rFonts w:cs="Times New Roman"/>
                <w:color w:val="000000"/>
              </w:rPr>
              <w:t>251</w:t>
            </w:r>
          </w:p>
        </w:tc>
        <w:tc>
          <w:tcPr>
            <w:tcW w:w="626" w:type="dxa"/>
            <w:tcBorders>
              <w:top w:val="nil"/>
              <w:left w:val="nil"/>
              <w:bottom w:val="nil"/>
              <w:right w:val="nil"/>
            </w:tcBorders>
            <w:shd w:val="clear" w:color="auto" w:fill="auto"/>
            <w:noWrap/>
            <w:vAlign w:val="bottom"/>
            <w:hideMark/>
          </w:tcPr>
          <w:p w14:paraId="63D6676B" w14:textId="77777777" w:rsidR="00043399" w:rsidRPr="00F649A7" w:rsidRDefault="00043399" w:rsidP="00E965BC">
            <w:pPr>
              <w:spacing w:line="240" w:lineRule="auto"/>
              <w:rPr>
                <w:rFonts w:cs="Times New Roman"/>
                <w:color w:val="000000"/>
              </w:rPr>
            </w:pPr>
            <w:r w:rsidRPr="00F649A7">
              <w:rPr>
                <w:rFonts w:cs="Times New Roman"/>
                <w:color w:val="000000"/>
              </w:rPr>
              <w:t xml:space="preserve"> </w:t>
            </w:r>
          </w:p>
        </w:tc>
        <w:tc>
          <w:tcPr>
            <w:tcW w:w="920" w:type="dxa"/>
            <w:tcBorders>
              <w:top w:val="nil"/>
              <w:left w:val="nil"/>
              <w:bottom w:val="nil"/>
              <w:right w:val="nil"/>
            </w:tcBorders>
            <w:shd w:val="clear" w:color="auto" w:fill="auto"/>
            <w:vAlign w:val="bottom"/>
            <w:hideMark/>
          </w:tcPr>
          <w:p w14:paraId="334A65EA" w14:textId="77777777" w:rsidR="00043399" w:rsidRPr="00F649A7" w:rsidRDefault="00043399" w:rsidP="00E965BC">
            <w:pPr>
              <w:spacing w:line="240" w:lineRule="auto"/>
              <w:jc w:val="center"/>
              <w:rPr>
                <w:rFonts w:cs="Times New Roman"/>
                <w:color w:val="000000"/>
              </w:rPr>
            </w:pPr>
            <w:r w:rsidRPr="00F649A7">
              <w:rPr>
                <w:rFonts w:cs="Times New Roman"/>
                <w:color w:val="000000"/>
              </w:rPr>
              <w:t>1%</w:t>
            </w:r>
          </w:p>
        </w:tc>
        <w:tc>
          <w:tcPr>
            <w:tcW w:w="920" w:type="dxa"/>
            <w:tcBorders>
              <w:top w:val="nil"/>
              <w:left w:val="nil"/>
              <w:bottom w:val="nil"/>
              <w:right w:val="nil"/>
            </w:tcBorders>
            <w:shd w:val="clear" w:color="auto" w:fill="auto"/>
            <w:noWrap/>
            <w:vAlign w:val="bottom"/>
            <w:hideMark/>
          </w:tcPr>
          <w:p w14:paraId="48348704" w14:textId="77777777" w:rsidR="00043399" w:rsidRPr="00F649A7" w:rsidRDefault="00043399" w:rsidP="00E965BC">
            <w:pPr>
              <w:spacing w:line="240" w:lineRule="auto"/>
              <w:jc w:val="right"/>
              <w:rPr>
                <w:rFonts w:cs="Times New Roman"/>
                <w:color w:val="000000"/>
              </w:rPr>
            </w:pPr>
            <w:r w:rsidRPr="00F649A7">
              <w:rPr>
                <w:rFonts w:cs="Times New Roman"/>
                <w:color w:val="000000"/>
              </w:rPr>
              <w:t>0.2</w:t>
            </w:r>
          </w:p>
        </w:tc>
        <w:tc>
          <w:tcPr>
            <w:tcW w:w="626" w:type="dxa"/>
            <w:tcBorders>
              <w:top w:val="nil"/>
              <w:left w:val="nil"/>
              <w:bottom w:val="nil"/>
              <w:right w:val="nil"/>
            </w:tcBorders>
            <w:shd w:val="clear" w:color="auto" w:fill="auto"/>
            <w:noWrap/>
            <w:vAlign w:val="bottom"/>
            <w:hideMark/>
          </w:tcPr>
          <w:p w14:paraId="222C8975" w14:textId="77777777" w:rsidR="00043399" w:rsidRPr="00F649A7" w:rsidRDefault="00043399" w:rsidP="00E965BC">
            <w:pPr>
              <w:spacing w:line="240" w:lineRule="auto"/>
              <w:rPr>
                <w:rFonts w:cs="Times New Roman"/>
                <w:color w:val="000000"/>
              </w:rPr>
            </w:pPr>
            <w:r w:rsidRPr="00F649A7">
              <w:rPr>
                <w:rFonts w:cs="Times New Roman"/>
                <w:color w:val="000000"/>
              </w:rPr>
              <w:t xml:space="preserve"> </w:t>
            </w:r>
          </w:p>
        </w:tc>
        <w:tc>
          <w:tcPr>
            <w:tcW w:w="920" w:type="dxa"/>
            <w:tcBorders>
              <w:top w:val="nil"/>
              <w:left w:val="nil"/>
              <w:bottom w:val="nil"/>
              <w:right w:val="nil"/>
            </w:tcBorders>
            <w:shd w:val="clear" w:color="auto" w:fill="auto"/>
            <w:vAlign w:val="bottom"/>
            <w:hideMark/>
          </w:tcPr>
          <w:p w14:paraId="21A221A7" w14:textId="77777777" w:rsidR="00043399" w:rsidRPr="00F649A7" w:rsidRDefault="00043399" w:rsidP="00E965BC">
            <w:pPr>
              <w:spacing w:line="240" w:lineRule="auto"/>
              <w:jc w:val="center"/>
              <w:rPr>
                <w:rFonts w:cs="Times New Roman"/>
                <w:color w:val="000000"/>
              </w:rPr>
            </w:pPr>
            <w:r w:rsidRPr="00F649A7">
              <w:rPr>
                <w:rFonts w:cs="Times New Roman"/>
                <w:color w:val="000000"/>
              </w:rPr>
              <w:t>1%</w:t>
            </w:r>
          </w:p>
        </w:tc>
        <w:tc>
          <w:tcPr>
            <w:tcW w:w="723" w:type="dxa"/>
            <w:tcBorders>
              <w:top w:val="nil"/>
              <w:left w:val="nil"/>
              <w:bottom w:val="nil"/>
              <w:right w:val="nil"/>
            </w:tcBorders>
            <w:shd w:val="clear" w:color="auto" w:fill="auto"/>
            <w:noWrap/>
            <w:vAlign w:val="bottom"/>
            <w:hideMark/>
          </w:tcPr>
          <w:p w14:paraId="63F1B678" w14:textId="77777777" w:rsidR="00043399" w:rsidRPr="00F649A7" w:rsidRDefault="00043399" w:rsidP="00E965BC">
            <w:pPr>
              <w:spacing w:line="240" w:lineRule="auto"/>
              <w:jc w:val="right"/>
              <w:rPr>
                <w:rFonts w:cs="Times New Roman"/>
                <w:color w:val="000000"/>
              </w:rPr>
            </w:pPr>
            <w:r w:rsidRPr="00F649A7">
              <w:rPr>
                <w:rFonts w:cs="Times New Roman"/>
                <w:color w:val="000000"/>
              </w:rPr>
              <w:t>0.5</w:t>
            </w:r>
          </w:p>
        </w:tc>
        <w:tc>
          <w:tcPr>
            <w:tcW w:w="626" w:type="dxa"/>
            <w:tcBorders>
              <w:top w:val="nil"/>
              <w:left w:val="nil"/>
              <w:bottom w:val="nil"/>
              <w:right w:val="nil"/>
            </w:tcBorders>
            <w:shd w:val="clear" w:color="auto" w:fill="auto"/>
            <w:noWrap/>
            <w:vAlign w:val="bottom"/>
            <w:hideMark/>
          </w:tcPr>
          <w:p w14:paraId="4AF1F947" w14:textId="77777777" w:rsidR="00043399" w:rsidRPr="00F649A7" w:rsidRDefault="00043399" w:rsidP="00E965BC">
            <w:pPr>
              <w:spacing w:line="240" w:lineRule="auto"/>
              <w:rPr>
                <w:rFonts w:cs="Times New Roman"/>
                <w:color w:val="000000"/>
              </w:rPr>
            </w:pPr>
            <w:r w:rsidRPr="00F649A7">
              <w:rPr>
                <w:rFonts w:cs="Times New Roman"/>
                <w:color w:val="000000"/>
              </w:rPr>
              <w:t xml:space="preserve"> </w:t>
            </w:r>
          </w:p>
        </w:tc>
        <w:tc>
          <w:tcPr>
            <w:tcW w:w="920" w:type="dxa"/>
            <w:tcBorders>
              <w:top w:val="nil"/>
              <w:left w:val="nil"/>
              <w:bottom w:val="nil"/>
              <w:right w:val="nil"/>
            </w:tcBorders>
            <w:shd w:val="clear" w:color="auto" w:fill="auto"/>
            <w:vAlign w:val="bottom"/>
            <w:hideMark/>
          </w:tcPr>
          <w:p w14:paraId="3FF4F0E9" w14:textId="77777777" w:rsidR="00043399" w:rsidRPr="00F649A7" w:rsidRDefault="00043399" w:rsidP="00E965BC">
            <w:pPr>
              <w:spacing w:line="240" w:lineRule="auto"/>
              <w:jc w:val="center"/>
              <w:rPr>
                <w:rFonts w:cs="Times New Roman"/>
                <w:color w:val="000000"/>
              </w:rPr>
            </w:pPr>
            <w:r w:rsidRPr="00F649A7">
              <w:rPr>
                <w:rFonts w:cs="Times New Roman"/>
                <w:color w:val="000000"/>
              </w:rPr>
              <w:t>1%</w:t>
            </w:r>
          </w:p>
        </w:tc>
      </w:tr>
      <w:tr w:rsidR="00043399" w:rsidRPr="00F649A7" w14:paraId="407693ED" w14:textId="77777777" w:rsidTr="00E965BC">
        <w:trPr>
          <w:trHeight w:val="315"/>
        </w:trPr>
        <w:tc>
          <w:tcPr>
            <w:tcW w:w="2781" w:type="dxa"/>
            <w:tcBorders>
              <w:top w:val="nil"/>
              <w:left w:val="nil"/>
              <w:bottom w:val="nil"/>
              <w:right w:val="nil"/>
            </w:tcBorders>
            <w:shd w:val="clear" w:color="auto" w:fill="auto"/>
            <w:noWrap/>
            <w:vAlign w:val="bottom"/>
            <w:hideMark/>
          </w:tcPr>
          <w:p w14:paraId="2CD32496" w14:textId="77777777" w:rsidR="00043399" w:rsidRPr="00F649A7" w:rsidRDefault="00065705" w:rsidP="00E965BC">
            <w:pPr>
              <w:spacing w:line="240" w:lineRule="auto"/>
              <w:rPr>
                <w:rFonts w:cs="Times New Roman"/>
                <w:b/>
                <w:bCs/>
                <w:color w:val="000000"/>
              </w:rPr>
            </w:pPr>
            <w:r>
              <w:rPr>
                <w:rFonts w:cs="Times New Roman"/>
                <w:b/>
                <w:bCs/>
                <w:color w:val="000000"/>
              </w:rPr>
              <w:t>GCA</w:t>
            </w:r>
            <w:r w:rsidR="00043399" w:rsidRPr="00F649A7">
              <w:rPr>
                <w:rFonts w:cs="Times New Roman"/>
                <w:b/>
                <w:bCs/>
                <w:color w:val="000000"/>
              </w:rPr>
              <w:t>*Year</w:t>
            </w:r>
          </w:p>
        </w:tc>
        <w:tc>
          <w:tcPr>
            <w:tcW w:w="936" w:type="dxa"/>
            <w:tcBorders>
              <w:top w:val="nil"/>
              <w:left w:val="nil"/>
              <w:bottom w:val="nil"/>
              <w:right w:val="nil"/>
            </w:tcBorders>
            <w:shd w:val="clear" w:color="auto" w:fill="auto"/>
            <w:vAlign w:val="bottom"/>
            <w:hideMark/>
          </w:tcPr>
          <w:p w14:paraId="3B2F541A" w14:textId="77777777" w:rsidR="00043399" w:rsidRPr="00F649A7" w:rsidRDefault="00043399" w:rsidP="00E965BC">
            <w:pPr>
              <w:spacing w:line="240" w:lineRule="auto"/>
              <w:jc w:val="right"/>
              <w:rPr>
                <w:rFonts w:cs="Times New Roman"/>
                <w:color w:val="000000"/>
              </w:rPr>
            </w:pPr>
            <w:r w:rsidRPr="00F649A7">
              <w:rPr>
                <w:rFonts w:cs="Times New Roman"/>
                <w:color w:val="000000"/>
              </w:rPr>
              <w:t>12949</w:t>
            </w:r>
          </w:p>
        </w:tc>
        <w:tc>
          <w:tcPr>
            <w:tcW w:w="626" w:type="dxa"/>
            <w:tcBorders>
              <w:top w:val="nil"/>
              <w:left w:val="nil"/>
              <w:bottom w:val="nil"/>
              <w:right w:val="nil"/>
            </w:tcBorders>
            <w:shd w:val="clear" w:color="auto" w:fill="auto"/>
            <w:noWrap/>
            <w:vAlign w:val="bottom"/>
            <w:hideMark/>
          </w:tcPr>
          <w:p w14:paraId="21BA3979" w14:textId="77777777" w:rsidR="00043399" w:rsidRPr="00F649A7" w:rsidRDefault="00043399" w:rsidP="00E965BC">
            <w:pPr>
              <w:spacing w:line="240" w:lineRule="auto"/>
              <w:rPr>
                <w:rFonts w:cs="Times New Roman"/>
                <w:color w:val="000000"/>
              </w:rPr>
            </w:pPr>
            <w:r w:rsidRPr="00F649A7">
              <w:rPr>
                <w:rFonts w:cs="Times New Roman"/>
                <w:color w:val="000000"/>
              </w:rPr>
              <w:t xml:space="preserve"> </w:t>
            </w:r>
          </w:p>
        </w:tc>
        <w:tc>
          <w:tcPr>
            <w:tcW w:w="920" w:type="dxa"/>
            <w:tcBorders>
              <w:top w:val="nil"/>
              <w:left w:val="nil"/>
              <w:bottom w:val="nil"/>
              <w:right w:val="nil"/>
            </w:tcBorders>
            <w:shd w:val="clear" w:color="auto" w:fill="auto"/>
            <w:vAlign w:val="bottom"/>
            <w:hideMark/>
          </w:tcPr>
          <w:p w14:paraId="003B8A23" w14:textId="77777777" w:rsidR="00043399" w:rsidRPr="00F649A7" w:rsidRDefault="00043399" w:rsidP="00E965BC">
            <w:pPr>
              <w:spacing w:line="240" w:lineRule="auto"/>
              <w:jc w:val="center"/>
              <w:rPr>
                <w:rFonts w:cs="Times New Roman"/>
                <w:color w:val="000000"/>
              </w:rPr>
            </w:pPr>
            <w:r w:rsidRPr="00F649A7">
              <w:rPr>
                <w:rFonts w:cs="Times New Roman"/>
                <w:color w:val="000000"/>
              </w:rPr>
              <w:t>3%</w:t>
            </w:r>
          </w:p>
        </w:tc>
        <w:tc>
          <w:tcPr>
            <w:tcW w:w="1012" w:type="dxa"/>
            <w:tcBorders>
              <w:top w:val="nil"/>
              <w:left w:val="nil"/>
              <w:bottom w:val="nil"/>
              <w:right w:val="nil"/>
            </w:tcBorders>
            <w:shd w:val="clear" w:color="auto" w:fill="auto"/>
            <w:noWrap/>
            <w:vAlign w:val="bottom"/>
            <w:hideMark/>
          </w:tcPr>
          <w:p w14:paraId="072F1684" w14:textId="77777777" w:rsidR="00043399" w:rsidRPr="00F649A7" w:rsidRDefault="00043399" w:rsidP="00E965BC">
            <w:pPr>
              <w:spacing w:line="240" w:lineRule="auto"/>
              <w:jc w:val="right"/>
              <w:rPr>
                <w:rFonts w:cs="Times New Roman"/>
                <w:color w:val="000000"/>
              </w:rPr>
            </w:pPr>
            <w:r w:rsidRPr="00F649A7">
              <w:rPr>
                <w:rFonts w:cs="Times New Roman"/>
                <w:color w:val="000000"/>
              </w:rPr>
              <w:t>520</w:t>
            </w:r>
          </w:p>
        </w:tc>
        <w:tc>
          <w:tcPr>
            <w:tcW w:w="626" w:type="dxa"/>
            <w:tcBorders>
              <w:top w:val="nil"/>
              <w:left w:val="nil"/>
              <w:bottom w:val="nil"/>
              <w:right w:val="nil"/>
            </w:tcBorders>
            <w:shd w:val="clear" w:color="auto" w:fill="auto"/>
            <w:noWrap/>
            <w:vAlign w:val="bottom"/>
            <w:hideMark/>
          </w:tcPr>
          <w:p w14:paraId="347F8977" w14:textId="77777777" w:rsidR="00043399" w:rsidRPr="00F649A7" w:rsidRDefault="00043399" w:rsidP="00E965BC">
            <w:pPr>
              <w:spacing w:line="240" w:lineRule="auto"/>
              <w:rPr>
                <w:rFonts w:cs="Times New Roman"/>
                <w:color w:val="000000"/>
              </w:rPr>
            </w:pPr>
            <w:r w:rsidRPr="00F649A7">
              <w:rPr>
                <w:rFonts w:cs="Times New Roman"/>
                <w:color w:val="000000"/>
              </w:rPr>
              <w:t xml:space="preserve"> </w:t>
            </w:r>
          </w:p>
        </w:tc>
        <w:tc>
          <w:tcPr>
            <w:tcW w:w="920" w:type="dxa"/>
            <w:tcBorders>
              <w:top w:val="nil"/>
              <w:left w:val="nil"/>
              <w:bottom w:val="nil"/>
              <w:right w:val="nil"/>
            </w:tcBorders>
            <w:shd w:val="clear" w:color="auto" w:fill="auto"/>
            <w:vAlign w:val="bottom"/>
            <w:hideMark/>
          </w:tcPr>
          <w:p w14:paraId="1BC97556" w14:textId="77777777" w:rsidR="00043399" w:rsidRPr="00F649A7" w:rsidRDefault="00043399" w:rsidP="00E965BC">
            <w:pPr>
              <w:spacing w:line="240" w:lineRule="auto"/>
              <w:jc w:val="center"/>
              <w:rPr>
                <w:rFonts w:cs="Times New Roman"/>
                <w:color w:val="000000"/>
              </w:rPr>
            </w:pPr>
            <w:r w:rsidRPr="00F649A7">
              <w:rPr>
                <w:rFonts w:cs="Times New Roman"/>
                <w:color w:val="000000"/>
              </w:rPr>
              <w:t>1%</w:t>
            </w:r>
          </w:p>
        </w:tc>
        <w:tc>
          <w:tcPr>
            <w:tcW w:w="920" w:type="dxa"/>
            <w:tcBorders>
              <w:top w:val="nil"/>
              <w:left w:val="nil"/>
              <w:bottom w:val="nil"/>
              <w:right w:val="nil"/>
            </w:tcBorders>
            <w:shd w:val="clear" w:color="auto" w:fill="auto"/>
            <w:noWrap/>
            <w:vAlign w:val="bottom"/>
            <w:hideMark/>
          </w:tcPr>
          <w:p w14:paraId="1AA72A0A" w14:textId="77777777" w:rsidR="00043399" w:rsidRPr="00F649A7" w:rsidRDefault="00043399" w:rsidP="00E965BC">
            <w:pPr>
              <w:spacing w:line="240" w:lineRule="auto"/>
              <w:jc w:val="right"/>
              <w:rPr>
                <w:rFonts w:cs="Times New Roman"/>
                <w:color w:val="000000"/>
              </w:rPr>
            </w:pPr>
            <w:r w:rsidRPr="00F649A7">
              <w:rPr>
                <w:rFonts w:cs="Times New Roman"/>
                <w:color w:val="000000"/>
              </w:rPr>
              <w:t>5.0</w:t>
            </w:r>
          </w:p>
        </w:tc>
        <w:tc>
          <w:tcPr>
            <w:tcW w:w="626" w:type="dxa"/>
            <w:tcBorders>
              <w:top w:val="nil"/>
              <w:left w:val="nil"/>
              <w:bottom w:val="nil"/>
              <w:right w:val="nil"/>
            </w:tcBorders>
            <w:shd w:val="clear" w:color="auto" w:fill="auto"/>
            <w:noWrap/>
            <w:vAlign w:val="bottom"/>
            <w:hideMark/>
          </w:tcPr>
          <w:p w14:paraId="1A048FE6" w14:textId="77777777" w:rsidR="00043399" w:rsidRPr="00F649A7" w:rsidRDefault="00043399" w:rsidP="00E965BC">
            <w:pPr>
              <w:spacing w:line="240" w:lineRule="auto"/>
              <w:rPr>
                <w:rFonts w:cs="Times New Roman"/>
                <w:color w:val="000000"/>
              </w:rPr>
            </w:pPr>
          </w:p>
        </w:tc>
        <w:tc>
          <w:tcPr>
            <w:tcW w:w="920" w:type="dxa"/>
            <w:tcBorders>
              <w:top w:val="nil"/>
              <w:left w:val="nil"/>
              <w:bottom w:val="nil"/>
              <w:right w:val="nil"/>
            </w:tcBorders>
            <w:shd w:val="clear" w:color="auto" w:fill="auto"/>
            <w:vAlign w:val="bottom"/>
            <w:hideMark/>
          </w:tcPr>
          <w:p w14:paraId="3C11269C" w14:textId="77777777" w:rsidR="00043399" w:rsidRPr="00F649A7" w:rsidRDefault="00043399" w:rsidP="00E965BC">
            <w:pPr>
              <w:spacing w:line="240" w:lineRule="auto"/>
              <w:jc w:val="center"/>
              <w:rPr>
                <w:rFonts w:cs="Times New Roman"/>
                <w:color w:val="000000"/>
              </w:rPr>
            </w:pPr>
            <w:r w:rsidRPr="00F649A7">
              <w:rPr>
                <w:rFonts w:cs="Times New Roman"/>
                <w:color w:val="000000"/>
              </w:rPr>
              <w:t>14%</w:t>
            </w:r>
          </w:p>
        </w:tc>
        <w:tc>
          <w:tcPr>
            <w:tcW w:w="723" w:type="dxa"/>
            <w:tcBorders>
              <w:top w:val="nil"/>
              <w:left w:val="nil"/>
              <w:bottom w:val="nil"/>
              <w:right w:val="nil"/>
            </w:tcBorders>
            <w:shd w:val="clear" w:color="auto" w:fill="auto"/>
            <w:noWrap/>
            <w:vAlign w:val="bottom"/>
            <w:hideMark/>
          </w:tcPr>
          <w:p w14:paraId="79030BC4" w14:textId="77777777" w:rsidR="00043399" w:rsidRPr="00F649A7" w:rsidRDefault="00043399" w:rsidP="00E965BC">
            <w:pPr>
              <w:spacing w:line="240" w:lineRule="auto"/>
              <w:jc w:val="right"/>
              <w:rPr>
                <w:rFonts w:cs="Times New Roman"/>
                <w:color w:val="000000"/>
              </w:rPr>
            </w:pPr>
            <w:r w:rsidRPr="00F649A7">
              <w:rPr>
                <w:rFonts w:cs="Times New Roman"/>
                <w:color w:val="000000"/>
              </w:rPr>
              <w:t>0.5</w:t>
            </w:r>
          </w:p>
        </w:tc>
        <w:tc>
          <w:tcPr>
            <w:tcW w:w="626" w:type="dxa"/>
            <w:tcBorders>
              <w:top w:val="nil"/>
              <w:left w:val="nil"/>
              <w:bottom w:val="nil"/>
              <w:right w:val="nil"/>
            </w:tcBorders>
            <w:shd w:val="clear" w:color="auto" w:fill="auto"/>
            <w:noWrap/>
            <w:vAlign w:val="bottom"/>
            <w:hideMark/>
          </w:tcPr>
          <w:p w14:paraId="04E765AD" w14:textId="77777777" w:rsidR="00043399" w:rsidRPr="00F649A7" w:rsidRDefault="00043399" w:rsidP="00E965BC">
            <w:pPr>
              <w:spacing w:line="240" w:lineRule="auto"/>
              <w:rPr>
                <w:rFonts w:cs="Times New Roman"/>
                <w:color w:val="000000"/>
              </w:rPr>
            </w:pPr>
            <w:r w:rsidRPr="00F649A7">
              <w:rPr>
                <w:rFonts w:cs="Times New Roman"/>
                <w:color w:val="000000"/>
              </w:rPr>
              <w:t xml:space="preserve"> </w:t>
            </w:r>
          </w:p>
        </w:tc>
        <w:tc>
          <w:tcPr>
            <w:tcW w:w="920" w:type="dxa"/>
            <w:tcBorders>
              <w:top w:val="nil"/>
              <w:left w:val="nil"/>
              <w:bottom w:val="nil"/>
              <w:right w:val="nil"/>
            </w:tcBorders>
            <w:shd w:val="clear" w:color="auto" w:fill="auto"/>
            <w:vAlign w:val="bottom"/>
            <w:hideMark/>
          </w:tcPr>
          <w:p w14:paraId="3C3460E9" w14:textId="77777777" w:rsidR="00043399" w:rsidRPr="00F649A7" w:rsidRDefault="00043399" w:rsidP="00E965BC">
            <w:pPr>
              <w:spacing w:line="240" w:lineRule="auto"/>
              <w:jc w:val="center"/>
              <w:rPr>
                <w:rFonts w:cs="Times New Roman"/>
                <w:color w:val="000000"/>
              </w:rPr>
            </w:pPr>
            <w:r w:rsidRPr="00F649A7">
              <w:rPr>
                <w:rFonts w:cs="Times New Roman"/>
                <w:color w:val="000000"/>
              </w:rPr>
              <w:t>2%</w:t>
            </w:r>
          </w:p>
        </w:tc>
      </w:tr>
      <w:tr w:rsidR="00043399" w:rsidRPr="00F649A7" w14:paraId="7B0A3080" w14:textId="77777777" w:rsidTr="00E965BC">
        <w:trPr>
          <w:trHeight w:val="315"/>
        </w:trPr>
        <w:tc>
          <w:tcPr>
            <w:tcW w:w="2781" w:type="dxa"/>
            <w:tcBorders>
              <w:top w:val="nil"/>
              <w:left w:val="nil"/>
              <w:bottom w:val="nil"/>
              <w:right w:val="nil"/>
            </w:tcBorders>
            <w:shd w:val="clear" w:color="auto" w:fill="auto"/>
            <w:noWrap/>
            <w:vAlign w:val="bottom"/>
            <w:hideMark/>
          </w:tcPr>
          <w:p w14:paraId="2015B74D" w14:textId="77777777" w:rsidR="00043399" w:rsidRPr="00F649A7" w:rsidRDefault="00065705" w:rsidP="00E965BC">
            <w:pPr>
              <w:spacing w:line="240" w:lineRule="auto"/>
              <w:rPr>
                <w:rFonts w:cs="Times New Roman"/>
                <w:b/>
                <w:bCs/>
                <w:color w:val="000000"/>
              </w:rPr>
            </w:pPr>
            <w:r>
              <w:rPr>
                <w:rFonts w:cs="Times New Roman"/>
                <w:b/>
                <w:bCs/>
                <w:color w:val="000000"/>
              </w:rPr>
              <w:t>GCA</w:t>
            </w:r>
            <w:r w:rsidRPr="00F649A7">
              <w:rPr>
                <w:rFonts w:cs="Times New Roman"/>
                <w:b/>
                <w:bCs/>
                <w:color w:val="000000"/>
              </w:rPr>
              <w:t xml:space="preserve"> </w:t>
            </w:r>
            <w:r w:rsidR="00043399" w:rsidRPr="00F649A7">
              <w:rPr>
                <w:rFonts w:cs="Times New Roman"/>
                <w:b/>
                <w:bCs/>
                <w:color w:val="000000"/>
              </w:rPr>
              <w:t>*Year*Block</w:t>
            </w:r>
          </w:p>
        </w:tc>
        <w:tc>
          <w:tcPr>
            <w:tcW w:w="936" w:type="dxa"/>
            <w:tcBorders>
              <w:top w:val="nil"/>
              <w:left w:val="nil"/>
              <w:bottom w:val="nil"/>
              <w:right w:val="nil"/>
            </w:tcBorders>
            <w:shd w:val="clear" w:color="auto" w:fill="auto"/>
            <w:vAlign w:val="bottom"/>
            <w:hideMark/>
          </w:tcPr>
          <w:p w14:paraId="7C25D465" w14:textId="77777777" w:rsidR="00043399" w:rsidRPr="00F649A7" w:rsidRDefault="00043399" w:rsidP="00E965BC">
            <w:pPr>
              <w:spacing w:line="240" w:lineRule="auto"/>
              <w:jc w:val="right"/>
              <w:rPr>
                <w:rFonts w:cs="Times New Roman"/>
                <w:color w:val="000000"/>
              </w:rPr>
            </w:pPr>
            <w:r w:rsidRPr="00F649A7">
              <w:rPr>
                <w:rFonts w:cs="Times New Roman"/>
                <w:color w:val="000000"/>
              </w:rPr>
              <w:t>0</w:t>
            </w:r>
          </w:p>
        </w:tc>
        <w:tc>
          <w:tcPr>
            <w:tcW w:w="626" w:type="dxa"/>
            <w:tcBorders>
              <w:top w:val="nil"/>
              <w:left w:val="nil"/>
              <w:bottom w:val="nil"/>
              <w:right w:val="nil"/>
            </w:tcBorders>
            <w:shd w:val="clear" w:color="auto" w:fill="auto"/>
            <w:noWrap/>
            <w:vAlign w:val="bottom"/>
            <w:hideMark/>
          </w:tcPr>
          <w:p w14:paraId="52521536" w14:textId="77777777" w:rsidR="00043399" w:rsidRPr="00F649A7" w:rsidRDefault="00043399" w:rsidP="00E965BC">
            <w:pPr>
              <w:spacing w:line="240" w:lineRule="auto"/>
              <w:rPr>
                <w:rFonts w:cs="Times New Roman"/>
                <w:color w:val="000000"/>
              </w:rPr>
            </w:pPr>
          </w:p>
        </w:tc>
        <w:tc>
          <w:tcPr>
            <w:tcW w:w="920" w:type="dxa"/>
            <w:tcBorders>
              <w:top w:val="nil"/>
              <w:left w:val="nil"/>
              <w:bottom w:val="nil"/>
              <w:right w:val="nil"/>
            </w:tcBorders>
            <w:shd w:val="clear" w:color="auto" w:fill="auto"/>
            <w:vAlign w:val="bottom"/>
            <w:hideMark/>
          </w:tcPr>
          <w:p w14:paraId="32048F76" w14:textId="77777777" w:rsidR="00043399" w:rsidRPr="00F649A7" w:rsidRDefault="00043399" w:rsidP="00E965BC">
            <w:pPr>
              <w:spacing w:line="240" w:lineRule="auto"/>
              <w:jc w:val="center"/>
              <w:rPr>
                <w:rFonts w:cs="Times New Roman"/>
                <w:color w:val="000000"/>
              </w:rPr>
            </w:pPr>
            <w:r w:rsidRPr="00F649A7">
              <w:rPr>
                <w:rFonts w:cs="Times New Roman"/>
                <w:color w:val="000000"/>
              </w:rPr>
              <w:t>0%</w:t>
            </w:r>
          </w:p>
        </w:tc>
        <w:tc>
          <w:tcPr>
            <w:tcW w:w="1012" w:type="dxa"/>
            <w:tcBorders>
              <w:top w:val="nil"/>
              <w:left w:val="nil"/>
              <w:bottom w:val="nil"/>
              <w:right w:val="nil"/>
            </w:tcBorders>
            <w:shd w:val="clear" w:color="auto" w:fill="auto"/>
            <w:noWrap/>
            <w:vAlign w:val="bottom"/>
            <w:hideMark/>
          </w:tcPr>
          <w:p w14:paraId="74006959" w14:textId="77777777" w:rsidR="00043399" w:rsidRPr="00F649A7" w:rsidRDefault="00043399" w:rsidP="00E965BC">
            <w:pPr>
              <w:spacing w:line="240" w:lineRule="auto"/>
              <w:jc w:val="right"/>
              <w:rPr>
                <w:rFonts w:cs="Times New Roman"/>
                <w:color w:val="000000"/>
              </w:rPr>
            </w:pPr>
            <w:r w:rsidRPr="00F649A7">
              <w:rPr>
                <w:rFonts w:cs="Times New Roman"/>
                <w:color w:val="000000"/>
              </w:rPr>
              <w:t>813</w:t>
            </w:r>
          </w:p>
        </w:tc>
        <w:tc>
          <w:tcPr>
            <w:tcW w:w="626" w:type="dxa"/>
            <w:tcBorders>
              <w:top w:val="nil"/>
              <w:left w:val="nil"/>
              <w:bottom w:val="nil"/>
              <w:right w:val="nil"/>
            </w:tcBorders>
            <w:shd w:val="clear" w:color="auto" w:fill="auto"/>
            <w:noWrap/>
            <w:vAlign w:val="bottom"/>
            <w:hideMark/>
          </w:tcPr>
          <w:p w14:paraId="4ED6601C" w14:textId="77777777" w:rsidR="00043399" w:rsidRPr="00F649A7" w:rsidRDefault="00043399" w:rsidP="00E965BC">
            <w:pPr>
              <w:spacing w:line="240" w:lineRule="auto"/>
              <w:rPr>
                <w:rFonts w:cs="Times New Roman"/>
                <w:color w:val="000000"/>
              </w:rPr>
            </w:pPr>
            <w:r w:rsidRPr="00F649A7">
              <w:rPr>
                <w:rFonts w:cs="Times New Roman"/>
                <w:color w:val="000000"/>
              </w:rPr>
              <w:t xml:space="preserve"> </w:t>
            </w:r>
          </w:p>
        </w:tc>
        <w:tc>
          <w:tcPr>
            <w:tcW w:w="920" w:type="dxa"/>
            <w:tcBorders>
              <w:top w:val="nil"/>
              <w:left w:val="nil"/>
              <w:bottom w:val="nil"/>
              <w:right w:val="nil"/>
            </w:tcBorders>
            <w:shd w:val="clear" w:color="auto" w:fill="auto"/>
            <w:vAlign w:val="bottom"/>
            <w:hideMark/>
          </w:tcPr>
          <w:p w14:paraId="1131F7DA" w14:textId="77777777" w:rsidR="00043399" w:rsidRPr="00F649A7" w:rsidRDefault="00043399" w:rsidP="00E965BC">
            <w:pPr>
              <w:spacing w:line="240" w:lineRule="auto"/>
              <w:jc w:val="center"/>
              <w:rPr>
                <w:rFonts w:cs="Times New Roman"/>
                <w:color w:val="000000"/>
              </w:rPr>
            </w:pPr>
            <w:r w:rsidRPr="00F649A7">
              <w:rPr>
                <w:rFonts w:cs="Times New Roman"/>
                <w:color w:val="000000"/>
              </w:rPr>
              <w:t>2%</w:t>
            </w:r>
          </w:p>
        </w:tc>
        <w:tc>
          <w:tcPr>
            <w:tcW w:w="920" w:type="dxa"/>
            <w:tcBorders>
              <w:top w:val="nil"/>
              <w:left w:val="nil"/>
              <w:bottom w:val="nil"/>
              <w:right w:val="nil"/>
            </w:tcBorders>
            <w:shd w:val="clear" w:color="auto" w:fill="auto"/>
            <w:noWrap/>
            <w:vAlign w:val="bottom"/>
            <w:hideMark/>
          </w:tcPr>
          <w:p w14:paraId="44FE2C54" w14:textId="77777777" w:rsidR="00043399" w:rsidRPr="00F649A7" w:rsidRDefault="00043399" w:rsidP="00E965BC">
            <w:pPr>
              <w:spacing w:line="240" w:lineRule="auto"/>
              <w:jc w:val="right"/>
              <w:rPr>
                <w:rFonts w:cs="Times New Roman"/>
                <w:color w:val="000000"/>
              </w:rPr>
            </w:pPr>
            <w:r w:rsidRPr="00F649A7">
              <w:rPr>
                <w:rFonts w:cs="Times New Roman"/>
                <w:color w:val="000000"/>
              </w:rPr>
              <w:t>0.0</w:t>
            </w:r>
          </w:p>
        </w:tc>
        <w:tc>
          <w:tcPr>
            <w:tcW w:w="626" w:type="dxa"/>
            <w:tcBorders>
              <w:top w:val="nil"/>
              <w:left w:val="nil"/>
              <w:bottom w:val="nil"/>
              <w:right w:val="nil"/>
            </w:tcBorders>
            <w:shd w:val="clear" w:color="auto" w:fill="auto"/>
            <w:noWrap/>
            <w:vAlign w:val="bottom"/>
            <w:hideMark/>
          </w:tcPr>
          <w:p w14:paraId="65F76CF4" w14:textId="77777777" w:rsidR="00043399" w:rsidRPr="00F649A7" w:rsidRDefault="00043399" w:rsidP="00E965BC">
            <w:pPr>
              <w:spacing w:line="240" w:lineRule="auto"/>
              <w:rPr>
                <w:rFonts w:cs="Times New Roman"/>
                <w:color w:val="000000"/>
              </w:rPr>
            </w:pPr>
          </w:p>
        </w:tc>
        <w:tc>
          <w:tcPr>
            <w:tcW w:w="920" w:type="dxa"/>
            <w:tcBorders>
              <w:top w:val="nil"/>
              <w:left w:val="nil"/>
              <w:bottom w:val="nil"/>
              <w:right w:val="nil"/>
            </w:tcBorders>
            <w:shd w:val="clear" w:color="auto" w:fill="auto"/>
            <w:vAlign w:val="bottom"/>
            <w:hideMark/>
          </w:tcPr>
          <w:p w14:paraId="601BAFB2" w14:textId="77777777" w:rsidR="00043399" w:rsidRPr="00F649A7" w:rsidRDefault="00043399" w:rsidP="00E965BC">
            <w:pPr>
              <w:spacing w:line="240" w:lineRule="auto"/>
              <w:jc w:val="center"/>
              <w:rPr>
                <w:rFonts w:cs="Times New Roman"/>
                <w:color w:val="000000"/>
              </w:rPr>
            </w:pPr>
            <w:r w:rsidRPr="00F649A7">
              <w:rPr>
                <w:rFonts w:cs="Times New Roman"/>
                <w:color w:val="000000"/>
              </w:rPr>
              <w:t>0%</w:t>
            </w:r>
          </w:p>
        </w:tc>
        <w:tc>
          <w:tcPr>
            <w:tcW w:w="723" w:type="dxa"/>
            <w:tcBorders>
              <w:top w:val="nil"/>
              <w:left w:val="nil"/>
              <w:bottom w:val="nil"/>
              <w:right w:val="nil"/>
            </w:tcBorders>
            <w:shd w:val="clear" w:color="auto" w:fill="auto"/>
            <w:noWrap/>
            <w:vAlign w:val="bottom"/>
            <w:hideMark/>
          </w:tcPr>
          <w:p w14:paraId="21301E73" w14:textId="77777777" w:rsidR="00043399" w:rsidRPr="00F649A7" w:rsidRDefault="00043399" w:rsidP="00E965BC">
            <w:pPr>
              <w:spacing w:line="240" w:lineRule="auto"/>
              <w:jc w:val="right"/>
              <w:rPr>
                <w:rFonts w:cs="Times New Roman"/>
                <w:color w:val="000000"/>
              </w:rPr>
            </w:pPr>
            <w:r w:rsidRPr="00F649A7">
              <w:rPr>
                <w:rFonts w:cs="Times New Roman"/>
                <w:color w:val="000000"/>
              </w:rPr>
              <w:t>0.0</w:t>
            </w:r>
          </w:p>
        </w:tc>
        <w:tc>
          <w:tcPr>
            <w:tcW w:w="626" w:type="dxa"/>
            <w:tcBorders>
              <w:top w:val="nil"/>
              <w:left w:val="nil"/>
              <w:bottom w:val="nil"/>
              <w:right w:val="nil"/>
            </w:tcBorders>
            <w:shd w:val="clear" w:color="auto" w:fill="auto"/>
            <w:noWrap/>
            <w:vAlign w:val="bottom"/>
            <w:hideMark/>
          </w:tcPr>
          <w:p w14:paraId="4E0CF300" w14:textId="77777777" w:rsidR="00043399" w:rsidRPr="00F649A7" w:rsidRDefault="00043399" w:rsidP="00E965BC">
            <w:pPr>
              <w:spacing w:line="240" w:lineRule="auto"/>
              <w:rPr>
                <w:rFonts w:cs="Times New Roman"/>
                <w:color w:val="000000"/>
              </w:rPr>
            </w:pPr>
          </w:p>
        </w:tc>
        <w:tc>
          <w:tcPr>
            <w:tcW w:w="920" w:type="dxa"/>
            <w:tcBorders>
              <w:top w:val="nil"/>
              <w:left w:val="nil"/>
              <w:bottom w:val="nil"/>
              <w:right w:val="nil"/>
            </w:tcBorders>
            <w:shd w:val="clear" w:color="auto" w:fill="auto"/>
            <w:vAlign w:val="bottom"/>
            <w:hideMark/>
          </w:tcPr>
          <w:p w14:paraId="61D31CF1" w14:textId="77777777" w:rsidR="00043399" w:rsidRPr="00F649A7" w:rsidRDefault="00043399" w:rsidP="00E965BC">
            <w:pPr>
              <w:spacing w:line="240" w:lineRule="auto"/>
              <w:jc w:val="center"/>
              <w:rPr>
                <w:rFonts w:cs="Times New Roman"/>
                <w:color w:val="000000"/>
              </w:rPr>
            </w:pPr>
            <w:r w:rsidRPr="00F649A7">
              <w:rPr>
                <w:rFonts w:cs="Times New Roman"/>
                <w:color w:val="000000"/>
              </w:rPr>
              <w:t>0%</w:t>
            </w:r>
          </w:p>
        </w:tc>
      </w:tr>
      <w:tr w:rsidR="00043399" w:rsidRPr="00F649A7" w14:paraId="22571AE0" w14:textId="77777777" w:rsidTr="00E965BC">
        <w:trPr>
          <w:trHeight w:val="315"/>
        </w:trPr>
        <w:tc>
          <w:tcPr>
            <w:tcW w:w="2781" w:type="dxa"/>
            <w:tcBorders>
              <w:top w:val="nil"/>
              <w:left w:val="nil"/>
              <w:bottom w:val="nil"/>
              <w:right w:val="nil"/>
            </w:tcBorders>
            <w:shd w:val="clear" w:color="auto" w:fill="auto"/>
            <w:noWrap/>
            <w:vAlign w:val="bottom"/>
            <w:hideMark/>
          </w:tcPr>
          <w:p w14:paraId="50F38E5E" w14:textId="77777777" w:rsidR="00043399" w:rsidRPr="00F649A7" w:rsidRDefault="00065705" w:rsidP="00E965BC">
            <w:pPr>
              <w:spacing w:line="240" w:lineRule="auto"/>
              <w:rPr>
                <w:rFonts w:cs="Times New Roman"/>
                <w:b/>
                <w:bCs/>
                <w:color w:val="000000"/>
              </w:rPr>
            </w:pPr>
            <w:r>
              <w:rPr>
                <w:rFonts w:cs="Times New Roman"/>
                <w:b/>
                <w:bCs/>
                <w:color w:val="000000"/>
              </w:rPr>
              <w:t>SCA</w:t>
            </w:r>
            <w:r w:rsidRPr="00F649A7">
              <w:rPr>
                <w:rFonts w:cs="Times New Roman"/>
                <w:b/>
                <w:bCs/>
                <w:color w:val="000000"/>
              </w:rPr>
              <w:t xml:space="preserve"> </w:t>
            </w:r>
            <w:r w:rsidR="00043399" w:rsidRPr="00F649A7">
              <w:rPr>
                <w:rFonts w:cs="Times New Roman"/>
                <w:b/>
                <w:bCs/>
                <w:color w:val="000000"/>
              </w:rPr>
              <w:t xml:space="preserve">*Block </w:t>
            </w:r>
          </w:p>
        </w:tc>
        <w:tc>
          <w:tcPr>
            <w:tcW w:w="936" w:type="dxa"/>
            <w:tcBorders>
              <w:top w:val="nil"/>
              <w:left w:val="nil"/>
              <w:bottom w:val="nil"/>
              <w:right w:val="nil"/>
            </w:tcBorders>
            <w:shd w:val="clear" w:color="auto" w:fill="auto"/>
            <w:vAlign w:val="bottom"/>
            <w:hideMark/>
          </w:tcPr>
          <w:p w14:paraId="2AA98D55" w14:textId="77777777" w:rsidR="00043399" w:rsidRPr="00F649A7" w:rsidRDefault="00043399" w:rsidP="00E965BC">
            <w:pPr>
              <w:spacing w:line="240" w:lineRule="auto"/>
              <w:jc w:val="right"/>
              <w:rPr>
                <w:rFonts w:cs="Times New Roman"/>
                <w:color w:val="000000"/>
              </w:rPr>
            </w:pPr>
            <w:r w:rsidRPr="00F649A7">
              <w:rPr>
                <w:rFonts w:cs="Times New Roman"/>
                <w:color w:val="000000"/>
              </w:rPr>
              <w:t>14665</w:t>
            </w:r>
          </w:p>
        </w:tc>
        <w:tc>
          <w:tcPr>
            <w:tcW w:w="626" w:type="dxa"/>
            <w:tcBorders>
              <w:top w:val="nil"/>
              <w:left w:val="nil"/>
              <w:bottom w:val="nil"/>
              <w:right w:val="nil"/>
            </w:tcBorders>
            <w:shd w:val="clear" w:color="auto" w:fill="auto"/>
            <w:noWrap/>
            <w:vAlign w:val="bottom"/>
            <w:hideMark/>
          </w:tcPr>
          <w:p w14:paraId="459FBFE8" w14:textId="77777777" w:rsidR="00043399" w:rsidRPr="00F649A7" w:rsidRDefault="00043399" w:rsidP="00E965BC">
            <w:pPr>
              <w:spacing w:line="240" w:lineRule="auto"/>
              <w:rPr>
                <w:rFonts w:cs="Times New Roman"/>
                <w:color w:val="000000"/>
              </w:rPr>
            </w:pPr>
            <w:r w:rsidRPr="00F649A7">
              <w:rPr>
                <w:rFonts w:cs="Times New Roman"/>
                <w:color w:val="000000"/>
              </w:rPr>
              <w:t>**</w:t>
            </w:r>
          </w:p>
        </w:tc>
        <w:tc>
          <w:tcPr>
            <w:tcW w:w="920" w:type="dxa"/>
            <w:tcBorders>
              <w:top w:val="nil"/>
              <w:left w:val="nil"/>
              <w:bottom w:val="nil"/>
              <w:right w:val="nil"/>
            </w:tcBorders>
            <w:shd w:val="clear" w:color="auto" w:fill="auto"/>
            <w:vAlign w:val="bottom"/>
            <w:hideMark/>
          </w:tcPr>
          <w:p w14:paraId="1C9212CE" w14:textId="77777777" w:rsidR="00043399" w:rsidRPr="00F649A7" w:rsidRDefault="00043399" w:rsidP="00E965BC">
            <w:pPr>
              <w:spacing w:line="240" w:lineRule="auto"/>
              <w:jc w:val="center"/>
              <w:rPr>
                <w:rFonts w:cs="Times New Roman"/>
                <w:color w:val="000000"/>
              </w:rPr>
            </w:pPr>
            <w:r w:rsidRPr="00F649A7">
              <w:rPr>
                <w:rFonts w:cs="Times New Roman"/>
                <w:color w:val="000000"/>
              </w:rPr>
              <w:t>4%</w:t>
            </w:r>
          </w:p>
        </w:tc>
        <w:tc>
          <w:tcPr>
            <w:tcW w:w="1012" w:type="dxa"/>
            <w:tcBorders>
              <w:top w:val="nil"/>
              <w:left w:val="nil"/>
              <w:bottom w:val="nil"/>
              <w:right w:val="nil"/>
            </w:tcBorders>
            <w:shd w:val="clear" w:color="auto" w:fill="auto"/>
            <w:noWrap/>
            <w:vAlign w:val="bottom"/>
            <w:hideMark/>
          </w:tcPr>
          <w:p w14:paraId="2AE8356A" w14:textId="77777777" w:rsidR="00043399" w:rsidRPr="00F649A7" w:rsidRDefault="00043399" w:rsidP="00E965BC">
            <w:pPr>
              <w:spacing w:line="240" w:lineRule="auto"/>
              <w:jc w:val="right"/>
              <w:rPr>
                <w:rFonts w:cs="Times New Roman"/>
                <w:color w:val="000000"/>
              </w:rPr>
            </w:pPr>
            <w:r w:rsidRPr="00F649A7">
              <w:rPr>
                <w:rFonts w:cs="Times New Roman"/>
                <w:color w:val="000000"/>
              </w:rPr>
              <w:t>66</w:t>
            </w:r>
          </w:p>
        </w:tc>
        <w:tc>
          <w:tcPr>
            <w:tcW w:w="626" w:type="dxa"/>
            <w:tcBorders>
              <w:top w:val="nil"/>
              <w:left w:val="nil"/>
              <w:bottom w:val="nil"/>
              <w:right w:val="nil"/>
            </w:tcBorders>
            <w:shd w:val="clear" w:color="auto" w:fill="auto"/>
            <w:noWrap/>
            <w:vAlign w:val="bottom"/>
            <w:hideMark/>
          </w:tcPr>
          <w:p w14:paraId="2955EF69" w14:textId="77777777" w:rsidR="00043399" w:rsidRPr="00F649A7" w:rsidRDefault="00043399" w:rsidP="00E965BC">
            <w:pPr>
              <w:spacing w:line="240" w:lineRule="auto"/>
              <w:rPr>
                <w:rFonts w:cs="Times New Roman"/>
                <w:color w:val="000000"/>
              </w:rPr>
            </w:pPr>
            <w:r w:rsidRPr="00F649A7">
              <w:rPr>
                <w:rFonts w:cs="Times New Roman"/>
                <w:color w:val="000000"/>
              </w:rPr>
              <w:t xml:space="preserve"> </w:t>
            </w:r>
          </w:p>
        </w:tc>
        <w:tc>
          <w:tcPr>
            <w:tcW w:w="920" w:type="dxa"/>
            <w:tcBorders>
              <w:top w:val="nil"/>
              <w:left w:val="nil"/>
              <w:bottom w:val="nil"/>
              <w:right w:val="nil"/>
            </w:tcBorders>
            <w:shd w:val="clear" w:color="auto" w:fill="auto"/>
            <w:vAlign w:val="bottom"/>
            <w:hideMark/>
          </w:tcPr>
          <w:p w14:paraId="60CE690F" w14:textId="77777777" w:rsidR="00043399" w:rsidRPr="00F649A7" w:rsidRDefault="00043399" w:rsidP="00E965BC">
            <w:pPr>
              <w:spacing w:line="240" w:lineRule="auto"/>
              <w:jc w:val="center"/>
              <w:rPr>
                <w:rFonts w:cs="Times New Roman"/>
                <w:color w:val="000000"/>
              </w:rPr>
            </w:pPr>
            <w:r w:rsidRPr="00F649A7">
              <w:rPr>
                <w:rFonts w:cs="Times New Roman"/>
                <w:color w:val="000000"/>
              </w:rPr>
              <w:t>0%</w:t>
            </w:r>
          </w:p>
        </w:tc>
        <w:tc>
          <w:tcPr>
            <w:tcW w:w="920" w:type="dxa"/>
            <w:tcBorders>
              <w:top w:val="nil"/>
              <w:left w:val="nil"/>
              <w:bottom w:val="nil"/>
              <w:right w:val="nil"/>
            </w:tcBorders>
            <w:shd w:val="clear" w:color="auto" w:fill="auto"/>
            <w:noWrap/>
            <w:vAlign w:val="bottom"/>
            <w:hideMark/>
          </w:tcPr>
          <w:p w14:paraId="69A13D16" w14:textId="77777777" w:rsidR="00043399" w:rsidRPr="00F649A7" w:rsidRDefault="00043399" w:rsidP="00E965BC">
            <w:pPr>
              <w:spacing w:line="240" w:lineRule="auto"/>
              <w:jc w:val="right"/>
              <w:rPr>
                <w:rFonts w:cs="Times New Roman"/>
                <w:color w:val="000000"/>
              </w:rPr>
            </w:pPr>
            <w:r w:rsidRPr="00F649A7">
              <w:rPr>
                <w:rFonts w:cs="Times New Roman"/>
                <w:color w:val="000000"/>
              </w:rPr>
              <w:t>0.2</w:t>
            </w:r>
          </w:p>
        </w:tc>
        <w:tc>
          <w:tcPr>
            <w:tcW w:w="626" w:type="dxa"/>
            <w:tcBorders>
              <w:top w:val="nil"/>
              <w:left w:val="nil"/>
              <w:bottom w:val="nil"/>
              <w:right w:val="nil"/>
            </w:tcBorders>
            <w:shd w:val="clear" w:color="auto" w:fill="auto"/>
            <w:noWrap/>
            <w:vAlign w:val="bottom"/>
            <w:hideMark/>
          </w:tcPr>
          <w:p w14:paraId="69B1709F" w14:textId="77777777" w:rsidR="00043399" w:rsidRPr="00F649A7" w:rsidRDefault="00043399" w:rsidP="00E965BC">
            <w:pPr>
              <w:spacing w:line="240" w:lineRule="auto"/>
              <w:rPr>
                <w:rFonts w:cs="Times New Roman"/>
                <w:color w:val="000000"/>
              </w:rPr>
            </w:pPr>
            <w:r w:rsidRPr="00F649A7">
              <w:rPr>
                <w:rFonts w:cs="Times New Roman"/>
                <w:color w:val="000000"/>
              </w:rPr>
              <w:t xml:space="preserve"> </w:t>
            </w:r>
          </w:p>
        </w:tc>
        <w:tc>
          <w:tcPr>
            <w:tcW w:w="920" w:type="dxa"/>
            <w:tcBorders>
              <w:top w:val="nil"/>
              <w:left w:val="nil"/>
              <w:bottom w:val="nil"/>
              <w:right w:val="nil"/>
            </w:tcBorders>
            <w:shd w:val="clear" w:color="auto" w:fill="auto"/>
            <w:vAlign w:val="bottom"/>
            <w:hideMark/>
          </w:tcPr>
          <w:p w14:paraId="573A78B9" w14:textId="77777777" w:rsidR="00043399" w:rsidRPr="00F649A7" w:rsidRDefault="00043399" w:rsidP="00E965BC">
            <w:pPr>
              <w:spacing w:line="240" w:lineRule="auto"/>
              <w:jc w:val="center"/>
              <w:rPr>
                <w:rFonts w:cs="Times New Roman"/>
                <w:color w:val="000000"/>
              </w:rPr>
            </w:pPr>
            <w:r w:rsidRPr="00F649A7">
              <w:rPr>
                <w:rFonts w:cs="Times New Roman"/>
                <w:color w:val="000000"/>
              </w:rPr>
              <w:t>1%</w:t>
            </w:r>
          </w:p>
        </w:tc>
        <w:tc>
          <w:tcPr>
            <w:tcW w:w="723" w:type="dxa"/>
            <w:tcBorders>
              <w:top w:val="nil"/>
              <w:left w:val="nil"/>
              <w:bottom w:val="nil"/>
              <w:right w:val="nil"/>
            </w:tcBorders>
            <w:shd w:val="clear" w:color="auto" w:fill="auto"/>
            <w:noWrap/>
            <w:vAlign w:val="bottom"/>
            <w:hideMark/>
          </w:tcPr>
          <w:p w14:paraId="79363FCC" w14:textId="77777777" w:rsidR="00043399" w:rsidRPr="00F649A7" w:rsidRDefault="00043399" w:rsidP="00E965BC">
            <w:pPr>
              <w:spacing w:line="240" w:lineRule="auto"/>
              <w:jc w:val="right"/>
              <w:rPr>
                <w:rFonts w:cs="Times New Roman"/>
                <w:color w:val="000000"/>
              </w:rPr>
            </w:pPr>
            <w:r w:rsidRPr="00F649A7">
              <w:rPr>
                <w:rFonts w:cs="Times New Roman"/>
                <w:color w:val="000000"/>
              </w:rPr>
              <w:t>0.5</w:t>
            </w:r>
          </w:p>
        </w:tc>
        <w:tc>
          <w:tcPr>
            <w:tcW w:w="626" w:type="dxa"/>
            <w:tcBorders>
              <w:top w:val="nil"/>
              <w:left w:val="nil"/>
              <w:bottom w:val="nil"/>
              <w:right w:val="nil"/>
            </w:tcBorders>
            <w:shd w:val="clear" w:color="auto" w:fill="auto"/>
            <w:noWrap/>
            <w:vAlign w:val="bottom"/>
            <w:hideMark/>
          </w:tcPr>
          <w:p w14:paraId="313A7936" w14:textId="77777777" w:rsidR="00043399" w:rsidRPr="00F649A7" w:rsidRDefault="00043399" w:rsidP="00E965BC">
            <w:pPr>
              <w:spacing w:line="240" w:lineRule="auto"/>
              <w:rPr>
                <w:rFonts w:cs="Times New Roman"/>
                <w:color w:val="000000"/>
              </w:rPr>
            </w:pPr>
            <w:r w:rsidRPr="00F649A7">
              <w:rPr>
                <w:rFonts w:cs="Times New Roman"/>
                <w:color w:val="000000"/>
              </w:rPr>
              <w:t xml:space="preserve"> </w:t>
            </w:r>
          </w:p>
        </w:tc>
        <w:tc>
          <w:tcPr>
            <w:tcW w:w="920" w:type="dxa"/>
            <w:tcBorders>
              <w:top w:val="nil"/>
              <w:left w:val="nil"/>
              <w:bottom w:val="nil"/>
              <w:right w:val="nil"/>
            </w:tcBorders>
            <w:shd w:val="clear" w:color="auto" w:fill="auto"/>
            <w:vAlign w:val="bottom"/>
            <w:hideMark/>
          </w:tcPr>
          <w:p w14:paraId="2B48C916" w14:textId="77777777" w:rsidR="00043399" w:rsidRPr="00F649A7" w:rsidRDefault="00043399" w:rsidP="00E965BC">
            <w:pPr>
              <w:spacing w:line="240" w:lineRule="auto"/>
              <w:jc w:val="center"/>
              <w:rPr>
                <w:rFonts w:cs="Times New Roman"/>
                <w:color w:val="000000"/>
              </w:rPr>
            </w:pPr>
            <w:r w:rsidRPr="00F649A7">
              <w:rPr>
                <w:rFonts w:cs="Times New Roman"/>
                <w:color w:val="000000"/>
              </w:rPr>
              <w:t>1%</w:t>
            </w:r>
          </w:p>
        </w:tc>
      </w:tr>
      <w:tr w:rsidR="00043399" w:rsidRPr="00F649A7" w14:paraId="24D825B9" w14:textId="77777777" w:rsidTr="00E965BC">
        <w:trPr>
          <w:trHeight w:val="315"/>
        </w:trPr>
        <w:tc>
          <w:tcPr>
            <w:tcW w:w="2781" w:type="dxa"/>
            <w:tcBorders>
              <w:top w:val="nil"/>
              <w:left w:val="nil"/>
              <w:bottom w:val="nil"/>
              <w:right w:val="nil"/>
            </w:tcBorders>
            <w:shd w:val="clear" w:color="auto" w:fill="auto"/>
            <w:noWrap/>
            <w:vAlign w:val="bottom"/>
            <w:hideMark/>
          </w:tcPr>
          <w:p w14:paraId="02AEBA9A" w14:textId="77777777" w:rsidR="00043399" w:rsidRPr="00F649A7" w:rsidRDefault="00065705" w:rsidP="00E965BC">
            <w:pPr>
              <w:spacing w:line="240" w:lineRule="auto"/>
              <w:rPr>
                <w:rFonts w:cs="Times New Roman"/>
                <w:b/>
                <w:bCs/>
                <w:color w:val="000000"/>
              </w:rPr>
            </w:pPr>
            <w:r>
              <w:rPr>
                <w:rFonts w:cs="Times New Roman"/>
                <w:b/>
                <w:bCs/>
                <w:color w:val="000000"/>
              </w:rPr>
              <w:t>SCA</w:t>
            </w:r>
            <w:r w:rsidRPr="00F649A7">
              <w:rPr>
                <w:rFonts w:cs="Times New Roman"/>
                <w:b/>
                <w:bCs/>
                <w:color w:val="000000"/>
              </w:rPr>
              <w:t xml:space="preserve"> </w:t>
            </w:r>
            <w:r w:rsidR="00043399" w:rsidRPr="00F649A7">
              <w:rPr>
                <w:rFonts w:cs="Times New Roman"/>
                <w:b/>
                <w:bCs/>
                <w:color w:val="000000"/>
              </w:rPr>
              <w:t>*Year</w:t>
            </w:r>
          </w:p>
        </w:tc>
        <w:tc>
          <w:tcPr>
            <w:tcW w:w="936" w:type="dxa"/>
            <w:tcBorders>
              <w:top w:val="nil"/>
              <w:left w:val="nil"/>
              <w:bottom w:val="nil"/>
              <w:right w:val="nil"/>
            </w:tcBorders>
            <w:shd w:val="clear" w:color="auto" w:fill="auto"/>
            <w:vAlign w:val="bottom"/>
            <w:hideMark/>
          </w:tcPr>
          <w:p w14:paraId="04395468" w14:textId="77777777" w:rsidR="00043399" w:rsidRPr="00F649A7" w:rsidRDefault="00043399" w:rsidP="00E965BC">
            <w:pPr>
              <w:spacing w:line="240" w:lineRule="auto"/>
              <w:jc w:val="right"/>
              <w:rPr>
                <w:rFonts w:cs="Times New Roman"/>
                <w:color w:val="000000"/>
              </w:rPr>
            </w:pPr>
            <w:r w:rsidRPr="00F649A7">
              <w:rPr>
                <w:rFonts w:cs="Times New Roman"/>
                <w:color w:val="000000"/>
              </w:rPr>
              <w:t>25169</w:t>
            </w:r>
          </w:p>
        </w:tc>
        <w:tc>
          <w:tcPr>
            <w:tcW w:w="626" w:type="dxa"/>
            <w:tcBorders>
              <w:top w:val="nil"/>
              <w:left w:val="nil"/>
              <w:bottom w:val="nil"/>
              <w:right w:val="nil"/>
            </w:tcBorders>
            <w:shd w:val="clear" w:color="auto" w:fill="auto"/>
            <w:noWrap/>
            <w:vAlign w:val="bottom"/>
            <w:hideMark/>
          </w:tcPr>
          <w:p w14:paraId="2667BE93" w14:textId="77777777" w:rsidR="00043399" w:rsidRPr="00F649A7" w:rsidRDefault="00043399" w:rsidP="00E965BC">
            <w:pPr>
              <w:spacing w:line="240" w:lineRule="auto"/>
              <w:rPr>
                <w:rFonts w:cs="Times New Roman"/>
                <w:color w:val="000000"/>
              </w:rPr>
            </w:pPr>
            <w:r w:rsidRPr="00F649A7">
              <w:rPr>
                <w:rFonts w:cs="Times New Roman"/>
                <w:color w:val="000000"/>
              </w:rPr>
              <w:t>**</w:t>
            </w:r>
          </w:p>
        </w:tc>
        <w:tc>
          <w:tcPr>
            <w:tcW w:w="920" w:type="dxa"/>
            <w:tcBorders>
              <w:top w:val="nil"/>
              <w:left w:val="nil"/>
              <w:bottom w:val="nil"/>
              <w:right w:val="nil"/>
            </w:tcBorders>
            <w:shd w:val="clear" w:color="auto" w:fill="auto"/>
            <w:vAlign w:val="bottom"/>
            <w:hideMark/>
          </w:tcPr>
          <w:p w14:paraId="7506DEFD" w14:textId="77777777" w:rsidR="00043399" w:rsidRPr="00F649A7" w:rsidRDefault="00043399" w:rsidP="00E965BC">
            <w:pPr>
              <w:spacing w:line="240" w:lineRule="auto"/>
              <w:jc w:val="center"/>
              <w:rPr>
                <w:rFonts w:cs="Times New Roman"/>
                <w:color w:val="000000"/>
              </w:rPr>
            </w:pPr>
            <w:r w:rsidRPr="00F649A7">
              <w:rPr>
                <w:rFonts w:cs="Times New Roman"/>
                <w:color w:val="000000"/>
              </w:rPr>
              <w:t>6%</w:t>
            </w:r>
          </w:p>
        </w:tc>
        <w:tc>
          <w:tcPr>
            <w:tcW w:w="1012" w:type="dxa"/>
            <w:tcBorders>
              <w:top w:val="nil"/>
              <w:left w:val="nil"/>
              <w:bottom w:val="nil"/>
              <w:right w:val="nil"/>
            </w:tcBorders>
            <w:shd w:val="clear" w:color="auto" w:fill="auto"/>
            <w:noWrap/>
            <w:vAlign w:val="bottom"/>
            <w:hideMark/>
          </w:tcPr>
          <w:p w14:paraId="23A57973" w14:textId="77777777" w:rsidR="00043399" w:rsidRPr="00F649A7" w:rsidRDefault="00043399" w:rsidP="00E965BC">
            <w:pPr>
              <w:spacing w:line="240" w:lineRule="auto"/>
              <w:jc w:val="right"/>
              <w:rPr>
                <w:rFonts w:cs="Times New Roman"/>
                <w:color w:val="000000"/>
              </w:rPr>
            </w:pPr>
            <w:r w:rsidRPr="00F649A7">
              <w:rPr>
                <w:rFonts w:cs="Times New Roman"/>
                <w:color w:val="000000"/>
              </w:rPr>
              <w:t>325</w:t>
            </w:r>
          </w:p>
        </w:tc>
        <w:tc>
          <w:tcPr>
            <w:tcW w:w="626" w:type="dxa"/>
            <w:tcBorders>
              <w:top w:val="nil"/>
              <w:left w:val="nil"/>
              <w:bottom w:val="nil"/>
              <w:right w:val="nil"/>
            </w:tcBorders>
            <w:shd w:val="clear" w:color="auto" w:fill="auto"/>
            <w:noWrap/>
            <w:vAlign w:val="bottom"/>
            <w:hideMark/>
          </w:tcPr>
          <w:p w14:paraId="1E30F171" w14:textId="77777777" w:rsidR="00043399" w:rsidRPr="00F649A7" w:rsidRDefault="00043399" w:rsidP="00E965BC">
            <w:pPr>
              <w:spacing w:line="240" w:lineRule="auto"/>
              <w:rPr>
                <w:rFonts w:cs="Times New Roman"/>
                <w:color w:val="000000"/>
              </w:rPr>
            </w:pPr>
            <w:r w:rsidRPr="00F649A7">
              <w:rPr>
                <w:rFonts w:cs="Times New Roman"/>
                <w:color w:val="000000"/>
              </w:rPr>
              <w:t xml:space="preserve"> </w:t>
            </w:r>
          </w:p>
        </w:tc>
        <w:tc>
          <w:tcPr>
            <w:tcW w:w="920" w:type="dxa"/>
            <w:tcBorders>
              <w:top w:val="nil"/>
              <w:left w:val="nil"/>
              <w:bottom w:val="nil"/>
              <w:right w:val="nil"/>
            </w:tcBorders>
            <w:shd w:val="clear" w:color="auto" w:fill="auto"/>
            <w:vAlign w:val="bottom"/>
            <w:hideMark/>
          </w:tcPr>
          <w:p w14:paraId="56AB4C86" w14:textId="77777777" w:rsidR="00043399" w:rsidRPr="00F649A7" w:rsidRDefault="00043399" w:rsidP="00E965BC">
            <w:pPr>
              <w:spacing w:line="240" w:lineRule="auto"/>
              <w:jc w:val="center"/>
              <w:rPr>
                <w:rFonts w:cs="Times New Roman"/>
                <w:color w:val="000000"/>
              </w:rPr>
            </w:pPr>
            <w:r w:rsidRPr="00F649A7">
              <w:rPr>
                <w:rFonts w:cs="Times New Roman"/>
                <w:color w:val="000000"/>
              </w:rPr>
              <w:t>1%</w:t>
            </w:r>
          </w:p>
        </w:tc>
        <w:tc>
          <w:tcPr>
            <w:tcW w:w="920" w:type="dxa"/>
            <w:tcBorders>
              <w:top w:val="nil"/>
              <w:left w:val="nil"/>
              <w:bottom w:val="nil"/>
              <w:right w:val="nil"/>
            </w:tcBorders>
            <w:shd w:val="clear" w:color="auto" w:fill="auto"/>
            <w:noWrap/>
            <w:vAlign w:val="bottom"/>
            <w:hideMark/>
          </w:tcPr>
          <w:p w14:paraId="04A38DAB" w14:textId="77777777" w:rsidR="00043399" w:rsidRPr="00F649A7" w:rsidRDefault="00043399" w:rsidP="00E965BC">
            <w:pPr>
              <w:spacing w:line="240" w:lineRule="auto"/>
              <w:jc w:val="right"/>
              <w:rPr>
                <w:rFonts w:cs="Times New Roman"/>
                <w:color w:val="000000"/>
              </w:rPr>
            </w:pPr>
            <w:r w:rsidRPr="00F649A7">
              <w:rPr>
                <w:rFonts w:cs="Times New Roman"/>
                <w:color w:val="000000"/>
              </w:rPr>
              <w:t>0.0</w:t>
            </w:r>
          </w:p>
        </w:tc>
        <w:tc>
          <w:tcPr>
            <w:tcW w:w="626" w:type="dxa"/>
            <w:tcBorders>
              <w:top w:val="nil"/>
              <w:left w:val="nil"/>
              <w:bottom w:val="nil"/>
              <w:right w:val="nil"/>
            </w:tcBorders>
            <w:shd w:val="clear" w:color="auto" w:fill="auto"/>
            <w:noWrap/>
            <w:vAlign w:val="bottom"/>
            <w:hideMark/>
          </w:tcPr>
          <w:p w14:paraId="117E9C8F" w14:textId="77777777" w:rsidR="00043399" w:rsidRPr="00F649A7" w:rsidRDefault="00043399" w:rsidP="00E965BC">
            <w:pPr>
              <w:spacing w:line="240" w:lineRule="auto"/>
              <w:rPr>
                <w:rFonts w:cs="Times New Roman"/>
                <w:color w:val="000000"/>
              </w:rPr>
            </w:pPr>
          </w:p>
        </w:tc>
        <w:tc>
          <w:tcPr>
            <w:tcW w:w="920" w:type="dxa"/>
            <w:tcBorders>
              <w:top w:val="nil"/>
              <w:left w:val="nil"/>
              <w:bottom w:val="nil"/>
              <w:right w:val="nil"/>
            </w:tcBorders>
            <w:shd w:val="clear" w:color="auto" w:fill="auto"/>
            <w:vAlign w:val="bottom"/>
            <w:hideMark/>
          </w:tcPr>
          <w:p w14:paraId="4148DFB5" w14:textId="77777777" w:rsidR="00043399" w:rsidRPr="00F649A7" w:rsidRDefault="00043399" w:rsidP="00E965BC">
            <w:pPr>
              <w:spacing w:line="240" w:lineRule="auto"/>
              <w:jc w:val="center"/>
              <w:rPr>
                <w:rFonts w:cs="Times New Roman"/>
                <w:color w:val="000000"/>
              </w:rPr>
            </w:pPr>
            <w:r w:rsidRPr="00F649A7">
              <w:rPr>
                <w:rFonts w:cs="Times New Roman"/>
                <w:color w:val="000000"/>
              </w:rPr>
              <w:t>0%</w:t>
            </w:r>
          </w:p>
        </w:tc>
        <w:tc>
          <w:tcPr>
            <w:tcW w:w="723" w:type="dxa"/>
            <w:tcBorders>
              <w:top w:val="nil"/>
              <w:left w:val="nil"/>
              <w:bottom w:val="nil"/>
              <w:right w:val="nil"/>
            </w:tcBorders>
            <w:shd w:val="clear" w:color="auto" w:fill="auto"/>
            <w:noWrap/>
            <w:vAlign w:val="bottom"/>
            <w:hideMark/>
          </w:tcPr>
          <w:p w14:paraId="23BB00B7" w14:textId="77777777" w:rsidR="00043399" w:rsidRPr="00F649A7" w:rsidRDefault="00043399" w:rsidP="00E965BC">
            <w:pPr>
              <w:spacing w:line="240" w:lineRule="auto"/>
              <w:jc w:val="right"/>
              <w:rPr>
                <w:rFonts w:cs="Times New Roman"/>
                <w:color w:val="000000"/>
              </w:rPr>
            </w:pPr>
            <w:r w:rsidRPr="00F649A7">
              <w:rPr>
                <w:rFonts w:cs="Times New Roman"/>
                <w:color w:val="000000"/>
              </w:rPr>
              <w:t>0.1</w:t>
            </w:r>
          </w:p>
        </w:tc>
        <w:tc>
          <w:tcPr>
            <w:tcW w:w="626" w:type="dxa"/>
            <w:tcBorders>
              <w:top w:val="nil"/>
              <w:left w:val="nil"/>
              <w:bottom w:val="nil"/>
              <w:right w:val="nil"/>
            </w:tcBorders>
            <w:shd w:val="clear" w:color="auto" w:fill="auto"/>
            <w:noWrap/>
            <w:vAlign w:val="bottom"/>
            <w:hideMark/>
          </w:tcPr>
          <w:p w14:paraId="58173DC7" w14:textId="77777777" w:rsidR="00043399" w:rsidRPr="00F649A7" w:rsidRDefault="00043399" w:rsidP="00E965BC">
            <w:pPr>
              <w:spacing w:line="240" w:lineRule="auto"/>
              <w:rPr>
                <w:rFonts w:cs="Times New Roman"/>
                <w:color w:val="000000"/>
              </w:rPr>
            </w:pPr>
            <w:r w:rsidRPr="00F649A7">
              <w:rPr>
                <w:rFonts w:cs="Times New Roman"/>
                <w:color w:val="000000"/>
              </w:rPr>
              <w:t xml:space="preserve"> </w:t>
            </w:r>
          </w:p>
        </w:tc>
        <w:tc>
          <w:tcPr>
            <w:tcW w:w="920" w:type="dxa"/>
            <w:tcBorders>
              <w:top w:val="nil"/>
              <w:left w:val="nil"/>
              <w:bottom w:val="nil"/>
              <w:right w:val="nil"/>
            </w:tcBorders>
            <w:shd w:val="clear" w:color="auto" w:fill="auto"/>
            <w:vAlign w:val="bottom"/>
            <w:hideMark/>
          </w:tcPr>
          <w:p w14:paraId="0EA9D835" w14:textId="77777777" w:rsidR="00043399" w:rsidRPr="00F649A7" w:rsidRDefault="00043399" w:rsidP="00E965BC">
            <w:pPr>
              <w:spacing w:line="240" w:lineRule="auto"/>
              <w:jc w:val="center"/>
              <w:rPr>
                <w:rFonts w:cs="Times New Roman"/>
                <w:color w:val="000000"/>
              </w:rPr>
            </w:pPr>
            <w:r w:rsidRPr="00F649A7">
              <w:rPr>
                <w:rFonts w:cs="Times New Roman"/>
                <w:color w:val="000000"/>
              </w:rPr>
              <w:t>0%</w:t>
            </w:r>
          </w:p>
        </w:tc>
      </w:tr>
      <w:tr w:rsidR="00043399" w:rsidRPr="00F649A7" w14:paraId="6D8FE13B" w14:textId="77777777" w:rsidTr="00E965BC">
        <w:trPr>
          <w:trHeight w:val="315"/>
        </w:trPr>
        <w:tc>
          <w:tcPr>
            <w:tcW w:w="2781" w:type="dxa"/>
            <w:tcBorders>
              <w:top w:val="nil"/>
              <w:left w:val="nil"/>
              <w:bottom w:val="nil"/>
              <w:right w:val="nil"/>
            </w:tcBorders>
            <w:shd w:val="clear" w:color="auto" w:fill="auto"/>
            <w:noWrap/>
            <w:vAlign w:val="bottom"/>
            <w:hideMark/>
          </w:tcPr>
          <w:p w14:paraId="132BF417" w14:textId="77777777" w:rsidR="00043399" w:rsidRPr="00F649A7" w:rsidRDefault="00065705" w:rsidP="00E965BC">
            <w:pPr>
              <w:spacing w:line="240" w:lineRule="auto"/>
              <w:rPr>
                <w:rFonts w:cs="Times New Roman"/>
                <w:b/>
                <w:bCs/>
                <w:color w:val="000000"/>
              </w:rPr>
            </w:pPr>
            <w:r>
              <w:rPr>
                <w:rFonts w:cs="Times New Roman"/>
                <w:b/>
                <w:bCs/>
                <w:color w:val="000000"/>
              </w:rPr>
              <w:t>SCA</w:t>
            </w:r>
            <w:r w:rsidRPr="00F649A7">
              <w:rPr>
                <w:rFonts w:cs="Times New Roman"/>
                <w:b/>
                <w:bCs/>
                <w:color w:val="000000"/>
              </w:rPr>
              <w:t xml:space="preserve"> </w:t>
            </w:r>
            <w:r w:rsidR="00043399" w:rsidRPr="00F649A7">
              <w:rPr>
                <w:rFonts w:cs="Times New Roman"/>
                <w:b/>
                <w:bCs/>
                <w:color w:val="000000"/>
              </w:rPr>
              <w:t>*Year*Block</w:t>
            </w:r>
          </w:p>
        </w:tc>
        <w:tc>
          <w:tcPr>
            <w:tcW w:w="936" w:type="dxa"/>
            <w:tcBorders>
              <w:top w:val="nil"/>
              <w:left w:val="nil"/>
              <w:bottom w:val="nil"/>
              <w:right w:val="nil"/>
            </w:tcBorders>
            <w:shd w:val="clear" w:color="auto" w:fill="auto"/>
            <w:vAlign w:val="bottom"/>
            <w:hideMark/>
          </w:tcPr>
          <w:p w14:paraId="183FCD95" w14:textId="77777777" w:rsidR="00043399" w:rsidRPr="00F649A7" w:rsidRDefault="00043399" w:rsidP="00E965BC">
            <w:pPr>
              <w:spacing w:line="240" w:lineRule="auto"/>
              <w:jc w:val="right"/>
              <w:rPr>
                <w:rFonts w:cs="Times New Roman"/>
                <w:color w:val="000000"/>
              </w:rPr>
            </w:pPr>
            <w:r w:rsidRPr="00F649A7">
              <w:rPr>
                <w:rFonts w:cs="Times New Roman"/>
                <w:color w:val="000000"/>
              </w:rPr>
              <w:t>0</w:t>
            </w:r>
          </w:p>
        </w:tc>
        <w:tc>
          <w:tcPr>
            <w:tcW w:w="626" w:type="dxa"/>
            <w:tcBorders>
              <w:top w:val="nil"/>
              <w:left w:val="nil"/>
              <w:bottom w:val="nil"/>
              <w:right w:val="nil"/>
            </w:tcBorders>
            <w:shd w:val="clear" w:color="auto" w:fill="auto"/>
            <w:noWrap/>
            <w:vAlign w:val="bottom"/>
            <w:hideMark/>
          </w:tcPr>
          <w:p w14:paraId="62BE7B95" w14:textId="77777777" w:rsidR="00043399" w:rsidRPr="00F649A7" w:rsidRDefault="00043399" w:rsidP="00E965BC">
            <w:pPr>
              <w:spacing w:line="240" w:lineRule="auto"/>
              <w:rPr>
                <w:rFonts w:cs="Times New Roman"/>
                <w:color w:val="000000"/>
              </w:rPr>
            </w:pPr>
          </w:p>
        </w:tc>
        <w:tc>
          <w:tcPr>
            <w:tcW w:w="920" w:type="dxa"/>
            <w:tcBorders>
              <w:top w:val="nil"/>
              <w:left w:val="nil"/>
              <w:bottom w:val="nil"/>
              <w:right w:val="nil"/>
            </w:tcBorders>
            <w:shd w:val="clear" w:color="auto" w:fill="auto"/>
            <w:vAlign w:val="bottom"/>
            <w:hideMark/>
          </w:tcPr>
          <w:p w14:paraId="4097F4A5" w14:textId="77777777" w:rsidR="00043399" w:rsidRPr="00F649A7" w:rsidRDefault="00043399" w:rsidP="00E965BC">
            <w:pPr>
              <w:spacing w:line="240" w:lineRule="auto"/>
              <w:jc w:val="center"/>
              <w:rPr>
                <w:rFonts w:cs="Times New Roman"/>
                <w:color w:val="000000"/>
              </w:rPr>
            </w:pPr>
            <w:r w:rsidRPr="00F649A7">
              <w:rPr>
                <w:rFonts w:cs="Times New Roman"/>
                <w:color w:val="000000"/>
              </w:rPr>
              <w:t>0%</w:t>
            </w:r>
          </w:p>
        </w:tc>
        <w:tc>
          <w:tcPr>
            <w:tcW w:w="1012" w:type="dxa"/>
            <w:tcBorders>
              <w:top w:val="nil"/>
              <w:left w:val="nil"/>
              <w:bottom w:val="nil"/>
              <w:right w:val="nil"/>
            </w:tcBorders>
            <w:shd w:val="clear" w:color="auto" w:fill="auto"/>
            <w:noWrap/>
            <w:vAlign w:val="bottom"/>
            <w:hideMark/>
          </w:tcPr>
          <w:p w14:paraId="20913EE7" w14:textId="77777777" w:rsidR="00043399" w:rsidRPr="00F649A7" w:rsidRDefault="00043399" w:rsidP="00E965BC">
            <w:pPr>
              <w:spacing w:line="240" w:lineRule="auto"/>
              <w:jc w:val="right"/>
              <w:rPr>
                <w:rFonts w:cs="Times New Roman"/>
                <w:color w:val="000000"/>
              </w:rPr>
            </w:pPr>
            <w:r w:rsidRPr="00F649A7">
              <w:rPr>
                <w:rFonts w:cs="Times New Roman"/>
                <w:color w:val="000000"/>
              </w:rPr>
              <w:t>0</w:t>
            </w:r>
          </w:p>
        </w:tc>
        <w:tc>
          <w:tcPr>
            <w:tcW w:w="626" w:type="dxa"/>
            <w:tcBorders>
              <w:top w:val="nil"/>
              <w:left w:val="nil"/>
              <w:bottom w:val="nil"/>
              <w:right w:val="nil"/>
            </w:tcBorders>
            <w:shd w:val="clear" w:color="auto" w:fill="auto"/>
            <w:noWrap/>
            <w:vAlign w:val="bottom"/>
            <w:hideMark/>
          </w:tcPr>
          <w:p w14:paraId="7F26D90A" w14:textId="77777777" w:rsidR="00043399" w:rsidRPr="00F649A7" w:rsidRDefault="00043399" w:rsidP="00E965BC">
            <w:pPr>
              <w:spacing w:line="240" w:lineRule="auto"/>
              <w:rPr>
                <w:rFonts w:cs="Times New Roman"/>
                <w:color w:val="000000"/>
              </w:rPr>
            </w:pPr>
          </w:p>
        </w:tc>
        <w:tc>
          <w:tcPr>
            <w:tcW w:w="920" w:type="dxa"/>
            <w:tcBorders>
              <w:top w:val="nil"/>
              <w:left w:val="nil"/>
              <w:bottom w:val="nil"/>
              <w:right w:val="nil"/>
            </w:tcBorders>
            <w:shd w:val="clear" w:color="auto" w:fill="auto"/>
            <w:vAlign w:val="bottom"/>
            <w:hideMark/>
          </w:tcPr>
          <w:p w14:paraId="10614C85" w14:textId="77777777" w:rsidR="00043399" w:rsidRPr="00F649A7" w:rsidRDefault="00043399" w:rsidP="00E965BC">
            <w:pPr>
              <w:spacing w:line="240" w:lineRule="auto"/>
              <w:jc w:val="center"/>
              <w:rPr>
                <w:rFonts w:cs="Times New Roman"/>
                <w:color w:val="000000"/>
              </w:rPr>
            </w:pPr>
            <w:r w:rsidRPr="00F649A7">
              <w:rPr>
                <w:rFonts w:cs="Times New Roman"/>
                <w:color w:val="000000"/>
              </w:rPr>
              <w:t>0%</w:t>
            </w:r>
          </w:p>
        </w:tc>
        <w:tc>
          <w:tcPr>
            <w:tcW w:w="920" w:type="dxa"/>
            <w:tcBorders>
              <w:top w:val="nil"/>
              <w:left w:val="nil"/>
              <w:bottom w:val="nil"/>
              <w:right w:val="nil"/>
            </w:tcBorders>
            <w:shd w:val="clear" w:color="auto" w:fill="auto"/>
            <w:noWrap/>
            <w:vAlign w:val="bottom"/>
            <w:hideMark/>
          </w:tcPr>
          <w:p w14:paraId="7FC155C4" w14:textId="77777777" w:rsidR="00043399" w:rsidRPr="00F649A7" w:rsidRDefault="00043399" w:rsidP="00E965BC">
            <w:pPr>
              <w:spacing w:line="240" w:lineRule="auto"/>
              <w:jc w:val="right"/>
              <w:rPr>
                <w:rFonts w:cs="Times New Roman"/>
                <w:color w:val="000000"/>
              </w:rPr>
            </w:pPr>
            <w:r w:rsidRPr="00F649A7">
              <w:rPr>
                <w:rFonts w:cs="Times New Roman"/>
                <w:color w:val="000000"/>
              </w:rPr>
              <w:t>0.0</w:t>
            </w:r>
          </w:p>
        </w:tc>
        <w:tc>
          <w:tcPr>
            <w:tcW w:w="626" w:type="dxa"/>
            <w:tcBorders>
              <w:top w:val="nil"/>
              <w:left w:val="nil"/>
              <w:bottom w:val="nil"/>
              <w:right w:val="nil"/>
            </w:tcBorders>
            <w:shd w:val="clear" w:color="auto" w:fill="auto"/>
            <w:noWrap/>
            <w:vAlign w:val="bottom"/>
            <w:hideMark/>
          </w:tcPr>
          <w:p w14:paraId="37043D09" w14:textId="77777777" w:rsidR="00043399" w:rsidRPr="00F649A7" w:rsidRDefault="00043399" w:rsidP="00E965BC">
            <w:pPr>
              <w:spacing w:line="240" w:lineRule="auto"/>
              <w:rPr>
                <w:rFonts w:cs="Times New Roman"/>
                <w:color w:val="000000"/>
              </w:rPr>
            </w:pPr>
          </w:p>
        </w:tc>
        <w:tc>
          <w:tcPr>
            <w:tcW w:w="920" w:type="dxa"/>
            <w:tcBorders>
              <w:top w:val="nil"/>
              <w:left w:val="nil"/>
              <w:bottom w:val="nil"/>
              <w:right w:val="nil"/>
            </w:tcBorders>
            <w:shd w:val="clear" w:color="auto" w:fill="auto"/>
            <w:vAlign w:val="bottom"/>
            <w:hideMark/>
          </w:tcPr>
          <w:p w14:paraId="38A64D6C" w14:textId="77777777" w:rsidR="00043399" w:rsidRPr="00F649A7" w:rsidRDefault="00043399" w:rsidP="00E965BC">
            <w:pPr>
              <w:spacing w:line="240" w:lineRule="auto"/>
              <w:jc w:val="center"/>
              <w:rPr>
                <w:rFonts w:cs="Times New Roman"/>
                <w:color w:val="000000"/>
              </w:rPr>
            </w:pPr>
            <w:r w:rsidRPr="00F649A7">
              <w:rPr>
                <w:rFonts w:cs="Times New Roman"/>
                <w:color w:val="000000"/>
              </w:rPr>
              <w:t>0%</w:t>
            </w:r>
          </w:p>
        </w:tc>
        <w:tc>
          <w:tcPr>
            <w:tcW w:w="723" w:type="dxa"/>
            <w:tcBorders>
              <w:top w:val="nil"/>
              <w:left w:val="nil"/>
              <w:bottom w:val="nil"/>
              <w:right w:val="nil"/>
            </w:tcBorders>
            <w:shd w:val="clear" w:color="auto" w:fill="auto"/>
            <w:noWrap/>
            <w:vAlign w:val="bottom"/>
            <w:hideMark/>
          </w:tcPr>
          <w:p w14:paraId="5EF50931" w14:textId="77777777" w:rsidR="00043399" w:rsidRPr="00F649A7" w:rsidRDefault="00043399" w:rsidP="00E965BC">
            <w:pPr>
              <w:spacing w:line="240" w:lineRule="auto"/>
              <w:jc w:val="right"/>
              <w:rPr>
                <w:rFonts w:cs="Times New Roman"/>
                <w:color w:val="000000"/>
              </w:rPr>
            </w:pPr>
            <w:r w:rsidRPr="00F649A7">
              <w:rPr>
                <w:rFonts w:cs="Times New Roman"/>
                <w:color w:val="000000"/>
              </w:rPr>
              <w:t>0.0</w:t>
            </w:r>
          </w:p>
        </w:tc>
        <w:tc>
          <w:tcPr>
            <w:tcW w:w="626" w:type="dxa"/>
            <w:tcBorders>
              <w:top w:val="nil"/>
              <w:left w:val="nil"/>
              <w:bottom w:val="nil"/>
              <w:right w:val="nil"/>
            </w:tcBorders>
            <w:shd w:val="clear" w:color="auto" w:fill="auto"/>
            <w:noWrap/>
            <w:vAlign w:val="bottom"/>
            <w:hideMark/>
          </w:tcPr>
          <w:p w14:paraId="796E7849" w14:textId="77777777" w:rsidR="00043399" w:rsidRPr="00F649A7" w:rsidRDefault="00043399" w:rsidP="00E965BC">
            <w:pPr>
              <w:spacing w:line="240" w:lineRule="auto"/>
              <w:rPr>
                <w:rFonts w:cs="Times New Roman"/>
                <w:color w:val="000000"/>
              </w:rPr>
            </w:pPr>
            <w:r w:rsidRPr="00F649A7">
              <w:rPr>
                <w:rFonts w:cs="Times New Roman"/>
                <w:color w:val="000000"/>
              </w:rPr>
              <w:t>***</w:t>
            </w:r>
          </w:p>
        </w:tc>
        <w:tc>
          <w:tcPr>
            <w:tcW w:w="920" w:type="dxa"/>
            <w:tcBorders>
              <w:top w:val="nil"/>
              <w:left w:val="nil"/>
              <w:bottom w:val="nil"/>
              <w:right w:val="nil"/>
            </w:tcBorders>
            <w:shd w:val="clear" w:color="auto" w:fill="auto"/>
            <w:vAlign w:val="bottom"/>
            <w:hideMark/>
          </w:tcPr>
          <w:p w14:paraId="1E098068" w14:textId="77777777" w:rsidR="00043399" w:rsidRPr="00F649A7" w:rsidRDefault="00043399" w:rsidP="00E965BC">
            <w:pPr>
              <w:spacing w:line="240" w:lineRule="auto"/>
              <w:jc w:val="center"/>
              <w:rPr>
                <w:rFonts w:cs="Times New Roman"/>
                <w:color w:val="000000"/>
              </w:rPr>
            </w:pPr>
            <w:r w:rsidRPr="00F649A7">
              <w:rPr>
                <w:rFonts w:cs="Times New Roman"/>
                <w:color w:val="000000"/>
              </w:rPr>
              <w:t>0%</w:t>
            </w:r>
          </w:p>
        </w:tc>
      </w:tr>
      <w:tr w:rsidR="00043399" w:rsidRPr="00F649A7" w14:paraId="41E68D28" w14:textId="77777777" w:rsidTr="00E965BC">
        <w:trPr>
          <w:trHeight w:val="315"/>
        </w:trPr>
        <w:tc>
          <w:tcPr>
            <w:tcW w:w="2781" w:type="dxa"/>
            <w:tcBorders>
              <w:top w:val="nil"/>
              <w:left w:val="nil"/>
              <w:bottom w:val="nil"/>
              <w:right w:val="nil"/>
            </w:tcBorders>
            <w:shd w:val="clear" w:color="auto" w:fill="auto"/>
            <w:noWrap/>
            <w:vAlign w:val="bottom"/>
            <w:hideMark/>
          </w:tcPr>
          <w:p w14:paraId="43C09144" w14:textId="77777777" w:rsidR="00043399" w:rsidRPr="00F649A7" w:rsidRDefault="00043399" w:rsidP="00E965BC">
            <w:pPr>
              <w:spacing w:line="240" w:lineRule="auto"/>
              <w:rPr>
                <w:rFonts w:cs="Times New Roman"/>
                <w:b/>
                <w:bCs/>
                <w:color w:val="000000"/>
              </w:rPr>
            </w:pPr>
            <w:r w:rsidRPr="00F649A7">
              <w:rPr>
                <w:rFonts w:cs="Times New Roman"/>
                <w:b/>
                <w:bCs/>
                <w:color w:val="000000"/>
              </w:rPr>
              <w:t>Error</w:t>
            </w:r>
          </w:p>
        </w:tc>
        <w:tc>
          <w:tcPr>
            <w:tcW w:w="936" w:type="dxa"/>
            <w:tcBorders>
              <w:top w:val="nil"/>
              <w:left w:val="nil"/>
              <w:bottom w:val="nil"/>
              <w:right w:val="nil"/>
            </w:tcBorders>
            <w:shd w:val="clear" w:color="auto" w:fill="auto"/>
            <w:vAlign w:val="bottom"/>
            <w:hideMark/>
          </w:tcPr>
          <w:p w14:paraId="4D91A8DB" w14:textId="77777777" w:rsidR="00043399" w:rsidRPr="00F649A7" w:rsidRDefault="00043399" w:rsidP="00E965BC">
            <w:pPr>
              <w:spacing w:line="240" w:lineRule="auto"/>
              <w:jc w:val="right"/>
              <w:rPr>
                <w:rFonts w:cs="Times New Roman"/>
                <w:color w:val="000000"/>
              </w:rPr>
            </w:pPr>
            <w:r w:rsidRPr="00F649A7">
              <w:rPr>
                <w:rFonts w:cs="Times New Roman"/>
                <w:color w:val="000000"/>
              </w:rPr>
              <w:t>325764</w:t>
            </w:r>
          </w:p>
        </w:tc>
        <w:tc>
          <w:tcPr>
            <w:tcW w:w="626" w:type="dxa"/>
            <w:tcBorders>
              <w:top w:val="nil"/>
              <w:left w:val="nil"/>
              <w:bottom w:val="nil"/>
              <w:right w:val="nil"/>
            </w:tcBorders>
            <w:shd w:val="clear" w:color="auto" w:fill="auto"/>
            <w:noWrap/>
            <w:vAlign w:val="bottom"/>
            <w:hideMark/>
          </w:tcPr>
          <w:p w14:paraId="6807BA84" w14:textId="77777777" w:rsidR="00043399" w:rsidRPr="00F649A7" w:rsidRDefault="00043399" w:rsidP="00E965BC">
            <w:pPr>
              <w:spacing w:line="240" w:lineRule="auto"/>
              <w:rPr>
                <w:rFonts w:cs="Times New Roman"/>
                <w:color w:val="000000"/>
              </w:rPr>
            </w:pPr>
            <w:r w:rsidRPr="00F649A7">
              <w:rPr>
                <w:rFonts w:cs="Times New Roman"/>
                <w:color w:val="000000"/>
              </w:rPr>
              <w:t>***</w:t>
            </w:r>
          </w:p>
        </w:tc>
        <w:tc>
          <w:tcPr>
            <w:tcW w:w="920" w:type="dxa"/>
            <w:tcBorders>
              <w:top w:val="nil"/>
              <w:left w:val="nil"/>
              <w:bottom w:val="nil"/>
              <w:right w:val="nil"/>
            </w:tcBorders>
            <w:shd w:val="clear" w:color="auto" w:fill="auto"/>
            <w:vAlign w:val="bottom"/>
            <w:hideMark/>
          </w:tcPr>
          <w:p w14:paraId="0B8B3572" w14:textId="77777777" w:rsidR="00043399" w:rsidRPr="00F649A7" w:rsidRDefault="00043399" w:rsidP="00E965BC">
            <w:pPr>
              <w:spacing w:line="240" w:lineRule="auto"/>
              <w:jc w:val="center"/>
              <w:rPr>
                <w:rFonts w:cs="Times New Roman"/>
                <w:color w:val="000000"/>
              </w:rPr>
            </w:pPr>
            <w:r w:rsidRPr="00F649A7">
              <w:rPr>
                <w:rFonts w:cs="Times New Roman"/>
                <w:color w:val="000000"/>
              </w:rPr>
              <w:t>83%</w:t>
            </w:r>
          </w:p>
        </w:tc>
        <w:tc>
          <w:tcPr>
            <w:tcW w:w="1012" w:type="dxa"/>
            <w:tcBorders>
              <w:top w:val="nil"/>
              <w:left w:val="nil"/>
              <w:bottom w:val="nil"/>
              <w:right w:val="nil"/>
            </w:tcBorders>
            <w:shd w:val="clear" w:color="auto" w:fill="auto"/>
            <w:noWrap/>
            <w:vAlign w:val="bottom"/>
            <w:hideMark/>
          </w:tcPr>
          <w:p w14:paraId="768E0192" w14:textId="77777777" w:rsidR="00043399" w:rsidRPr="00F649A7" w:rsidRDefault="00043399" w:rsidP="00E965BC">
            <w:pPr>
              <w:spacing w:line="240" w:lineRule="auto"/>
              <w:jc w:val="right"/>
              <w:rPr>
                <w:rFonts w:cs="Times New Roman"/>
                <w:color w:val="000000"/>
              </w:rPr>
            </w:pPr>
            <w:r w:rsidRPr="00F649A7">
              <w:rPr>
                <w:rFonts w:cs="Times New Roman"/>
                <w:color w:val="000000"/>
              </w:rPr>
              <w:t>37918</w:t>
            </w:r>
          </w:p>
        </w:tc>
        <w:tc>
          <w:tcPr>
            <w:tcW w:w="626" w:type="dxa"/>
            <w:tcBorders>
              <w:top w:val="nil"/>
              <w:left w:val="nil"/>
              <w:bottom w:val="nil"/>
              <w:right w:val="nil"/>
            </w:tcBorders>
            <w:shd w:val="clear" w:color="auto" w:fill="auto"/>
            <w:noWrap/>
            <w:vAlign w:val="bottom"/>
            <w:hideMark/>
          </w:tcPr>
          <w:p w14:paraId="40DF2FDB" w14:textId="77777777" w:rsidR="00043399" w:rsidRPr="00F649A7" w:rsidRDefault="00043399" w:rsidP="00E965BC">
            <w:pPr>
              <w:spacing w:line="240" w:lineRule="auto"/>
              <w:rPr>
                <w:rFonts w:cs="Times New Roman"/>
                <w:color w:val="000000"/>
              </w:rPr>
            </w:pPr>
            <w:r w:rsidRPr="00F649A7">
              <w:rPr>
                <w:rFonts w:cs="Times New Roman"/>
                <w:color w:val="000000"/>
              </w:rPr>
              <w:t>***</w:t>
            </w:r>
          </w:p>
        </w:tc>
        <w:tc>
          <w:tcPr>
            <w:tcW w:w="920" w:type="dxa"/>
            <w:tcBorders>
              <w:top w:val="nil"/>
              <w:left w:val="nil"/>
              <w:bottom w:val="nil"/>
              <w:right w:val="nil"/>
            </w:tcBorders>
            <w:shd w:val="clear" w:color="auto" w:fill="auto"/>
            <w:vAlign w:val="bottom"/>
            <w:hideMark/>
          </w:tcPr>
          <w:p w14:paraId="4D3BBB1A" w14:textId="77777777" w:rsidR="00043399" w:rsidRPr="00F649A7" w:rsidRDefault="00043399" w:rsidP="00E965BC">
            <w:pPr>
              <w:spacing w:line="240" w:lineRule="auto"/>
              <w:jc w:val="center"/>
              <w:rPr>
                <w:rFonts w:cs="Times New Roman"/>
                <w:color w:val="000000"/>
              </w:rPr>
            </w:pPr>
            <w:r w:rsidRPr="00F649A7">
              <w:rPr>
                <w:rFonts w:cs="Times New Roman"/>
                <w:color w:val="000000"/>
              </w:rPr>
              <w:t>92%</w:t>
            </w:r>
          </w:p>
        </w:tc>
        <w:tc>
          <w:tcPr>
            <w:tcW w:w="920" w:type="dxa"/>
            <w:tcBorders>
              <w:top w:val="nil"/>
              <w:left w:val="nil"/>
              <w:bottom w:val="nil"/>
              <w:right w:val="nil"/>
            </w:tcBorders>
            <w:shd w:val="clear" w:color="auto" w:fill="auto"/>
            <w:noWrap/>
            <w:vAlign w:val="bottom"/>
            <w:hideMark/>
          </w:tcPr>
          <w:p w14:paraId="0785A66C" w14:textId="77777777" w:rsidR="00043399" w:rsidRPr="00F649A7" w:rsidRDefault="00043399" w:rsidP="00E965BC">
            <w:pPr>
              <w:spacing w:line="240" w:lineRule="auto"/>
              <w:jc w:val="right"/>
              <w:rPr>
                <w:rFonts w:cs="Times New Roman"/>
                <w:color w:val="000000"/>
              </w:rPr>
            </w:pPr>
            <w:r w:rsidRPr="00F649A7">
              <w:rPr>
                <w:rFonts w:cs="Times New Roman"/>
                <w:color w:val="000000"/>
              </w:rPr>
              <w:t>30.0</w:t>
            </w:r>
          </w:p>
        </w:tc>
        <w:tc>
          <w:tcPr>
            <w:tcW w:w="626" w:type="dxa"/>
            <w:tcBorders>
              <w:top w:val="nil"/>
              <w:left w:val="nil"/>
              <w:bottom w:val="nil"/>
              <w:right w:val="nil"/>
            </w:tcBorders>
            <w:shd w:val="clear" w:color="auto" w:fill="auto"/>
            <w:noWrap/>
            <w:vAlign w:val="bottom"/>
            <w:hideMark/>
          </w:tcPr>
          <w:p w14:paraId="2D4E25C6" w14:textId="77777777" w:rsidR="00043399" w:rsidRPr="00F649A7" w:rsidRDefault="00043399" w:rsidP="00E965BC">
            <w:pPr>
              <w:spacing w:line="240" w:lineRule="auto"/>
              <w:rPr>
                <w:rFonts w:cs="Times New Roman"/>
                <w:color w:val="000000"/>
              </w:rPr>
            </w:pPr>
            <w:r w:rsidRPr="00F649A7">
              <w:rPr>
                <w:rFonts w:cs="Times New Roman"/>
                <w:color w:val="000000"/>
              </w:rPr>
              <w:t>***</w:t>
            </w:r>
          </w:p>
        </w:tc>
        <w:tc>
          <w:tcPr>
            <w:tcW w:w="920" w:type="dxa"/>
            <w:tcBorders>
              <w:top w:val="nil"/>
              <w:left w:val="nil"/>
              <w:bottom w:val="nil"/>
              <w:right w:val="nil"/>
            </w:tcBorders>
            <w:shd w:val="clear" w:color="auto" w:fill="auto"/>
            <w:vAlign w:val="bottom"/>
            <w:hideMark/>
          </w:tcPr>
          <w:p w14:paraId="2A0BDAAC" w14:textId="77777777" w:rsidR="00043399" w:rsidRPr="00F649A7" w:rsidRDefault="00043399" w:rsidP="00E965BC">
            <w:pPr>
              <w:spacing w:line="240" w:lineRule="auto"/>
              <w:jc w:val="center"/>
              <w:rPr>
                <w:rFonts w:cs="Times New Roman"/>
                <w:color w:val="000000"/>
              </w:rPr>
            </w:pPr>
            <w:r w:rsidRPr="00F649A7">
              <w:rPr>
                <w:rFonts w:cs="Times New Roman"/>
                <w:color w:val="000000"/>
              </w:rPr>
              <w:t>82%</w:t>
            </w:r>
          </w:p>
        </w:tc>
        <w:tc>
          <w:tcPr>
            <w:tcW w:w="723" w:type="dxa"/>
            <w:tcBorders>
              <w:top w:val="nil"/>
              <w:left w:val="nil"/>
              <w:bottom w:val="nil"/>
              <w:right w:val="nil"/>
            </w:tcBorders>
            <w:shd w:val="clear" w:color="auto" w:fill="auto"/>
            <w:noWrap/>
            <w:vAlign w:val="bottom"/>
            <w:hideMark/>
          </w:tcPr>
          <w:p w14:paraId="23D0C5BD" w14:textId="77777777" w:rsidR="00043399" w:rsidRPr="00F649A7" w:rsidRDefault="00043399" w:rsidP="00E965BC">
            <w:pPr>
              <w:spacing w:line="240" w:lineRule="auto"/>
              <w:jc w:val="right"/>
              <w:rPr>
                <w:rFonts w:cs="Times New Roman"/>
                <w:color w:val="000000"/>
              </w:rPr>
            </w:pPr>
            <w:r w:rsidRPr="00F649A7">
              <w:rPr>
                <w:rFonts w:cs="Times New Roman"/>
                <w:color w:val="000000"/>
              </w:rPr>
              <w:t>29.2</w:t>
            </w:r>
          </w:p>
        </w:tc>
        <w:tc>
          <w:tcPr>
            <w:tcW w:w="626" w:type="dxa"/>
            <w:tcBorders>
              <w:top w:val="nil"/>
              <w:left w:val="nil"/>
              <w:bottom w:val="nil"/>
              <w:right w:val="nil"/>
            </w:tcBorders>
            <w:shd w:val="clear" w:color="auto" w:fill="auto"/>
            <w:noWrap/>
            <w:vAlign w:val="bottom"/>
            <w:hideMark/>
          </w:tcPr>
          <w:p w14:paraId="1B3EA18E" w14:textId="77777777" w:rsidR="00043399" w:rsidRPr="00F649A7" w:rsidRDefault="00043399" w:rsidP="00E965BC">
            <w:pPr>
              <w:spacing w:line="240" w:lineRule="auto"/>
              <w:rPr>
                <w:rFonts w:cs="Times New Roman"/>
                <w:color w:val="000000"/>
              </w:rPr>
            </w:pPr>
            <w:r w:rsidRPr="00F649A7">
              <w:rPr>
                <w:rFonts w:cs="Times New Roman"/>
                <w:color w:val="000000"/>
              </w:rPr>
              <w:t>***</w:t>
            </w:r>
          </w:p>
        </w:tc>
        <w:tc>
          <w:tcPr>
            <w:tcW w:w="920" w:type="dxa"/>
            <w:tcBorders>
              <w:top w:val="nil"/>
              <w:left w:val="nil"/>
              <w:bottom w:val="nil"/>
              <w:right w:val="nil"/>
            </w:tcBorders>
            <w:shd w:val="clear" w:color="auto" w:fill="auto"/>
            <w:vAlign w:val="bottom"/>
            <w:hideMark/>
          </w:tcPr>
          <w:p w14:paraId="4CC87969" w14:textId="77777777" w:rsidR="00043399" w:rsidRPr="00F649A7" w:rsidRDefault="00043399" w:rsidP="00E965BC">
            <w:pPr>
              <w:spacing w:line="240" w:lineRule="auto"/>
              <w:jc w:val="center"/>
              <w:rPr>
                <w:rFonts w:cs="Times New Roman"/>
                <w:color w:val="000000"/>
              </w:rPr>
            </w:pPr>
            <w:r w:rsidRPr="00F649A7">
              <w:rPr>
                <w:rFonts w:cs="Times New Roman"/>
                <w:color w:val="000000"/>
              </w:rPr>
              <w:t>88%</w:t>
            </w:r>
          </w:p>
        </w:tc>
      </w:tr>
      <w:tr w:rsidR="00043399" w:rsidRPr="00F649A7" w14:paraId="0592339E" w14:textId="77777777" w:rsidTr="00E965BC">
        <w:trPr>
          <w:trHeight w:val="390"/>
        </w:trPr>
        <w:tc>
          <w:tcPr>
            <w:tcW w:w="2781" w:type="dxa"/>
            <w:tcBorders>
              <w:top w:val="single" w:sz="4" w:space="0" w:color="auto"/>
              <w:left w:val="nil"/>
              <w:bottom w:val="nil"/>
              <w:right w:val="nil"/>
            </w:tcBorders>
            <w:shd w:val="clear" w:color="auto" w:fill="auto"/>
            <w:noWrap/>
            <w:vAlign w:val="bottom"/>
            <w:hideMark/>
          </w:tcPr>
          <w:p w14:paraId="44C21378" w14:textId="77777777" w:rsidR="00043399" w:rsidRPr="00F649A7" w:rsidRDefault="00043399" w:rsidP="00E965BC">
            <w:pPr>
              <w:spacing w:line="240" w:lineRule="auto"/>
              <w:rPr>
                <w:rFonts w:cs="Times New Roman"/>
                <w:b/>
                <w:bCs/>
                <w:color w:val="000000"/>
              </w:rPr>
            </w:pPr>
            <w:r w:rsidRPr="00F649A7">
              <w:rPr>
                <w:rFonts w:cs="Times New Roman"/>
                <w:b/>
                <w:bCs/>
                <w:color w:val="000000"/>
              </w:rPr>
              <w:t>σ</w:t>
            </w:r>
            <w:r w:rsidRPr="00F649A7">
              <w:rPr>
                <w:rFonts w:cs="Times New Roman"/>
                <w:b/>
                <w:bCs/>
                <w:color w:val="000000"/>
                <w:vertAlign w:val="superscript"/>
              </w:rPr>
              <w:t>2</w:t>
            </w:r>
            <w:r w:rsidRPr="00F649A7">
              <w:rPr>
                <w:rFonts w:cs="Times New Roman"/>
                <w:b/>
                <w:bCs/>
                <w:color w:val="000000"/>
                <w:vertAlign w:val="subscript"/>
              </w:rPr>
              <w:t>A</w:t>
            </w:r>
          </w:p>
        </w:tc>
        <w:tc>
          <w:tcPr>
            <w:tcW w:w="936" w:type="dxa"/>
            <w:tcBorders>
              <w:top w:val="single" w:sz="4" w:space="0" w:color="auto"/>
              <w:left w:val="nil"/>
              <w:bottom w:val="nil"/>
              <w:right w:val="nil"/>
            </w:tcBorders>
            <w:shd w:val="clear" w:color="auto" w:fill="auto"/>
            <w:noWrap/>
            <w:vAlign w:val="bottom"/>
            <w:hideMark/>
          </w:tcPr>
          <w:p w14:paraId="6471B78F" w14:textId="77777777" w:rsidR="00043399" w:rsidRPr="00F649A7" w:rsidRDefault="00043399" w:rsidP="00E965BC">
            <w:pPr>
              <w:spacing w:line="240" w:lineRule="auto"/>
              <w:jc w:val="right"/>
              <w:rPr>
                <w:rFonts w:cs="Times New Roman"/>
                <w:color w:val="000000"/>
              </w:rPr>
            </w:pPr>
            <w:r w:rsidRPr="00F649A7">
              <w:rPr>
                <w:rFonts w:cs="Times New Roman"/>
                <w:color w:val="000000"/>
              </w:rPr>
              <w:t>21465</w:t>
            </w:r>
          </w:p>
        </w:tc>
        <w:tc>
          <w:tcPr>
            <w:tcW w:w="626" w:type="dxa"/>
            <w:tcBorders>
              <w:top w:val="single" w:sz="4" w:space="0" w:color="auto"/>
              <w:left w:val="nil"/>
              <w:bottom w:val="nil"/>
              <w:right w:val="nil"/>
            </w:tcBorders>
            <w:shd w:val="clear" w:color="auto" w:fill="auto"/>
            <w:noWrap/>
            <w:vAlign w:val="bottom"/>
            <w:hideMark/>
          </w:tcPr>
          <w:p w14:paraId="799BE866" w14:textId="77777777" w:rsidR="00043399" w:rsidRPr="00F649A7" w:rsidRDefault="00043399" w:rsidP="00E965BC">
            <w:pPr>
              <w:spacing w:line="240" w:lineRule="auto"/>
              <w:rPr>
                <w:rFonts w:cs="Times New Roman"/>
                <w:color w:val="000000"/>
              </w:rPr>
            </w:pPr>
            <w:r w:rsidRPr="00F649A7">
              <w:rPr>
                <w:rFonts w:cs="Times New Roman"/>
                <w:color w:val="000000"/>
              </w:rPr>
              <w:t> </w:t>
            </w:r>
          </w:p>
        </w:tc>
        <w:tc>
          <w:tcPr>
            <w:tcW w:w="920" w:type="dxa"/>
            <w:tcBorders>
              <w:top w:val="single" w:sz="4" w:space="0" w:color="auto"/>
              <w:left w:val="nil"/>
              <w:bottom w:val="nil"/>
              <w:right w:val="nil"/>
            </w:tcBorders>
            <w:shd w:val="clear" w:color="auto" w:fill="auto"/>
            <w:noWrap/>
            <w:vAlign w:val="bottom"/>
            <w:hideMark/>
          </w:tcPr>
          <w:p w14:paraId="6D2F9021" w14:textId="77777777" w:rsidR="00043399" w:rsidRPr="00F649A7" w:rsidRDefault="00043399" w:rsidP="00E965BC">
            <w:pPr>
              <w:spacing w:line="240" w:lineRule="auto"/>
              <w:jc w:val="right"/>
              <w:rPr>
                <w:rFonts w:cs="Times New Roman"/>
                <w:color w:val="000000"/>
              </w:rPr>
            </w:pPr>
            <w:r w:rsidRPr="00F649A7">
              <w:rPr>
                <w:rFonts w:cs="Times New Roman"/>
                <w:color w:val="000000"/>
              </w:rPr>
              <w:t>5%</w:t>
            </w:r>
          </w:p>
        </w:tc>
        <w:tc>
          <w:tcPr>
            <w:tcW w:w="1012" w:type="dxa"/>
            <w:tcBorders>
              <w:top w:val="single" w:sz="4" w:space="0" w:color="auto"/>
              <w:left w:val="nil"/>
              <w:bottom w:val="nil"/>
              <w:right w:val="nil"/>
            </w:tcBorders>
            <w:shd w:val="clear" w:color="auto" w:fill="auto"/>
            <w:noWrap/>
            <w:vAlign w:val="bottom"/>
            <w:hideMark/>
          </w:tcPr>
          <w:p w14:paraId="54B94496" w14:textId="77777777" w:rsidR="00043399" w:rsidRPr="00F649A7" w:rsidRDefault="00043399" w:rsidP="00E965BC">
            <w:pPr>
              <w:spacing w:line="240" w:lineRule="auto"/>
              <w:jc w:val="right"/>
              <w:rPr>
                <w:rFonts w:cs="Times New Roman"/>
                <w:color w:val="000000"/>
              </w:rPr>
            </w:pPr>
            <w:r w:rsidRPr="00F649A7">
              <w:rPr>
                <w:rFonts w:cs="Times New Roman"/>
                <w:color w:val="000000"/>
              </w:rPr>
              <w:t>785</w:t>
            </w:r>
          </w:p>
        </w:tc>
        <w:tc>
          <w:tcPr>
            <w:tcW w:w="626" w:type="dxa"/>
            <w:tcBorders>
              <w:top w:val="single" w:sz="4" w:space="0" w:color="auto"/>
              <w:left w:val="nil"/>
              <w:bottom w:val="nil"/>
              <w:right w:val="nil"/>
            </w:tcBorders>
            <w:shd w:val="clear" w:color="auto" w:fill="auto"/>
            <w:noWrap/>
            <w:vAlign w:val="bottom"/>
            <w:hideMark/>
          </w:tcPr>
          <w:p w14:paraId="62891F68" w14:textId="77777777" w:rsidR="00043399" w:rsidRPr="00F649A7" w:rsidRDefault="00043399" w:rsidP="00E965BC">
            <w:pPr>
              <w:spacing w:line="240" w:lineRule="auto"/>
              <w:rPr>
                <w:rFonts w:cs="Times New Roman"/>
                <w:color w:val="000000"/>
              </w:rPr>
            </w:pPr>
            <w:r w:rsidRPr="00F649A7">
              <w:rPr>
                <w:rFonts w:cs="Times New Roman"/>
                <w:color w:val="000000"/>
              </w:rPr>
              <w:t> </w:t>
            </w:r>
          </w:p>
        </w:tc>
        <w:tc>
          <w:tcPr>
            <w:tcW w:w="920" w:type="dxa"/>
            <w:tcBorders>
              <w:top w:val="single" w:sz="4" w:space="0" w:color="auto"/>
              <w:left w:val="nil"/>
              <w:bottom w:val="nil"/>
              <w:right w:val="nil"/>
            </w:tcBorders>
            <w:shd w:val="clear" w:color="auto" w:fill="auto"/>
            <w:noWrap/>
            <w:vAlign w:val="bottom"/>
            <w:hideMark/>
          </w:tcPr>
          <w:p w14:paraId="4186CEB8" w14:textId="77777777" w:rsidR="00043399" w:rsidRPr="00F649A7" w:rsidRDefault="00043399" w:rsidP="00E965BC">
            <w:pPr>
              <w:spacing w:line="240" w:lineRule="auto"/>
              <w:jc w:val="right"/>
              <w:rPr>
                <w:rFonts w:cs="Times New Roman"/>
                <w:color w:val="000000"/>
              </w:rPr>
            </w:pPr>
            <w:r w:rsidRPr="00F649A7">
              <w:rPr>
                <w:rFonts w:cs="Times New Roman"/>
                <w:color w:val="000000"/>
              </w:rPr>
              <w:t>2%</w:t>
            </w:r>
          </w:p>
        </w:tc>
        <w:tc>
          <w:tcPr>
            <w:tcW w:w="920" w:type="dxa"/>
            <w:tcBorders>
              <w:top w:val="single" w:sz="4" w:space="0" w:color="auto"/>
              <w:left w:val="nil"/>
              <w:bottom w:val="nil"/>
              <w:right w:val="nil"/>
            </w:tcBorders>
            <w:shd w:val="clear" w:color="auto" w:fill="auto"/>
            <w:noWrap/>
            <w:vAlign w:val="bottom"/>
            <w:hideMark/>
          </w:tcPr>
          <w:p w14:paraId="6BB53EEF" w14:textId="77777777" w:rsidR="00043399" w:rsidRPr="00F649A7" w:rsidRDefault="00043399" w:rsidP="00E965BC">
            <w:pPr>
              <w:spacing w:line="240" w:lineRule="auto"/>
              <w:jc w:val="right"/>
              <w:rPr>
                <w:rFonts w:cs="Times New Roman"/>
                <w:color w:val="000000"/>
              </w:rPr>
            </w:pPr>
            <w:r w:rsidRPr="00F649A7">
              <w:rPr>
                <w:rFonts w:cs="Times New Roman"/>
                <w:color w:val="000000"/>
              </w:rPr>
              <w:t>1</w:t>
            </w:r>
          </w:p>
        </w:tc>
        <w:tc>
          <w:tcPr>
            <w:tcW w:w="626" w:type="dxa"/>
            <w:tcBorders>
              <w:top w:val="single" w:sz="4" w:space="0" w:color="auto"/>
              <w:left w:val="nil"/>
              <w:bottom w:val="nil"/>
              <w:right w:val="nil"/>
            </w:tcBorders>
            <w:shd w:val="clear" w:color="auto" w:fill="auto"/>
            <w:noWrap/>
            <w:vAlign w:val="bottom"/>
            <w:hideMark/>
          </w:tcPr>
          <w:p w14:paraId="233C4BB7" w14:textId="77777777" w:rsidR="00043399" w:rsidRPr="00F649A7" w:rsidRDefault="00043399" w:rsidP="00E965BC">
            <w:pPr>
              <w:spacing w:line="240" w:lineRule="auto"/>
              <w:rPr>
                <w:rFonts w:cs="Times New Roman"/>
                <w:color w:val="000000"/>
              </w:rPr>
            </w:pPr>
            <w:r w:rsidRPr="00F649A7">
              <w:rPr>
                <w:rFonts w:cs="Times New Roman"/>
                <w:color w:val="000000"/>
              </w:rPr>
              <w:t> </w:t>
            </w:r>
          </w:p>
        </w:tc>
        <w:tc>
          <w:tcPr>
            <w:tcW w:w="920" w:type="dxa"/>
            <w:tcBorders>
              <w:top w:val="single" w:sz="4" w:space="0" w:color="auto"/>
              <w:left w:val="nil"/>
              <w:bottom w:val="nil"/>
              <w:right w:val="nil"/>
            </w:tcBorders>
            <w:shd w:val="clear" w:color="auto" w:fill="auto"/>
            <w:noWrap/>
            <w:vAlign w:val="bottom"/>
            <w:hideMark/>
          </w:tcPr>
          <w:p w14:paraId="5B316CBE" w14:textId="77777777" w:rsidR="00043399" w:rsidRPr="00F649A7" w:rsidRDefault="00043399" w:rsidP="00E965BC">
            <w:pPr>
              <w:spacing w:line="240" w:lineRule="auto"/>
              <w:jc w:val="right"/>
              <w:rPr>
                <w:rFonts w:cs="Times New Roman"/>
                <w:color w:val="000000"/>
              </w:rPr>
            </w:pPr>
            <w:r w:rsidRPr="00F649A7">
              <w:rPr>
                <w:rFonts w:cs="Times New Roman"/>
                <w:color w:val="000000"/>
              </w:rPr>
              <w:t>2%</w:t>
            </w:r>
          </w:p>
        </w:tc>
        <w:tc>
          <w:tcPr>
            <w:tcW w:w="723" w:type="dxa"/>
            <w:tcBorders>
              <w:top w:val="single" w:sz="4" w:space="0" w:color="auto"/>
              <w:left w:val="nil"/>
              <w:bottom w:val="nil"/>
              <w:right w:val="nil"/>
            </w:tcBorders>
            <w:shd w:val="clear" w:color="auto" w:fill="auto"/>
            <w:noWrap/>
            <w:vAlign w:val="bottom"/>
            <w:hideMark/>
          </w:tcPr>
          <w:p w14:paraId="122596E2" w14:textId="77777777" w:rsidR="00043399" w:rsidRPr="00F649A7" w:rsidRDefault="00043399" w:rsidP="00E965BC">
            <w:pPr>
              <w:spacing w:line="240" w:lineRule="auto"/>
              <w:jc w:val="right"/>
              <w:rPr>
                <w:rFonts w:cs="Times New Roman"/>
                <w:color w:val="000000"/>
              </w:rPr>
            </w:pPr>
            <w:r w:rsidRPr="00F649A7">
              <w:rPr>
                <w:rFonts w:cs="Times New Roman"/>
                <w:color w:val="000000"/>
              </w:rPr>
              <w:t>4</w:t>
            </w:r>
          </w:p>
        </w:tc>
        <w:tc>
          <w:tcPr>
            <w:tcW w:w="626" w:type="dxa"/>
            <w:tcBorders>
              <w:top w:val="single" w:sz="4" w:space="0" w:color="auto"/>
              <w:left w:val="nil"/>
              <w:bottom w:val="nil"/>
              <w:right w:val="nil"/>
            </w:tcBorders>
            <w:shd w:val="clear" w:color="auto" w:fill="auto"/>
            <w:noWrap/>
            <w:vAlign w:val="bottom"/>
            <w:hideMark/>
          </w:tcPr>
          <w:p w14:paraId="471A181E" w14:textId="77777777" w:rsidR="00043399" w:rsidRPr="00F649A7" w:rsidRDefault="00043399" w:rsidP="00E965BC">
            <w:pPr>
              <w:spacing w:line="240" w:lineRule="auto"/>
              <w:rPr>
                <w:rFonts w:cs="Times New Roman"/>
                <w:color w:val="000000"/>
              </w:rPr>
            </w:pPr>
            <w:r w:rsidRPr="00F649A7">
              <w:rPr>
                <w:rFonts w:cs="Times New Roman"/>
                <w:color w:val="000000"/>
              </w:rPr>
              <w:t> </w:t>
            </w:r>
          </w:p>
        </w:tc>
        <w:tc>
          <w:tcPr>
            <w:tcW w:w="920" w:type="dxa"/>
            <w:tcBorders>
              <w:top w:val="single" w:sz="4" w:space="0" w:color="auto"/>
              <w:left w:val="nil"/>
              <w:bottom w:val="nil"/>
              <w:right w:val="nil"/>
            </w:tcBorders>
            <w:shd w:val="clear" w:color="auto" w:fill="auto"/>
            <w:noWrap/>
            <w:vAlign w:val="bottom"/>
            <w:hideMark/>
          </w:tcPr>
          <w:p w14:paraId="4F1C23B2" w14:textId="77777777" w:rsidR="00043399" w:rsidRPr="00F649A7" w:rsidRDefault="00043399" w:rsidP="00E965BC">
            <w:pPr>
              <w:spacing w:line="240" w:lineRule="auto"/>
              <w:jc w:val="center"/>
              <w:rPr>
                <w:rFonts w:cs="Times New Roman"/>
                <w:color w:val="000000"/>
              </w:rPr>
            </w:pPr>
            <w:r w:rsidRPr="00F649A7">
              <w:rPr>
                <w:rFonts w:cs="Times New Roman"/>
                <w:color w:val="000000"/>
              </w:rPr>
              <w:t>10%</w:t>
            </w:r>
          </w:p>
        </w:tc>
      </w:tr>
      <w:tr w:rsidR="00043399" w:rsidRPr="00F649A7" w14:paraId="6AAC2262" w14:textId="77777777" w:rsidTr="00E965BC">
        <w:trPr>
          <w:trHeight w:val="390"/>
        </w:trPr>
        <w:tc>
          <w:tcPr>
            <w:tcW w:w="2781" w:type="dxa"/>
            <w:tcBorders>
              <w:top w:val="nil"/>
              <w:left w:val="nil"/>
              <w:bottom w:val="nil"/>
              <w:right w:val="nil"/>
            </w:tcBorders>
            <w:shd w:val="clear" w:color="auto" w:fill="auto"/>
            <w:noWrap/>
            <w:vAlign w:val="bottom"/>
            <w:hideMark/>
          </w:tcPr>
          <w:p w14:paraId="54D2E09B" w14:textId="77777777" w:rsidR="00043399" w:rsidRPr="00F649A7" w:rsidRDefault="00043399" w:rsidP="00E965BC">
            <w:pPr>
              <w:spacing w:line="240" w:lineRule="auto"/>
              <w:rPr>
                <w:rFonts w:cs="Times New Roman"/>
                <w:b/>
                <w:bCs/>
                <w:color w:val="000000"/>
              </w:rPr>
            </w:pPr>
            <w:r w:rsidRPr="00F649A7">
              <w:rPr>
                <w:rFonts w:cs="Times New Roman"/>
                <w:b/>
                <w:bCs/>
                <w:color w:val="000000"/>
              </w:rPr>
              <w:t>σ</w:t>
            </w:r>
            <w:r w:rsidRPr="00F649A7">
              <w:rPr>
                <w:rFonts w:cs="Times New Roman"/>
                <w:b/>
                <w:bCs/>
                <w:color w:val="000000"/>
                <w:vertAlign w:val="superscript"/>
              </w:rPr>
              <w:t>2</w:t>
            </w:r>
            <w:r w:rsidRPr="00F649A7">
              <w:rPr>
                <w:rFonts w:cs="Times New Roman"/>
                <w:b/>
                <w:bCs/>
                <w:color w:val="000000"/>
                <w:vertAlign w:val="subscript"/>
              </w:rPr>
              <w:t>D</w:t>
            </w:r>
          </w:p>
        </w:tc>
        <w:tc>
          <w:tcPr>
            <w:tcW w:w="936" w:type="dxa"/>
            <w:tcBorders>
              <w:top w:val="nil"/>
              <w:left w:val="nil"/>
              <w:bottom w:val="nil"/>
              <w:right w:val="nil"/>
            </w:tcBorders>
            <w:shd w:val="clear" w:color="auto" w:fill="auto"/>
            <w:noWrap/>
            <w:vAlign w:val="bottom"/>
            <w:hideMark/>
          </w:tcPr>
          <w:p w14:paraId="38FF7A98" w14:textId="77777777" w:rsidR="00043399" w:rsidRPr="00F649A7" w:rsidRDefault="00043399" w:rsidP="00E965BC">
            <w:pPr>
              <w:spacing w:line="240" w:lineRule="auto"/>
              <w:jc w:val="right"/>
              <w:rPr>
                <w:rFonts w:cs="Times New Roman"/>
                <w:color w:val="000000"/>
              </w:rPr>
            </w:pPr>
            <w:r w:rsidRPr="00F649A7">
              <w:rPr>
                <w:rFonts w:cs="Times New Roman"/>
                <w:color w:val="000000"/>
              </w:rPr>
              <w:t>56836</w:t>
            </w:r>
          </w:p>
        </w:tc>
        <w:tc>
          <w:tcPr>
            <w:tcW w:w="626" w:type="dxa"/>
            <w:tcBorders>
              <w:top w:val="nil"/>
              <w:left w:val="nil"/>
              <w:bottom w:val="nil"/>
              <w:right w:val="nil"/>
            </w:tcBorders>
            <w:shd w:val="clear" w:color="auto" w:fill="auto"/>
            <w:noWrap/>
            <w:vAlign w:val="bottom"/>
            <w:hideMark/>
          </w:tcPr>
          <w:p w14:paraId="3C0EDC5B" w14:textId="77777777" w:rsidR="00043399" w:rsidRPr="00F649A7" w:rsidRDefault="00043399" w:rsidP="00E965BC">
            <w:pPr>
              <w:spacing w:line="240" w:lineRule="auto"/>
              <w:rPr>
                <w:rFonts w:cs="Times New Roman"/>
                <w:color w:val="000000"/>
              </w:rPr>
            </w:pPr>
          </w:p>
        </w:tc>
        <w:tc>
          <w:tcPr>
            <w:tcW w:w="920" w:type="dxa"/>
            <w:tcBorders>
              <w:top w:val="nil"/>
              <w:left w:val="nil"/>
              <w:bottom w:val="nil"/>
              <w:right w:val="nil"/>
            </w:tcBorders>
            <w:shd w:val="clear" w:color="auto" w:fill="auto"/>
            <w:noWrap/>
            <w:vAlign w:val="bottom"/>
            <w:hideMark/>
          </w:tcPr>
          <w:p w14:paraId="21285F4F" w14:textId="77777777" w:rsidR="00043399" w:rsidRPr="00F649A7" w:rsidRDefault="00043399" w:rsidP="00E965BC">
            <w:pPr>
              <w:spacing w:line="240" w:lineRule="auto"/>
              <w:jc w:val="right"/>
              <w:rPr>
                <w:rFonts w:cs="Times New Roman"/>
                <w:color w:val="000000"/>
              </w:rPr>
            </w:pPr>
            <w:r w:rsidRPr="00F649A7">
              <w:rPr>
                <w:rFonts w:cs="Times New Roman"/>
                <w:color w:val="000000"/>
              </w:rPr>
              <w:t>14%</w:t>
            </w:r>
          </w:p>
        </w:tc>
        <w:tc>
          <w:tcPr>
            <w:tcW w:w="1012" w:type="dxa"/>
            <w:tcBorders>
              <w:top w:val="nil"/>
              <w:left w:val="nil"/>
              <w:bottom w:val="nil"/>
              <w:right w:val="nil"/>
            </w:tcBorders>
            <w:shd w:val="clear" w:color="auto" w:fill="auto"/>
            <w:noWrap/>
            <w:vAlign w:val="bottom"/>
            <w:hideMark/>
          </w:tcPr>
          <w:p w14:paraId="24DD21C8" w14:textId="77777777" w:rsidR="00043399" w:rsidRPr="00F649A7" w:rsidRDefault="00043399" w:rsidP="00E965BC">
            <w:pPr>
              <w:spacing w:line="240" w:lineRule="auto"/>
              <w:jc w:val="right"/>
              <w:rPr>
                <w:rFonts w:cs="Times New Roman"/>
                <w:color w:val="000000"/>
              </w:rPr>
            </w:pPr>
            <w:r w:rsidRPr="00F649A7">
              <w:rPr>
                <w:rFonts w:cs="Times New Roman"/>
                <w:color w:val="000000"/>
              </w:rPr>
              <w:t>7062</w:t>
            </w:r>
          </w:p>
        </w:tc>
        <w:tc>
          <w:tcPr>
            <w:tcW w:w="626" w:type="dxa"/>
            <w:tcBorders>
              <w:top w:val="nil"/>
              <w:left w:val="nil"/>
              <w:bottom w:val="nil"/>
              <w:right w:val="nil"/>
            </w:tcBorders>
            <w:shd w:val="clear" w:color="auto" w:fill="auto"/>
            <w:noWrap/>
            <w:vAlign w:val="bottom"/>
            <w:hideMark/>
          </w:tcPr>
          <w:p w14:paraId="5265C574" w14:textId="77777777" w:rsidR="00043399" w:rsidRPr="00F649A7" w:rsidRDefault="00043399" w:rsidP="00E965BC">
            <w:pPr>
              <w:spacing w:line="240" w:lineRule="auto"/>
              <w:rPr>
                <w:rFonts w:cs="Times New Roman"/>
                <w:color w:val="000000"/>
              </w:rPr>
            </w:pPr>
          </w:p>
        </w:tc>
        <w:tc>
          <w:tcPr>
            <w:tcW w:w="920" w:type="dxa"/>
            <w:tcBorders>
              <w:top w:val="nil"/>
              <w:left w:val="nil"/>
              <w:bottom w:val="nil"/>
              <w:right w:val="nil"/>
            </w:tcBorders>
            <w:shd w:val="clear" w:color="auto" w:fill="auto"/>
            <w:noWrap/>
            <w:vAlign w:val="bottom"/>
            <w:hideMark/>
          </w:tcPr>
          <w:p w14:paraId="2554DE24" w14:textId="77777777" w:rsidR="00043399" w:rsidRPr="00F649A7" w:rsidRDefault="00043399" w:rsidP="00E965BC">
            <w:pPr>
              <w:spacing w:line="240" w:lineRule="auto"/>
              <w:jc w:val="right"/>
              <w:rPr>
                <w:rFonts w:cs="Times New Roman"/>
                <w:color w:val="000000"/>
              </w:rPr>
            </w:pPr>
            <w:r w:rsidRPr="00F649A7">
              <w:rPr>
                <w:rFonts w:cs="Times New Roman"/>
                <w:color w:val="000000"/>
              </w:rPr>
              <w:t>15%</w:t>
            </w:r>
          </w:p>
        </w:tc>
        <w:tc>
          <w:tcPr>
            <w:tcW w:w="920" w:type="dxa"/>
            <w:tcBorders>
              <w:top w:val="nil"/>
              <w:left w:val="nil"/>
              <w:bottom w:val="nil"/>
              <w:right w:val="nil"/>
            </w:tcBorders>
            <w:shd w:val="clear" w:color="auto" w:fill="auto"/>
            <w:noWrap/>
            <w:vAlign w:val="bottom"/>
            <w:hideMark/>
          </w:tcPr>
          <w:p w14:paraId="43DACD3D" w14:textId="77777777" w:rsidR="00043399" w:rsidRPr="00F649A7" w:rsidRDefault="00043399" w:rsidP="00E965BC">
            <w:pPr>
              <w:spacing w:line="240" w:lineRule="auto"/>
              <w:jc w:val="right"/>
              <w:rPr>
                <w:rFonts w:cs="Times New Roman"/>
                <w:color w:val="000000"/>
              </w:rPr>
            </w:pPr>
            <w:r w:rsidRPr="00F649A7">
              <w:rPr>
                <w:rFonts w:cs="Times New Roman"/>
                <w:color w:val="000000"/>
              </w:rPr>
              <w:t>8</w:t>
            </w:r>
          </w:p>
        </w:tc>
        <w:tc>
          <w:tcPr>
            <w:tcW w:w="626" w:type="dxa"/>
            <w:tcBorders>
              <w:top w:val="nil"/>
              <w:left w:val="nil"/>
              <w:bottom w:val="nil"/>
              <w:right w:val="nil"/>
            </w:tcBorders>
            <w:shd w:val="clear" w:color="auto" w:fill="auto"/>
            <w:noWrap/>
            <w:vAlign w:val="bottom"/>
            <w:hideMark/>
          </w:tcPr>
          <w:p w14:paraId="3C0085E9" w14:textId="77777777" w:rsidR="00043399" w:rsidRPr="00F649A7" w:rsidRDefault="00043399" w:rsidP="00E965BC">
            <w:pPr>
              <w:spacing w:line="240" w:lineRule="auto"/>
              <w:rPr>
                <w:rFonts w:cs="Times New Roman"/>
                <w:color w:val="000000"/>
              </w:rPr>
            </w:pPr>
          </w:p>
        </w:tc>
        <w:tc>
          <w:tcPr>
            <w:tcW w:w="920" w:type="dxa"/>
            <w:tcBorders>
              <w:top w:val="nil"/>
              <w:left w:val="nil"/>
              <w:bottom w:val="nil"/>
              <w:right w:val="nil"/>
            </w:tcBorders>
            <w:shd w:val="clear" w:color="auto" w:fill="auto"/>
            <w:noWrap/>
            <w:vAlign w:val="bottom"/>
            <w:hideMark/>
          </w:tcPr>
          <w:p w14:paraId="7B1E12EF" w14:textId="77777777" w:rsidR="00043399" w:rsidRPr="00F649A7" w:rsidRDefault="00043399" w:rsidP="00E965BC">
            <w:pPr>
              <w:spacing w:line="240" w:lineRule="auto"/>
              <w:jc w:val="right"/>
              <w:rPr>
                <w:rFonts w:cs="Times New Roman"/>
                <w:color w:val="000000"/>
              </w:rPr>
            </w:pPr>
            <w:r w:rsidRPr="00F649A7">
              <w:rPr>
                <w:rFonts w:cs="Times New Roman"/>
                <w:color w:val="000000"/>
              </w:rPr>
              <w:t>20%</w:t>
            </w:r>
          </w:p>
        </w:tc>
        <w:tc>
          <w:tcPr>
            <w:tcW w:w="723" w:type="dxa"/>
            <w:tcBorders>
              <w:top w:val="nil"/>
              <w:left w:val="nil"/>
              <w:bottom w:val="nil"/>
              <w:right w:val="nil"/>
            </w:tcBorders>
            <w:shd w:val="clear" w:color="auto" w:fill="auto"/>
            <w:noWrap/>
            <w:vAlign w:val="bottom"/>
            <w:hideMark/>
          </w:tcPr>
          <w:p w14:paraId="4BC94C1E" w14:textId="77777777" w:rsidR="00043399" w:rsidRPr="00F649A7" w:rsidRDefault="00043399" w:rsidP="00E965BC">
            <w:pPr>
              <w:spacing w:line="240" w:lineRule="auto"/>
              <w:jc w:val="right"/>
              <w:rPr>
                <w:rFonts w:cs="Times New Roman"/>
                <w:color w:val="000000"/>
              </w:rPr>
            </w:pPr>
            <w:r w:rsidRPr="00F649A7">
              <w:rPr>
                <w:rFonts w:cs="Times New Roman"/>
                <w:color w:val="000000"/>
              </w:rPr>
              <w:t>9</w:t>
            </w:r>
          </w:p>
        </w:tc>
        <w:tc>
          <w:tcPr>
            <w:tcW w:w="626" w:type="dxa"/>
            <w:tcBorders>
              <w:top w:val="nil"/>
              <w:left w:val="nil"/>
              <w:bottom w:val="nil"/>
              <w:right w:val="nil"/>
            </w:tcBorders>
            <w:shd w:val="clear" w:color="auto" w:fill="auto"/>
            <w:noWrap/>
            <w:vAlign w:val="bottom"/>
            <w:hideMark/>
          </w:tcPr>
          <w:p w14:paraId="0479E6F4" w14:textId="77777777" w:rsidR="00043399" w:rsidRPr="00F649A7" w:rsidRDefault="00043399" w:rsidP="00E965BC">
            <w:pPr>
              <w:spacing w:line="240" w:lineRule="auto"/>
              <w:rPr>
                <w:rFonts w:cs="Times New Roman"/>
                <w:color w:val="000000"/>
              </w:rPr>
            </w:pPr>
          </w:p>
        </w:tc>
        <w:tc>
          <w:tcPr>
            <w:tcW w:w="920" w:type="dxa"/>
            <w:tcBorders>
              <w:top w:val="nil"/>
              <w:left w:val="nil"/>
              <w:bottom w:val="nil"/>
              <w:right w:val="nil"/>
            </w:tcBorders>
            <w:shd w:val="clear" w:color="auto" w:fill="auto"/>
            <w:noWrap/>
            <w:vAlign w:val="bottom"/>
            <w:hideMark/>
          </w:tcPr>
          <w:p w14:paraId="539DE021" w14:textId="77777777" w:rsidR="00043399" w:rsidRPr="00F649A7" w:rsidRDefault="00043399" w:rsidP="00E965BC">
            <w:pPr>
              <w:spacing w:line="240" w:lineRule="auto"/>
              <w:jc w:val="center"/>
              <w:rPr>
                <w:rFonts w:cs="Times New Roman"/>
                <w:color w:val="000000"/>
              </w:rPr>
            </w:pPr>
            <w:r w:rsidRPr="00F649A7">
              <w:rPr>
                <w:rFonts w:cs="Times New Roman"/>
                <w:color w:val="000000"/>
              </w:rPr>
              <w:t>21%</w:t>
            </w:r>
          </w:p>
        </w:tc>
      </w:tr>
      <w:tr w:rsidR="00043399" w:rsidRPr="00F649A7" w14:paraId="51E39ABA" w14:textId="77777777" w:rsidTr="00E965BC">
        <w:trPr>
          <w:trHeight w:val="390"/>
        </w:trPr>
        <w:tc>
          <w:tcPr>
            <w:tcW w:w="2781" w:type="dxa"/>
            <w:tcBorders>
              <w:top w:val="nil"/>
              <w:left w:val="nil"/>
              <w:bottom w:val="nil"/>
              <w:right w:val="nil"/>
            </w:tcBorders>
            <w:shd w:val="clear" w:color="auto" w:fill="auto"/>
            <w:noWrap/>
            <w:vAlign w:val="bottom"/>
            <w:hideMark/>
          </w:tcPr>
          <w:p w14:paraId="68B005FB" w14:textId="77777777" w:rsidR="00043399" w:rsidRPr="00F649A7" w:rsidRDefault="00043399" w:rsidP="00E965BC">
            <w:pPr>
              <w:spacing w:line="240" w:lineRule="auto"/>
              <w:rPr>
                <w:rFonts w:cs="Times New Roman"/>
                <w:b/>
                <w:bCs/>
                <w:color w:val="000000"/>
              </w:rPr>
            </w:pPr>
            <w:r w:rsidRPr="00F649A7">
              <w:rPr>
                <w:rFonts w:cs="Times New Roman"/>
                <w:b/>
                <w:bCs/>
                <w:color w:val="000000"/>
              </w:rPr>
              <w:t>σ</w:t>
            </w:r>
            <w:r w:rsidRPr="00F649A7">
              <w:rPr>
                <w:rFonts w:cs="Times New Roman"/>
                <w:b/>
                <w:bCs/>
                <w:color w:val="000000"/>
                <w:vertAlign w:val="superscript"/>
              </w:rPr>
              <w:t>2</w:t>
            </w:r>
            <w:r w:rsidRPr="00F649A7">
              <w:rPr>
                <w:rFonts w:cs="Times New Roman"/>
                <w:b/>
                <w:bCs/>
                <w:color w:val="000000"/>
                <w:vertAlign w:val="subscript"/>
              </w:rPr>
              <w:t>P</w:t>
            </w:r>
          </w:p>
        </w:tc>
        <w:tc>
          <w:tcPr>
            <w:tcW w:w="936" w:type="dxa"/>
            <w:tcBorders>
              <w:top w:val="nil"/>
              <w:left w:val="nil"/>
              <w:bottom w:val="nil"/>
              <w:right w:val="nil"/>
            </w:tcBorders>
            <w:shd w:val="clear" w:color="auto" w:fill="auto"/>
            <w:noWrap/>
            <w:vAlign w:val="bottom"/>
            <w:hideMark/>
          </w:tcPr>
          <w:p w14:paraId="43E25C1A" w14:textId="77777777" w:rsidR="00043399" w:rsidRPr="00F649A7" w:rsidRDefault="00043399" w:rsidP="00E965BC">
            <w:pPr>
              <w:spacing w:line="240" w:lineRule="auto"/>
              <w:jc w:val="right"/>
              <w:rPr>
                <w:rFonts w:cs="Times New Roman"/>
                <w:color w:val="000000"/>
              </w:rPr>
            </w:pPr>
            <w:r w:rsidRPr="00F649A7">
              <w:rPr>
                <w:rFonts w:cs="Times New Roman"/>
                <w:color w:val="000000"/>
              </w:rPr>
              <w:t>404065</w:t>
            </w:r>
          </w:p>
        </w:tc>
        <w:tc>
          <w:tcPr>
            <w:tcW w:w="626" w:type="dxa"/>
            <w:tcBorders>
              <w:top w:val="nil"/>
              <w:left w:val="nil"/>
              <w:bottom w:val="nil"/>
              <w:right w:val="nil"/>
            </w:tcBorders>
            <w:shd w:val="clear" w:color="auto" w:fill="auto"/>
            <w:noWrap/>
            <w:vAlign w:val="bottom"/>
            <w:hideMark/>
          </w:tcPr>
          <w:p w14:paraId="5DF43D31" w14:textId="77777777" w:rsidR="00043399" w:rsidRPr="00F649A7" w:rsidRDefault="00043399" w:rsidP="00E965BC">
            <w:pPr>
              <w:spacing w:line="240" w:lineRule="auto"/>
              <w:rPr>
                <w:rFonts w:cs="Times New Roman"/>
                <w:color w:val="000000"/>
              </w:rPr>
            </w:pPr>
          </w:p>
        </w:tc>
        <w:tc>
          <w:tcPr>
            <w:tcW w:w="920" w:type="dxa"/>
            <w:tcBorders>
              <w:top w:val="nil"/>
              <w:left w:val="nil"/>
              <w:bottom w:val="nil"/>
              <w:right w:val="nil"/>
            </w:tcBorders>
            <w:shd w:val="clear" w:color="auto" w:fill="auto"/>
            <w:noWrap/>
            <w:vAlign w:val="bottom"/>
            <w:hideMark/>
          </w:tcPr>
          <w:p w14:paraId="7DDC6247" w14:textId="77777777" w:rsidR="00043399" w:rsidRPr="00F649A7" w:rsidRDefault="00043399" w:rsidP="00E965BC">
            <w:pPr>
              <w:spacing w:line="240" w:lineRule="auto"/>
              <w:rPr>
                <w:rFonts w:cs="Times New Roman"/>
                <w:color w:val="000000"/>
              </w:rPr>
            </w:pPr>
          </w:p>
        </w:tc>
        <w:tc>
          <w:tcPr>
            <w:tcW w:w="1012" w:type="dxa"/>
            <w:tcBorders>
              <w:top w:val="nil"/>
              <w:left w:val="nil"/>
              <w:bottom w:val="nil"/>
              <w:right w:val="nil"/>
            </w:tcBorders>
            <w:shd w:val="clear" w:color="auto" w:fill="auto"/>
            <w:noWrap/>
            <w:vAlign w:val="bottom"/>
            <w:hideMark/>
          </w:tcPr>
          <w:p w14:paraId="0AB34A10" w14:textId="77777777" w:rsidR="00043399" w:rsidRPr="00F649A7" w:rsidRDefault="00043399" w:rsidP="00E965BC">
            <w:pPr>
              <w:spacing w:line="240" w:lineRule="auto"/>
              <w:jc w:val="right"/>
              <w:rPr>
                <w:rFonts w:cs="Times New Roman"/>
                <w:color w:val="000000"/>
              </w:rPr>
            </w:pPr>
            <w:r w:rsidRPr="00F649A7">
              <w:rPr>
                <w:rFonts w:cs="Times New Roman"/>
                <w:color w:val="000000"/>
              </w:rPr>
              <w:t>45765</w:t>
            </w:r>
          </w:p>
        </w:tc>
        <w:tc>
          <w:tcPr>
            <w:tcW w:w="626" w:type="dxa"/>
            <w:tcBorders>
              <w:top w:val="nil"/>
              <w:left w:val="nil"/>
              <w:bottom w:val="nil"/>
              <w:right w:val="nil"/>
            </w:tcBorders>
            <w:shd w:val="clear" w:color="auto" w:fill="auto"/>
            <w:noWrap/>
            <w:vAlign w:val="bottom"/>
            <w:hideMark/>
          </w:tcPr>
          <w:p w14:paraId="1B2CFC7D" w14:textId="77777777" w:rsidR="00043399" w:rsidRPr="00F649A7" w:rsidRDefault="00043399" w:rsidP="00E965BC">
            <w:pPr>
              <w:spacing w:line="240" w:lineRule="auto"/>
              <w:rPr>
                <w:rFonts w:cs="Times New Roman"/>
                <w:color w:val="000000"/>
              </w:rPr>
            </w:pPr>
          </w:p>
        </w:tc>
        <w:tc>
          <w:tcPr>
            <w:tcW w:w="920" w:type="dxa"/>
            <w:tcBorders>
              <w:top w:val="nil"/>
              <w:left w:val="nil"/>
              <w:bottom w:val="nil"/>
              <w:right w:val="nil"/>
            </w:tcBorders>
            <w:shd w:val="clear" w:color="auto" w:fill="auto"/>
            <w:noWrap/>
            <w:vAlign w:val="bottom"/>
            <w:hideMark/>
          </w:tcPr>
          <w:p w14:paraId="27DF157D" w14:textId="77777777" w:rsidR="00043399" w:rsidRPr="00F649A7" w:rsidRDefault="00043399" w:rsidP="00E965BC">
            <w:pPr>
              <w:spacing w:line="240" w:lineRule="auto"/>
              <w:rPr>
                <w:rFonts w:cs="Times New Roman"/>
                <w:color w:val="000000"/>
              </w:rPr>
            </w:pPr>
          </w:p>
        </w:tc>
        <w:tc>
          <w:tcPr>
            <w:tcW w:w="920" w:type="dxa"/>
            <w:tcBorders>
              <w:top w:val="nil"/>
              <w:left w:val="nil"/>
              <w:bottom w:val="nil"/>
              <w:right w:val="nil"/>
            </w:tcBorders>
            <w:shd w:val="clear" w:color="auto" w:fill="auto"/>
            <w:noWrap/>
            <w:vAlign w:val="bottom"/>
            <w:hideMark/>
          </w:tcPr>
          <w:p w14:paraId="34481A3A" w14:textId="77777777" w:rsidR="00043399" w:rsidRPr="00F649A7" w:rsidRDefault="00043399" w:rsidP="00E965BC">
            <w:pPr>
              <w:spacing w:line="240" w:lineRule="auto"/>
              <w:jc w:val="right"/>
              <w:rPr>
                <w:rFonts w:cs="Times New Roman"/>
                <w:color w:val="000000"/>
              </w:rPr>
            </w:pPr>
            <w:r w:rsidRPr="00F649A7">
              <w:rPr>
                <w:rFonts w:cs="Times New Roman"/>
                <w:color w:val="000000"/>
              </w:rPr>
              <w:t>39</w:t>
            </w:r>
          </w:p>
        </w:tc>
        <w:tc>
          <w:tcPr>
            <w:tcW w:w="626" w:type="dxa"/>
            <w:tcBorders>
              <w:top w:val="nil"/>
              <w:left w:val="nil"/>
              <w:bottom w:val="nil"/>
              <w:right w:val="nil"/>
            </w:tcBorders>
            <w:shd w:val="clear" w:color="auto" w:fill="auto"/>
            <w:noWrap/>
            <w:vAlign w:val="bottom"/>
            <w:hideMark/>
          </w:tcPr>
          <w:p w14:paraId="4D22F74A" w14:textId="77777777" w:rsidR="00043399" w:rsidRPr="00F649A7" w:rsidRDefault="00043399" w:rsidP="00E965BC">
            <w:pPr>
              <w:spacing w:line="240" w:lineRule="auto"/>
              <w:rPr>
                <w:rFonts w:cs="Times New Roman"/>
                <w:color w:val="000000"/>
              </w:rPr>
            </w:pPr>
          </w:p>
        </w:tc>
        <w:tc>
          <w:tcPr>
            <w:tcW w:w="920" w:type="dxa"/>
            <w:tcBorders>
              <w:top w:val="nil"/>
              <w:left w:val="nil"/>
              <w:bottom w:val="nil"/>
              <w:right w:val="nil"/>
            </w:tcBorders>
            <w:shd w:val="clear" w:color="auto" w:fill="auto"/>
            <w:noWrap/>
            <w:vAlign w:val="bottom"/>
            <w:hideMark/>
          </w:tcPr>
          <w:p w14:paraId="5175B204" w14:textId="77777777" w:rsidR="00043399" w:rsidRPr="00F649A7" w:rsidRDefault="00043399" w:rsidP="00E965BC">
            <w:pPr>
              <w:spacing w:line="240" w:lineRule="auto"/>
              <w:rPr>
                <w:rFonts w:cs="Times New Roman"/>
                <w:color w:val="000000"/>
              </w:rPr>
            </w:pPr>
          </w:p>
        </w:tc>
        <w:tc>
          <w:tcPr>
            <w:tcW w:w="723" w:type="dxa"/>
            <w:tcBorders>
              <w:top w:val="nil"/>
              <w:left w:val="nil"/>
              <w:bottom w:val="nil"/>
              <w:right w:val="nil"/>
            </w:tcBorders>
            <w:shd w:val="clear" w:color="auto" w:fill="auto"/>
            <w:noWrap/>
            <w:vAlign w:val="bottom"/>
            <w:hideMark/>
          </w:tcPr>
          <w:p w14:paraId="2B3B1F04" w14:textId="77777777" w:rsidR="00043399" w:rsidRPr="00F649A7" w:rsidRDefault="00043399" w:rsidP="00E965BC">
            <w:pPr>
              <w:spacing w:line="240" w:lineRule="auto"/>
              <w:jc w:val="right"/>
              <w:rPr>
                <w:rFonts w:cs="Times New Roman"/>
                <w:color w:val="000000"/>
              </w:rPr>
            </w:pPr>
            <w:r w:rsidRPr="00F649A7">
              <w:rPr>
                <w:rFonts w:cs="Times New Roman"/>
                <w:color w:val="000000"/>
              </w:rPr>
              <w:t>42</w:t>
            </w:r>
          </w:p>
        </w:tc>
        <w:tc>
          <w:tcPr>
            <w:tcW w:w="626" w:type="dxa"/>
            <w:tcBorders>
              <w:top w:val="nil"/>
              <w:left w:val="nil"/>
              <w:bottom w:val="nil"/>
              <w:right w:val="nil"/>
            </w:tcBorders>
            <w:shd w:val="clear" w:color="auto" w:fill="auto"/>
            <w:noWrap/>
            <w:vAlign w:val="bottom"/>
            <w:hideMark/>
          </w:tcPr>
          <w:p w14:paraId="1621B4F2" w14:textId="77777777" w:rsidR="00043399" w:rsidRPr="00F649A7" w:rsidRDefault="00043399" w:rsidP="00E965BC">
            <w:pPr>
              <w:spacing w:line="240" w:lineRule="auto"/>
              <w:rPr>
                <w:rFonts w:cs="Times New Roman"/>
                <w:color w:val="000000"/>
              </w:rPr>
            </w:pPr>
          </w:p>
        </w:tc>
        <w:tc>
          <w:tcPr>
            <w:tcW w:w="920" w:type="dxa"/>
            <w:tcBorders>
              <w:top w:val="nil"/>
              <w:left w:val="nil"/>
              <w:bottom w:val="nil"/>
              <w:right w:val="nil"/>
            </w:tcBorders>
            <w:shd w:val="clear" w:color="auto" w:fill="auto"/>
            <w:noWrap/>
            <w:vAlign w:val="bottom"/>
            <w:hideMark/>
          </w:tcPr>
          <w:p w14:paraId="26276F3F" w14:textId="77777777" w:rsidR="00043399" w:rsidRPr="00F649A7" w:rsidRDefault="00043399" w:rsidP="00E965BC">
            <w:pPr>
              <w:spacing w:line="240" w:lineRule="auto"/>
              <w:jc w:val="center"/>
              <w:rPr>
                <w:rFonts w:cs="Times New Roman"/>
                <w:color w:val="000000"/>
              </w:rPr>
            </w:pPr>
          </w:p>
        </w:tc>
      </w:tr>
      <w:tr w:rsidR="00043399" w:rsidRPr="00F649A7" w14:paraId="56D8F5DB" w14:textId="77777777" w:rsidTr="00E965BC">
        <w:trPr>
          <w:trHeight w:val="390"/>
        </w:trPr>
        <w:tc>
          <w:tcPr>
            <w:tcW w:w="2781" w:type="dxa"/>
            <w:tcBorders>
              <w:top w:val="nil"/>
              <w:left w:val="nil"/>
              <w:bottom w:val="nil"/>
              <w:right w:val="nil"/>
            </w:tcBorders>
            <w:shd w:val="clear" w:color="auto" w:fill="auto"/>
            <w:noWrap/>
            <w:vAlign w:val="bottom"/>
            <w:hideMark/>
          </w:tcPr>
          <w:p w14:paraId="23B3BF6B" w14:textId="77777777" w:rsidR="00043399" w:rsidRPr="00F649A7" w:rsidRDefault="00043399" w:rsidP="00E965BC">
            <w:pPr>
              <w:spacing w:line="240" w:lineRule="auto"/>
              <w:rPr>
                <w:rFonts w:cs="Times New Roman"/>
                <w:b/>
                <w:bCs/>
                <w:color w:val="000000"/>
              </w:rPr>
            </w:pPr>
            <w:r w:rsidRPr="00F649A7">
              <w:rPr>
                <w:rFonts w:cs="Times New Roman"/>
                <w:b/>
                <w:bCs/>
                <w:color w:val="000000"/>
              </w:rPr>
              <w:t>h</w:t>
            </w:r>
            <w:r w:rsidRPr="00F649A7">
              <w:rPr>
                <w:rFonts w:cs="Times New Roman"/>
                <w:b/>
                <w:bCs/>
                <w:color w:val="000000"/>
                <w:vertAlign w:val="superscript"/>
              </w:rPr>
              <w:t>2</w:t>
            </w:r>
            <w:r w:rsidRPr="00F649A7">
              <w:rPr>
                <w:rFonts w:cs="Times New Roman"/>
                <w:b/>
                <w:bCs/>
                <w:color w:val="000000"/>
                <w:vertAlign w:val="subscript"/>
              </w:rPr>
              <w:t>i</w:t>
            </w:r>
          </w:p>
        </w:tc>
        <w:tc>
          <w:tcPr>
            <w:tcW w:w="936" w:type="dxa"/>
            <w:tcBorders>
              <w:top w:val="nil"/>
              <w:left w:val="nil"/>
              <w:bottom w:val="nil"/>
              <w:right w:val="nil"/>
            </w:tcBorders>
            <w:shd w:val="clear" w:color="auto" w:fill="auto"/>
            <w:noWrap/>
            <w:vAlign w:val="bottom"/>
            <w:hideMark/>
          </w:tcPr>
          <w:p w14:paraId="41C32A49" w14:textId="77777777" w:rsidR="00043399" w:rsidRPr="00F649A7" w:rsidRDefault="00043399" w:rsidP="00E965BC">
            <w:pPr>
              <w:spacing w:line="240" w:lineRule="auto"/>
              <w:jc w:val="right"/>
              <w:rPr>
                <w:rFonts w:cs="Times New Roman"/>
                <w:color w:val="000000"/>
              </w:rPr>
            </w:pPr>
            <w:r w:rsidRPr="00F649A7">
              <w:rPr>
                <w:rFonts w:cs="Times New Roman"/>
                <w:color w:val="000000"/>
              </w:rPr>
              <w:t>0.05</w:t>
            </w:r>
          </w:p>
        </w:tc>
        <w:tc>
          <w:tcPr>
            <w:tcW w:w="626" w:type="dxa"/>
            <w:tcBorders>
              <w:top w:val="nil"/>
              <w:left w:val="nil"/>
              <w:bottom w:val="nil"/>
              <w:right w:val="nil"/>
            </w:tcBorders>
            <w:shd w:val="clear" w:color="auto" w:fill="auto"/>
            <w:noWrap/>
            <w:vAlign w:val="bottom"/>
            <w:hideMark/>
          </w:tcPr>
          <w:p w14:paraId="773A181F" w14:textId="77777777" w:rsidR="00043399" w:rsidRPr="00F649A7" w:rsidRDefault="00043399" w:rsidP="00E965BC">
            <w:pPr>
              <w:spacing w:line="240" w:lineRule="auto"/>
              <w:rPr>
                <w:rFonts w:cs="Times New Roman"/>
                <w:color w:val="000000"/>
              </w:rPr>
            </w:pPr>
          </w:p>
        </w:tc>
        <w:tc>
          <w:tcPr>
            <w:tcW w:w="920" w:type="dxa"/>
            <w:tcBorders>
              <w:top w:val="nil"/>
              <w:left w:val="nil"/>
              <w:bottom w:val="nil"/>
              <w:right w:val="nil"/>
            </w:tcBorders>
            <w:shd w:val="clear" w:color="auto" w:fill="auto"/>
            <w:noWrap/>
            <w:vAlign w:val="bottom"/>
            <w:hideMark/>
          </w:tcPr>
          <w:p w14:paraId="0ABC42CB" w14:textId="77777777" w:rsidR="00043399" w:rsidRPr="00F649A7" w:rsidRDefault="00043399" w:rsidP="00E965BC">
            <w:pPr>
              <w:spacing w:line="240" w:lineRule="auto"/>
              <w:rPr>
                <w:rFonts w:cs="Times New Roman"/>
                <w:color w:val="000000"/>
              </w:rPr>
            </w:pPr>
          </w:p>
        </w:tc>
        <w:tc>
          <w:tcPr>
            <w:tcW w:w="1012" w:type="dxa"/>
            <w:tcBorders>
              <w:top w:val="nil"/>
              <w:left w:val="nil"/>
              <w:bottom w:val="nil"/>
              <w:right w:val="nil"/>
            </w:tcBorders>
            <w:shd w:val="clear" w:color="auto" w:fill="auto"/>
            <w:noWrap/>
            <w:vAlign w:val="bottom"/>
            <w:hideMark/>
          </w:tcPr>
          <w:p w14:paraId="735B1E04" w14:textId="77777777" w:rsidR="00043399" w:rsidRPr="00F649A7" w:rsidRDefault="00043399" w:rsidP="00E965BC">
            <w:pPr>
              <w:spacing w:line="240" w:lineRule="auto"/>
              <w:jc w:val="right"/>
              <w:rPr>
                <w:rFonts w:cs="Times New Roman"/>
                <w:color w:val="000000"/>
              </w:rPr>
            </w:pPr>
            <w:r w:rsidRPr="00F649A7">
              <w:rPr>
                <w:rFonts w:cs="Times New Roman"/>
                <w:color w:val="000000"/>
              </w:rPr>
              <w:t>0.02</w:t>
            </w:r>
          </w:p>
        </w:tc>
        <w:tc>
          <w:tcPr>
            <w:tcW w:w="626" w:type="dxa"/>
            <w:tcBorders>
              <w:top w:val="nil"/>
              <w:left w:val="nil"/>
              <w:bottom w:val="nil"/>
              <w:right w:val="nil"/>
            </w:tcBorders>
            <w:shd w:val="clear" w:color="auto" w:fill="auto"/>
            <w:noWrap/>
            <w:vAlign w:val="bottom"/>
            <w:hideMark/>
          </w:tcPr>
          <w:p w14:paraId="099B691B" w14:textId="77777777" w:rsidR="00043399" w:rsidRPr="00F649A7" w:rsidRDefault="00043399" w:rsidP="00E965BC">
            <w:pPr>
              <w:spacing w:line="240" w:lineRule="auto"/>
              <w:rPr>
                <w:rFonts w:cs="Times New Roman"/>
                <w:color w:val="000000"/>
              </w:rPr>
            </w:pPr>
          </w:p>
        </w:tc>
        <w:tc>
          <w:tcPr>
            <w:tcW w:w="920" w:type="dxa"/>
            <w:tcBorders>
              <w:top w:val="nil"/>
              <w:left w:val="nil"/>
              <w:bottom w:val="nil"/>
              <w:right w:val="nil"/>
            </w:tcBorders>
            <w:shd w:val="clear" w:color="auto" w:fill="auto"/>
            <w:noWrap/>
            <w:vAlign w:val="bottom"/>
            <w:hideMark/>
          </w:tcPr>
          <w:p w14:paraId="2A1BE8C8" w14:textId="77777777" w:rsidR="00043399" w:rsidRPr="00F649A7" w:rsidRDefault="00043399" w:rsidP="00E965BC">
            <w:pPr>
              <w:spacing w:line="240" w:lineRule="auto"/>
              <w:rPr>
                <w:rFonts w:cs="Times New Roman"/>
                <w:color w:val="000000"/>
              </w:rPr>
            </w:pPr>
          </w:p>
        </w:tc>
        <w:tc>
          <w:tcPr>
            <w:tcW w:w="920" w:type="dxa"/>
            <w:tcBorders>
              <w:top w:val="nil"/>
              <w:left w:val="nil"/>
              <w:bottom w:val="nil"/>
              <w:right w:val="nil"/>
            </w:tcBorders>
            <w:shd w:val="clear" w:color="auto" w:fill="auto"/>
            <w:noWrap/>
            <w:vAlign w:val="bottom"/>
            <w:hideMark/>
          </w:tcPr>
          <w:p w14:paraId="0BBE0E6F" w14:textId="77777777" w:rsidR="00043399" w:rsidRPr="00F649A7" w:rsidRDefault="00043399" w:rsidP="00E965BC">
            <w:pPr>
              <w:spacing w:line="240" w:lineRule="auto"/>
              <w:jc w:val="right"/>
              <w:rPr>
                <w:rFonts w:cs="Times New Roman"/>
                <w:color w:val="000000"/>
              </w:rPr>
            </w:pPr>
            <w:r w:rsidRPr="00F649A7">
              <w:rPr>
                <w:rFonts w:cs="Times New Roman"/>
                <w:color w:val="000000"/>
              </w:rPr>
              <w:t>0.02</w:t>
            </w:r>
          </w:p>
        </w:tc>
        <w:tc>
          <w:tcPr>
            <w:tcW w:w="626" w:type="dxa"/>
            <w:tcBorders>
              <w:top w:val="nil"/>
              <w:left w:val="nil"/>
              <w:bottom w:val="nil"/>
              <w:right w:val="nil"/>
            </w:tcBorders>
            <w:shd w:val="clear" w:color="auto" w:fill="auto"/>
            <w:noWrap/>
            <w:vAlign w:val="bottom"/>
            <w:hideMark/>
          </w:tcPr>
          <w:p w14:paraId="153C80A2" w14:textId="77777777" w:rsidR="00043399" w:rsidRPr="00F649A7" w:rsidRDefault="00043399" w:rsidP="00E965BC">
            <w:pPr>
              <w:spacing w:line="240" w:lineRule="auto"/>
              <w:rPr>
                <w:rFonts w:cs="Times New Roman"/>
                <w:color w:val="000000"/>
              </w:rPr>
            </w:pPr>
          </w:p>
        </w:tc>
        <w:tc>
          <w:tcPr>
            <w:tcW w:w="920" w:type="dxa"/>
            <w:tcBorders>
              <w:top w:val="nil"/>
              <w:left w:val="nil"/>
              <w:bottom w:val="nil"/>
              <w:right w:val="nil"/>
            </w:tcBorders>
            <w:shd w:val="clear" w:color="auto" w:fill="auto"/>
            <w:noWrap/>
            <w:vAlign w:val="bottom"/>
            <w:hideMark/>
          </w:tcPr>
          <w:p w14:paraId="4D1F8531" w14:textId="77777777" w:rsidR="00043399" w:rsidRPr="00F649A7" w:rsidRDefault="00043399" w:rsidP="00E965BC">
            <w:pPr>
              <w:spacing w:line="240" w:lineRule="auto"/>
              <w:rPr>
                <w:rFonts w:cs="Times New Roman"/>
                <w:color w:val="000000"/>
              </w:rPr>
            </w:pPr>
          </w:p>
        </w:tc>
        <w:tc>
          <w:tcPr>
            <w:tcW w:w="723" w:type="dxa"/>
            <w:tcBorders>
              <w:top w:val="nil"/>
              <w:left w:val="nil"/>
              <w:bottom w:val="nil"/>
              <w:right w:val="nil"/>
            </w:tcBorders>
            <w:shd w:val="clear" w:color="auto" w:fill="auto"/>
            <w:noWrap/>
            <w:vAlign w:val="bottom"/>
            <w:hideMark/>
          </w:tcPr>
          <w:p w14:paraId="4D45876F" w14:textId="77777777" w:rsidR="00043399" w:rsidRPr="00F649A7" w:rsidRDefault="00043399" w:rsidP="00E965BC">
            <w:pPr>
              <w:spacing w:line="240" w:lineRule="auto"/>
              <w:jc w:val="right"/>
              <w:rPr>
                <w:rFonts w:cs="Times New Roman"/>
                <w:color w:val="000000"/>
              </w:rPr>
            </w:pPr>
            <w:r w:rsidRPr="00F649A7">
              <w:rPr>
                <w:rFonts w:cs="Times New Roman"/>
                <w:color w:val="000000"/>
              </w:rPr>
              <w:t>0.10</w:t>
            </w:r>
          </w:p>
        </w:tc>
        <w:tc>
          <w:tcPr>
            <w:tcW w:w="626" w:type="dxa"/>
            <w:tcBorders>
              <w:top w:val="nil"/>
              <w:left w:val="nil"/>
              <w:bottom w:val="nil"/>
              <w:right w:val="nil"/>
            </w:tcBorders>
            <w:shd w:val="clear" w:color="auto" w:fill="auto"/>
            <w:noWrap/>
            <w:vAlign w:val="bottom"/>
            <w:hideMark/>
          </w:tcPr>
          <w:p w14:paraId="7F6996F8" w14:textId="77777777" w:rsidR="00043399" w:rsidRPr="00F649A7" w:rsidRDefault="00043399" w:rsidP="00E965BC">
            <w:pPr>
              <w:spacing w:line="240" w:lineRule="auto"/>
              <w:rPr>
                <w:rFonts w:cs="Times New Roman"/>
                <w:color w:val="000000"/>
              </w:rPr>
            </w:pPr>
          </w:p>
        </w:tc>
        <w:tc>
          <w:tcPr>
            <w:tcW w:w="920" w:type="dxa"/>
            <w:tcBorders>
              <w:top w:val="nil"/>
              <w:left w:val="nil"/>
              <w:bottom w:val="nil"/>
              <w:right w:val="nil"/>
            </w:tcBorders>
            <w:shd w:val="clear" w:color="auto" w:fill="auto"/>
            <w:noWrap/>
            <w:vAlign w:val="bottom"/>
            <w:hideMark/>
          </w:tcPr>
          <w:p w14:paraId="10D1ACA5" w14:textId="77777777" w:rsidR="00043399" w:rsidRPr="00F649A7" w:rsidRDefault="00043399" w:rsidP="00E965BC">
            <w:pPr>
              <w:spacing w:line="240" w:lineRule="auto"/>
              <w:rPr>
                <w:rFonts w:cs="Times New Roman"/>
                <w:color w:val="000000"/>
              </w:rPr>
            </w:pPr>
          </w:p>
        </w:tc>
      </w:tr>
      <w:tr w:rsidR="00043399" w:rsidRPr="00F649A7" w14:paraId="5E7A9A66" w14:textId="77777777" w:rsidTr="00E965BC">
        <w:trPr>
          <w:trHeight w:val="405"/>
        </w:trPr>
        <w:tc>
          <w:tcPr>
            <w:tcW w:w="2781" w:type="dxa"/>
            <w:tcBorders>
              <w:top w:val="nil"/>
              <w:left w:val="nil"/>
              <w:bottom w:val="single" w:sz="8" w:space="0" w:color="auto"/>
              <w:right w:val="nil"/>
            </w:tcBorders>
            <w:shd w:val="clear" w:color="auto" w:fill="auto"/>
            <w:noWrap/>
            <w:vAlign w:val="bottom"/>
            <w:hideMark/>
          </w:tcPr>
          <w:p w14:paraId="5C5CAA13" w14:textId="77777777" w:rsidR="00043399" w:rsidRPr="00F649A7" w:rsidRDefault="00043399" w:rsidP="00E965BC">
            <w:pPr>
              <w:spacing w:line="240" w:lineRule="auto"/>
              <w:rPr>
                <w:rFonts w:cs="Times New Roman"/>
                <w:b/>
                <w:bCs/>
                <w:color w:val="000000"/>
              </w:rPr>
            </w:pPr>
            <w:r w:rsidRPr="00F649A7">
              <w:rPr>
                <w:rFonts w:cs="Times New Roman"/>
                <w:b/>
                <w:bCs/>
                <w:color w:val="000000"/>
              </w:rPr>
              <w:t>H</w:t>
            </w:r>
            <w:r w:rsidRPr="00F649A7">
              <w:rPr>
                <w:rFonts w:cs="Times New Roman"/>
                <w:b/>
                <w:bCs/>
                <w:color w:val="000000"/>
                <w:vertAlign w:val="superscript"/>
              </w:rPr>
              <w:t>2</w:t>
            </w:r>
            <w:r w:rsidRPr="00F649A7">
              <w:rPr>
                <w:rFonts w:cs="Times New Roman"/>
                <w:b/>
                <w:bCs/>
                <w:color w:val="000000"/>
                <w:vertAlign w:val="subscript"/>
              </w:rPr>
              <w:t>i</w:t>
            </w:r>
          </w:p>
        </w:tc>
        <w:tc>
          <w:tcPr>
            <w:tcW w:w="936" w:type="dxa"/>
            <w:tcBorders>
              <w:top w:val="nil"/>
              <w:left w:val="nil"/>
              <w:bottom w:val="single" w:sz="8" w:space="0" w:color="auto"/>
              <w:right w:val="nil"/>
            </w:tcBorders>
            <w:shd w:val="clear" w:color="auto" w:fill="auto"/>
            <w:noWrap/>
            <w:vAlign w:val="bottom"/>
            <w:hideMark/>
          </w:tcPr>
          <w:p w14:paraId="69F57ABC" w14:textId="77777777" w:rsidR="00043399" w:rsidRPr="00F649A7" w:rsidRDefault="00043399" w:rsidP="00E965BC">
            <w:pPr>
              <w:spacing w:line="240" w:lineRule="auto"/>
              <w:jc w:val="right"/>
              <w:rPr>
                <w:rFonts w:cs="Times New Roman"/>
                <w:color w:val="000000"/>
              </w:rPr>
            </w:pPr>
            <w:r w:rsidRPr="00F649A7">
              <w:rPr>
                <w:rFonts w:cs="Times New Roman"/>
                <w:color w:val="000000"/>
              </w:rPr>
              <w:t>0.19</w:t>
            </w:r>
          </w:p>
        </w:tc>
        <w:tc>
          <w:tcPr>
            <w:tcW w:w="626" w:type="dxa"/>
            <w:tcBorders>
              <w:top w:val="nil"/>
              <w:left w:val="nil"/>
              <w:bottom w:val="single" w:sz="8" w:space="0" w:color="auto"/>
              <w:right w:val="nil"/>
            </w:tcBorders>
            <w:shd w:val="clear" w:color="auto" w:fill="auto"/>
            <w:noWrap/>
            <w:vAlign w:val="bottom"/>
            <w:hideMark/>
          </w:tcPr>
          <w:p w14:paraId="0972645A" w14:textId="77777777" w:rsidR="00043399" w:rsidRPr="00F649A7" w:rsidRDefault="00043399" w:rsidP="00E965BC">
            <w:pPr>
              <w:spacing w:line="240" w:lineRule="auto"/>
              <w:rPr>
                <w:rFonts w:cs="Times New Roman"/>
                <w:color w:val="000000"/>
              </w:rPr>
            </w:pPr>
            <w:r w:rsidRPr="00F649A7">
              <w:rPr>
                <w:rFonts w:cs="Times New Roman"/>
                <w:color w:val="000000"/>
              </w:rPr>
              <w:t> </w:t>
            </w:r>
          </w:p>
        </w:tc>
        <w:tc>
          <w:tcPr>
            <w:tcW w:w="920" w:type="dxa"/>
            <w:tcBorders>
              <w:top w:val="nil"/>
              <w:left w:val="nil"/>
              <w:bottom w:val="single" w:sz="8" w:space="0" w:color="auto"/>
              <w:right w:val="nil"/>
            </w:tcBorders>
            <w:shd w:val="clear" w:color="auto" w:fill="auto"/>
            <w:noWrap/>
            <w:vAlign w:val="bottom"/>
            <w:hideMark/>
          </w:tcPr>
          <w:p w14:paraId="0480934F" w14:textId="77777777" w:rsidR="00043399" w:rsidRPr="00F649A7" w:rsidRDefault="00043399" w:rsidP="00E965BC">
            <w:pPr>
              <w:spacing w:line="240" w:lineRule="auto"/>
              <w:rPr>
                <w:rFonts w:cs="Times New Roman"/>
                <w:color w:val="000000"/>
              </w:rPr>
            </w:pPr>
            <w:r w:rsidRPr="00F649A7">
              <w:rPr>
                <w:rFonts w:cs="Times New Roman"/>
                <w:color w:val="000000"/>
              </w:rPr>
              <w:t> </w:t>
            </w:r>
          </w:p>
        </w:tc>
        <w:tc>
          <w:tcPr>
            <w:tcW w:w="1012" w:type="dxa"/>
            <w:tcBorders>
              <w:top w:val="nil"/>
              <w:left w:val="nil"/>
              <w:bottom w:val="single" w:sz="8" w:space="0" w:color="auto"/>
              <w:right w:val="nil"/>
            </w:tcBorders>
            <w:shd w:val="clear" w:color="auto" w:fill="auto"/>
            <w:noWrap/>
            <w:vAlign w:val="bottom"/>
            <w:hideMark/>
          </w:tcPr>
          <w:p w14:paraId="53A00388" w14:textId="77777777" w:rsidR="00043399" w:rsidRPr="00F649A7" w:rsidRDefault="00043399" w:rsidP="00E965BC">
            <w:pPr>
              <w:spacing w:line="240" w:lineRule="auto"/>
              <w:jc w:val="right"/>
              <w:rPr>
                <w:rFonts w:cs="Times New Roman"/>
                <w:color w:val="000000"/>
              </w:rPr>
            </w:pPr>
            <w:r w:rsidRPr="00F649A7">
              <w:rPr>
                <w:rFonts w:cs="Times New Roman"/>
                <w:color w:val="000000"/>
              </w:rPr>
              <w:t>0.17</w:t>
            </w:r>
          </w:p>
        </w:tc>
        <w:tc>
          <w:tcPr>
            <w:tcW w:w="626" w:type="dxa"/>
            <w:tcBorders>
              <w:top w:val="nil"/>
              <w:left w:val="nil"/>
              <w:bottom w:val="single" w:sz="8" w:space="0" w:color="auto"/>
              <w:right w:val="nil"/>
            </w:tcBorders>
            <w:shd w:val="clear" w:color="auto" w:fill="auto"/>
            <w:noWrap/>
            <w:vAlign w:val="bottom"/>
            <w:hideMark/>
          </w:tcPr>
          <w:p w14:paraId="3CB45D56" w14:textId="77777777" w:rsidR="00043399" w:rsidRPr="00F649A7" w:rsidRDefault="00043399" w:rsidP="00E965BC">
            <w:pPr>
              <w:spacing w:line="240" w:lineRule="auto"/>
              <w:rPr>
                <w:rFonts w:cs="Times New Roman"/>
                <w:color w:val="000000"/>
              </w:rPr>
            </w:pPr>
            <w:r w:rsidRPr="00F649A7">
              <w:rPr>
                <w:rFonts w:cs="Times New Roman"/>
                <w:color w:val="000000"/>
              </w:rPr>
              <w:t> </w:t>
            </w:r>
          </w:p>
        </w:tc>
        <w:tc>
          <w:tcPr>
            <w:tcW w:w="920" w:type="dxa"/>
            <w:tcBorders>
              <w:top w:val="nil"/>
              <w:left w:val="nil"/>
              <w:bottom w:val="single" w:sz="8" w:space="0" w:color="auto"/>
              <w:right w:val="nil"/>
            </w:tcBorders>
            <w:shd w:val="clear" w:color="auto" w:fill="auto"/>
            <w:noWrap/>
            <w:vAlign w:val="bottom"/>
            <w:hideMark/>
          </w:tcPr>
          <w:p w14:paraId="6E6D796A" w14:textId="77777777" w:rsidR="00043399" w:rsidRPr="00F649A7" w:rsidRDefault="00043399" w:rsidP="00E965BC">
            <w:pPr>
              <w:spacing w:line="240" w:lineRule="auto"/>
              <w:rPr>
                <w:rFonts w:cs="Times New Roman"/>
                <w:color w:val="000000"/>
              </w:rPr>
            </w:pPr>
            <w:r w:rsidRPr="00F649A7">
              <w:rPr>
                <w:rFonts w:cs="Times New Roman"/>
                <w:color w:val="000000"/>
              </w:rPr>
              <w:t> </w:t>
            </w:r>
          </w:p>
        </w:tc>
        <w:tc>
          <w:tcPr>
            <w:tcW w:w="920" w:type="dxa"/>
            <w:tcBorders>
              <w:top w:val="nil"/>
              <w:left w:val="nil"/>
              <w:bottom w:val="single" w:sz="8" w:space="0" w:color="auto"/>
              <w:right w:val="nil"/>
            </w:tcBorders>
            <w:shd w:val="clear" w:color="auto" w:fill="auto"/>
            <w:noWrap/>
            <w:vAlign w:val="bottom"/>
            <w:hideMark/>
          </w:tcPr>
          <w:p w14:paraId="78D7DB27" w14:textId="77777777" w:rsidR="00043399" w:rsidRPr="00F649A7" w:rsidRDefault="00043399" w:rsidP="00E965BC">
            <w:pPr>
              <w:spacing w:line="240" w:lineRule="auto"/>
              <w:jc w:val="right"/>
              <w:rPr>
                <w:rFonts w:cs="Times New Roman"/>
                <w:color w:val="000000"/>
              </w:rPr>
            </w:pPr>
            <w:r w:rsidRPr="00F649A7">
              <w:rPr>
                <w:rFonts w:cs="Times New Roman"/>
                <w:color w:val="000000"/>
              </w:rPr>
              <w:t>0.23</w:t>
            </w:r>
          </w:p>
        </w:tc>
        <w:tc>
          <w:tcPr>
            <w:tcW w:w="626" w:type="dxa"/>
            <w:tcBorders>
              <w:top w:val="nil"/>
              <w:left w:val="nil"/>
              <w:bottom w:val="single" w:sz="8" w:space="0" w:color="auto"/>
              <w:right w:val="nil"/>
            </w:tcBorders>
            <w:shd w:val="clear" w:color="auto" w:fill="auto"/>
            <w:noWrap/>
            <w:vAlign w:val="bottom"/>
            <w:hideMark/>
          </w:tcPr>
          <w:p w14:paraId="0BFF6CEB" w14:textId="77777777" w:rsidR="00043399" w:rsidRPr="00F649A7" w:rsidRDefault="00043399" w:rsidP="00E965BC">
            <w:pPr>
              <w:spacing w:line="240" w:lineRule="auto"/>
              <w:rPr>
                <w:rFonts w:cs="Times New Roman"/>
                <w:color w:val="000000"/>
              </w:rPr>
            </w:pPr>
            <w:r w:rsidRPr="00F649A7">
              <w:rPr>
                <w:rFonts w:cs="Times New Roman"/>
                <w:color w:val="000000"/>
              </w:rPr>
              <w:t> </w:t>
            </w:r>
          </w:p>
        </w:tc>
        <w:tc>
          <w:tcPr>
            <w:tcW w:w="920" w:type="dxa"/>
            <w:tcBorders>
              <w:top w:val="nil"/>
              <w:left w:val="nil"/>
              <w:bottom w:val="single" w:sz="8" w:space="0" w:color="auto"/>
              <w:right w:val="nil"/>
            </w:tcBorders>
            <w:shd w:val="clear" w:color="auto" w:fill="auto"/>
            <w:noWrap/>
            <w:vAlign w:val="bottom"/>
            <w:hideMark/>
          </w:tcPr>
          <w:p w14:paraId="61022FB0" w14:textId="77777777" w:rsidR="00043399" w:rsidRPr="00F649A7" w:rsidRDefault="00043399" w:rsidP="00E965BC">
            <w:pPr>
              <w:spacing w:line="240" w:lineRule="auto"/>
              <w:rPr>
                <w:rFonts w:cs="Times New Roman"/>
                <w:color w:val="000000"/>
              </w:rPr>
            </w:pPr>
            <w:r w:rsidRPr="00F649A7">
              <w:rPr>
                <w:rFonts w:cs="Times New Roman"/>
                <w:color w:val="000000"/>
              </w:rPr>
              <w:t> </w:t>
            </w:r>
          </w:p>
        </w:tc>
        <w:tc>
          <w:tcPr>
            <w:tcW w:w="723" w:type="dxa"/>
            <w:tcBorders>
              <w:top w:val="nil"/>
              <w:left w:val="nil"/>
              <w:bottom w:val="single" w:sz="8" w:space="0" w:color="auto"/>
              <w:right w:val="nil"/>
            </w:tcBorders>
            <w:shd w:val="clear" w:color="auto" w:fill="auto"/>
            <w:noWrap/>
            <w:vAlign w:val="bottom"/>
            <w:hideMark/>
          </w:tcPr>
          <w:p w14:paraId="2BEC553F" w14:textId="77777777" w:rsidR="00043399" w:rsidRPr="00F649A7" w:rsidRDefault="00043399" w:rsidP="00E965BC">
            <w:pPr>
              <w:spacing w:line="240" w:lineRule="auto"/>
              <w:jc w:val="right"/>
              <w:rPr>
                <w:rFonts w:cs="Times New Roman"/>
                <w:color w:val="000000"/>
              </w:rPr>
            </w:pPr>
            <w:r w:rsidRPr="00F649A7">
              <w:rPr>
                <w:rFonts w:cs="Times New Roman"/>
                <w:color w:val="000000"/>
              </w:rPr>
              <w:t>0.30</w:t>
            </w:r>
          </w:p>
        </w:tc>
        <w:tc>
          <w:tcPr>
            <w:tcW w:w="626" w:type="dxa"/>
            <w:tcBorders>
              <w:top w:val="nil"/>
              <w:left w:val="nil"/>
              <w:bottom w:val="single" w:sz="8" w:space="0" w:color="auto"/>
              <w:right w:val="nil"/>
            </w:tcBorders>
            <w:shd w:val="clear" w:color="auto" w:fill="auto"/>
            <w:noWrap/>
            <w:vAlign w:val="bottom"/>
            <w:hideMark/>
          </w:tcPr>
          <w:p w14:paraId="248F115A" w14:textId="77777777" w:rsidR="00043399" w:rsidRPr="00F649A7" w:rsidRDefault="00043399" w:rsidP="00E965BC">
            <w:pPr>
              <w:spacing w:line="240" w:lineRule="auto"/>
              <w:rPr>
                <w:rFonts w:cs="Times New Roman"/>
                <w:color w:val="000000"/>
              </w:rPr>
            </w:pPr>
            <w:r w:rsidRPr="00F649A7">
              <w:rPr>
                <w:rFonts w:cs="Times New Roman"/>
                <w:color w:val="000000"/>
              </w:rPr>
              <w:t> </w:t>
            </w:r>
          </w:p>
        </w:tc>
        <w:tc>
          <w:tcPr>
            <w:tcW w:w="920" w:type="dxa"/>
            <w:tcBorders>
              <w:top w:val="nil"/>
              <w:left w:val="nil"/>
              <w:bottom w:val="single" w:sz="8" w:space="0" w:color="auto"/>
              <w:right w:val="nil"/>
            </w:tcBorders>
            <w:shd w:val="clear" w:color="auto" w:fill="auto"/>
            <w:noWrap/>
            <w:vAlign w:val="bottom"/>
            <w:hideMark/>
          </w:tcPr>
          <w:p w14:paraId="1F997DC4" w14:textId="77777777" w:rsidR="00043399" w:rsidRPr="00F649A7" w:rsidRDefault="00043399" w:rsidP="00E965BC">
            <w:pPr>
              <w:spacing w:line="240" w:lineRule="auto"/>
              <w:rPr>
                <w:rFonts w:cs="Times New Roman"/>
                <w:color w:val="000000"/>
              </w:rPr>
            </w:pPr>
            <w:r w:rsidRPr="00F649A7">
              <w:rPr>
                <w:rFonts w:cs="Times New Roman"/>
                <w:color w:val="000000"/>
              </w:rPr>
              <w:t> </w:t>
            </w:r>
          </w:p>
        </w:tc>
      </w:tr>
      <w:tr w:rsidR="00043399" w:rsidRPr="00F649A7" w14:paraId="3AE6B5AA" w14:textId="77777777" w:rsidTr="00E965BC">
        <w:trPr>
          <w:trHeight w:val="315"/>
        </w:trPr>
        <w:tc>
          <w:tcPr>
            <w:tcW w:w="12556" w:type="dxa"/>
            <w:gridSpan w:val="13"/>
            <w:tcBorders>
              <w:top w:val="single" w:sz="8" w:space="0" w:color="auto"/>
              <w:left w:val="nil"/>
              <w:bottom w:val="nil"/>
              <w:right w:val="nil"/>
            </w:tcBorders>
            <w:shd w:val="clear" w:color="auto" w:fill="auto"/>
            <w:noWrap/>
            <w:vAlign w:val="bottom"/>
            <w:hideMark/>
          </w:tcPr>
          <w:p w14:paraId="20821EDD" w14:textId="26A67F6D" w:rsidR="00043399" w:rsidRPr="00065705" w:rsidRDefault="00043399" w:rsidP="00E965BC">
            <w:pPr>
              <w:spacing w:line="240" w:lineRule="auto"/>
              <w:rPr>
                <w:rFonts w:cs="Times New Roman"/>
                <w:color w:val="000000"/>
                <w:vertAlign w:val="subscript"/>
              </w:rPr>
            </w:pPr>
            <w:r w:rsidRPr="00065705">
              <w:rPr>
                <w:rFonts w:cs="Times New Roman"/>
                <w:color w:val="000000"/>
                <w:vertAlign w:val="subscript"/>
              </w:rPr>
              <w:t xml:space="preserve">* </w:t>
            </w:r>
            <w:r w:rsidR="00B7572A">
              <w:rPr>
                <w:rFonts w:cs="Times New Roman"/>
                <w:color w:val="000000"/>
                <w:vertAlign w:val="subscript"/>
              </w:rPr>
              <w:t xml:space="preserve">P </w:t>
            </w:r>
            <w:r w:rsidR="009021A8">
              <w:rPr>
                <w:rFonts w:cs="Times New Roman"/>
                <w:color w:val="000000"/>
                <w:vertAlign w:val="subscript"/>
              </w:rPr>
              <w:t xml:space="preserve">&lt; </w:t>
            </w:r>
            <w:r w:rsidRPr="00065705">
              <w:rPr>
                <w:rFonts w:cs="Times New Roman"/>
                <w:color w:val="000000"/>
                <w:vertAlign w:val="subscript"/>
              </w:rPr>
              <w:t>0.05, **</w:t>
            </w:r>
            <w:r w:rsidR="00B7572A">
              <w:rPr>
                <w:rFonts w:cs="Times New Roman"/>
                <w:color w:val="000000"/>
                <w:vertAlign w:val="subscript"/>
              </w:rPr>
              <w:t xml:space="preserve">P </w:t>
            </w:r>
            <w:r w:rsidR="009021A8">
              <w:rPr>
                <w:rFonts w:cs="Times New Roman"/>
                <w:color w:val="000000"/>
                <w:vertAlign w:val="subscript"/>
              </w:rPr>
              <w:t xml:space="preserve">&lt; </w:t>
            </w:r>
            <w:r w:rsidRPr="00065705">
              <w:rPr>
                <w:rFonts w:cs="Times New Roman"/>
                <w:color w:val="000000"/>
                <w:vertAlign w:val="subscript"/>
              </w:rPr>
              <w:t>0.01, ***</w:t>
            </w:r>
            <w:r w:rsidR="00B7572A">
              <w:rPr>
                <w:rFonts w:cs="Times New Roman"/>
                <w:color w:val="000000"/>
                <w:vertAlign w:val="subscript"/>
              </w:rPr>
              <w:t xml:space="preserve">P </w:t>
            </w:r>
            <w:r w:rsidR="009021A8">
              <w:rPr>
                <w:rFonts w:cs="Times New Roman"/>
                <w:color w:val="000000"/>
                <w:vertAlign w:val="subscript"/>
              </w:rPr>
              <w:t xml:space="preserve">&lt; </w:t>
            </w:r>
            <w:r w:rsidRPr="00065705">
              <w:rPr>
                <w:rFonts w:cs="Times New Roman"/>
                <w:color w:val="000000"/>
                <w:vertAlign w:val="subscript"/>
              </w:rPr>
              <w:t>0.001, respectively</w:t>
            </w:r>
          </w:p>
        </w:tc>
      </w:tr>
    </w:tbl>
    <w:p w14:paraId="3FD40922" w14:textId="77777777" w:rsidR="00043399" w:rsidRDefault="00043399" w:rsidP="00043399">
      <w:pPr>
        <w:pStyle w:val="Caption"/>
        <w:sectPr w:rsidR="00043399" w:rsidSect="00794998">
          <w:pgSz w:w="15840" w:h="12240" w:orient="landscape"/>
          <w:pgMar w:top="1440" w:right="1440" w:bottom="1440" w:left="1440" w:header="720" w:footer="720" w:gutter="0"/>
          <w:cols w:space="720"/>
          <w:docGrid w:linePitch="360"/>
        </w:sectPr>
      </w:pPr>
    </w:p>
    <w:p w14:paraId="799F64BA" w14:textId="5D6AB895" w:rsidR="00043399" w:rsidRPr="004253E7" w:rsidRDefault="005B4275" w:rsidP="004253E7">
      <w:pPr>
        <w:pStyle w:val="Caption"/>
        <w:rPr>
          <w:rFonts w:cs="Times New Roman"/>
          <w:color w:val="000000"/>
        </w:rPr>
      </w:pPr>
      <w:bookmarkStart w:id="107" w:name="_Toc404070381"/>
      <w:r>
        <w:lastRenderedPageBreak/>
        <w:t>Table 3-4</w:t>
      </w:r>
      <w:r w:rsidR="00043399">
        <w:t xml:space="preserve">. </w:t>
      </w:r>
      <w:r w:rsidR="00065705">
        <w:t>Estimates of g</w:t>
      </w:r>
      <w:r w:rsidR="00043399">
        <w:t>eneral combining ability (GCA)</w:t>
      </w:r>
      <w:r w:rsidR="00065705">
        <w:t xml:space="preserve"> of eight lowland switchgrass parents based on evaluation of F1 populatio</w:t>
      </w:r>
      <w:r>
        <w:t>n</w:t>
      </w:r>
      <w:r w:rsidR="00065705">
        <w:t xml:space="preserve">s derived from a full diallel cross </w:t>
      </w:r>
      <w:r>
        <w:t xml:space="preserve">evaluated across two years </w:t>
      </w:r>
      <w:r w:rsidR="00065705">
        <w:t xml:space="preserve">in both space planted (HSP) and sward planted (HSW) nurseries. Traits evaluated include </w:t>
      </w:r>
      <w:r>
        <w:t>biomass yield and predicted ethanol yield.</w:t>
      </w:r>
      <w:bookmarkEnd w:id="107"/>
      <w:r>
        <w:t xml:space="preserve"> </w:t>
      </w:r>
    </w:p>
    <w:tbl>
      <w:tblPr>
        <w:tblW w:w="9483" w:type="dxa"/>
        <w:tblInd w:w="93" w:type="dxa"/>
        <w:tblLook w:val="04A0" w:firstRow="1" w:lastRow="0" w:firstColumn="1" w:lastColumn="0" w:noHBand="0" w:noVBand="1"/>
      </w:tblPr>
      <w:tblGrid>
        <w:gridCol w:w="1074"/>
        <w:gridCol w:w="963"/>
        <w:gridCol w:w="80"/>
        <w:gridCol w:w="222"/>
        <w:gridCol w:w="79"/>
        <w:gridCol w:w="1034"/>
        <w:gridCol w:w="368"/>
        <w:gridCol w:w="13"/>
        <w:gridCol w:w="461"/>
        <w:gridCol w:w="754"/>
        <w:gridCol w:w="222"/>
        <w:gridCol w:w="187"/>
        <w:gridCol w:w="222"/>
        <w:gridCol w:w="746"/>
        <w:gridCol w:w="222"/>
        <w:gridCol w:w="232"/>
        <w:gridCol w:w="923"/>
        <w:gridCol w:w="180"/>
        <w:gridCol w:w="42"/>
        <w:gridCol w:w="180"/>
        <w:gridCol w:w="1035"/>
        <w:gridCol w:w="24"/>
        <w:gridCol w:w="224"/>
      </w:tblGrid>
      <w:tr w:rsidR="00043399" w:rsidRPr="00F96C18" w14:paraId="47B645E9" w14:textId="77777777" w:rsidTr="00E965BC">
        <w:trPr>
          <w:trHeight w:val="360"/>
        </w:trPr>
        <w:tc>
          <w:tcPr>
            <w:tcW w:w="1074" w:type="dxa"/>
            <w:tcBorders>
              <w:top w:val="single" w:sz="8" w:space="0" w:color="auto"/>
              <w:left w:val="nil"/>
              <w:bottom w:val="nil"/>
              <w:right w:val="nil"/>
            </w:tcBorders>
            <w:shd w:val="clear" w:color="auto" w:fill="auto"/>
            <w:noWrap/>
            <w:vAlign w:val="bottom"/>
            <w:hideMark/>
          </w:tcPr>
          <w:p w14:paraId="72E83B90" w14:textId="77777777" w:rsidR="00043399" w:rsidRPr="00F96C18" w:rsidRDefault="00043399" w:rsidP="00E965BC">
            <w:pPr>
              <w:spacing w:line="240" w:lineRule="auto"/>
              <w:rPr>
                <w:rFonts w:cs="Times New Roman"/>
                <w:b/>
                <w:bCs/>
                <w:color w:val="000000"/>
              </w:rPr>
            </w:pPr>
            <w:r w:rsidRPr="00F96C18">
              <w:rPr>
                <w:rFonts w:cs="Times New Roman"/>
                <w:b/>
                <w:bCs/>
                <w:color w:val="000000"/>
              </w:rPr>
              <w:t> </w:t>
            </w:r>
          </w:p>
        </w:tc>
        <w:tc>
          <w:tcPr>
            <w:tcW w:w="8409" w:type="dxa"/>
            <w:gridSpan w:val="22"/>
            <w:tcBorders>
              <w:top w:val="single" w:sz="8" w:space="0" w:color="auto"/>
              <w:left w:val="nil"/>
              <w:bottom w:val="nil"/>
              <w:right w:val="nil"/>
            </w:tcBorders>
            <w:shd w:val="clear" w:color="auto" w:fill="auto"/>
            <w:vAlign w:val="bottom"/>
            <w:hideMark/>
          </w:tcPr>
          <w:p w14:paraId="5241F73A" w14:textId="77777777" w:rsidR="00043399" w:rsidRPr="00F96C18" w:rsidRDefault="00043399" w:rsidP="00E965BC">
            <w:pPr>
              <w:spacing w:line="240" w:lineRule="auto"/>
              <w:jc w:val="center"/>
              <w:rPr>
                <w:rFonts w:cs="Times New Roman"/>
                <w:color w:val="000000"/>
              </w:rPr>
            </w:pPr>
            <w:r w:rsidRPr="00F96C18">
              <w:rPr>
                <w:rFonts w:cs="Times New Roman"/>
                <w:color w:val="000000"/>
              </w:rPr>
              <w:t>Biomass Yield (g plant</w:t>
            </w:r>
            <w:r w:rsidRPr="00F96C18">
              <w:rPr>
                <w:rFonts w:cs="Times New Roman"/>
                <w:color w:val="000000"/>
                <w:vertAlign w:val="superscript"/>
              </w:rPr>
              <w:t>-1</w:t>
            </w:r>
            <w:r w:rsidRPr="00F96C18">
              <w:rPr>
                <w:rFonts w:cs="Times New Roman"/>
                <w:color w:val="000000"/>
              </w:rPr>
              <w:t xml:space="preserve">) </w:t>
            </w:r>
          </w:p>
        </w:tc>
      </w:tr>
      <w:tr w:rsidR="00043399" w:rsidRPr="00F96C18" w14:paraId="0BE420ED" w14:textId="77777777" w:rsidTr="00E965BC">
        <w:trPr>
          <w:trHeight w:val="315"/>
        </w:trPr>
        <w:tc>
          <w:tcPr>
            <w:tcW w:w="1074" w:type="dxa"/>
            <w:tcBorders>
              <w:top w:val="nil"/>
              <w:left w:val="nil"/>
              <w:bottom w:val="nil"/>
              <w:right w:val="nil"/>
            </w:tcBorders>
            <w:shd w:val="clear" w:color="auto" w:fill="auto"/>
            <w:noWrap/>
            <w:vAlign w:val="bottom"/>
            <w:hideMark/>
          </w:tcPr>
          <w:p w14:paraId="36A4CD51" w14:textId="77777777" w:rsidR="00043399" w:rsidRPr="00F96C18" w:rsidRDefault="00043399" w:rsidP="00E965BC">
            <w:pPr>
              <w:spacing w:line="240" w:lineRule="auto"/>
              <w:rPr>
                <w:rFonts w:cs="Times New Roman"/>
                <w:color w:val="000000"/>
              </w:rPr>
            </w:pPr>
            <w:r w:rsidRPr="00F96C18">
              <w:rPr>
                <w:rFonts w:cs="Times New Roman"/>
                <w:color w:val="000000"/>
              </w:rPr>
              <w:t>Progeny</w:t>
            </w:r>
          </w:p>
        </w:tc>
        <w:tc>
          <w:tcPr>
            <w:tcW w:w="4605" w:type="dxa"/>
            <w:gridSpan w:val="12"/>
            <w:tcBorders>
              <w:top w:val="nil"/>
              <w:left w:val="nil"/>
              <w:bottom w:val="nil"/>
              <w:right w:val="nil"/>
            </w:tcBorders>
            <w:shd w:val="clear" w:color="auto" w:fill="auto"/>
            <w:noWrap/>
            <w:vAlign w:val="bottom"/>
            <w:hideMark/>
          </w:tcPr>
          <w:p w14:paraId="6B6575D0" w14:textId="77777777" w:rsidR="00043399" w:rsidRPr="00266FA9" w:rsidRDefault="00043399" w:rsidP="00E965BC">
            <w:pPr>
              <w:spacing w:line="240" w:lineRule="auto"/>
              <w:jc w:val="center"/>
              <w:rPr>
                <w:rFonts w:cs="Times New Roman"/>
                <w:color w:val="000000"/>
                <w:u w:val="single"/>
              </w:rPr>
            </w:pPr>
            <w:r w:rsidRPr="00266FA9">
              <w:rPr>
                <w:rFonts w:cs="Times New Roman"/>
                <w:color w:val="000000"/>
                <w:u w:val="single"/>
              </w:rPr>
              <w:t>HSP</w:t>
            </w:r>
          </w:p>
        </w:tc>
        <w:tc>
          <w:tcPr>
            <w:tcW w:w="3804" w:type="dxa"/>
            <w:gridSpan w:val="10"/>
            <w:tcBorders>
              <w:top w:val="nil"/>
              <w:left w:val="nil"/>
              <w:bottom w:val="nil"/>
              <w:right w:val="nil"/>
            </w:tcBorders>
            <w:shd w:val="clear" w:color="auto" w:fill="auto"/>
            <w:noWrap/>
            <w:vAlign w:val="bottom"/>
            <w:hideMark/>
          </w:tcPr>
          <w:p w14:paraId="2E65A127" w14:textId="77777777" w:rsidR="00043399" w:rsidRPr="00266FA9" w:rsidRDefault="00043399" w:rsidP="00E965BC">
            <w:pPr>
              <w:spacing w:line="240" w:lineRule="auto"/>
              <w:jc w:val="center"/>
              <w:rPr>
                <w:rFonts w:cs="Times New Roman"/>
                <w:color w:val="000000"/>
                <w:u w:val="single"/>
              </w:rPr>
            </w:pPr>
            <w:r w:rsidRPr="00266FA9">
              <w:rPr>
                <w:rFonts w:cs="Times New Roman"/>
                <w:color w:val="000000"/>
                <w:u w:val="single"/>
              </w:rPr>
              <w:t>HSW</w:t>
            </w:r>
          </w:p>
        </w:tc>
      </w:tr>
      <w:tr w:rsidR="00043399" w:rsidRPr="00F96C18" w14:paraId="21AF42B1" w14:textId="77777777" w:rsidTr="00E965BC">
        <w:trPr>
          <w:trHeight w:val="315"/>
        </w:trPr>
        <w:tc>
          <w:tcPr>
            <w:tcW w:w="1074" w:type="dxa"/>
            <w:tcBorders>
              <w:top w:val="nil"/>
              <w:left w:val="nil"/>
              <w:bottom w:val="single" w:sz="8" w:space="0" w:color="auto"/>
              <w:right w:val="nil"/>
            </w:tcBorders>
            <w:shd w:val="clear" w:color="auto" w:fill="auto"/>
            <w:noWrap/>
            <w:vAlign w:val="bottom"/>
            <w:hideMark/>
          </w:tcPr>
          <w:p w14:paraId="49CFC9B6" w14:textId="77777777" w:rsidR="00043399" w:rsidRPr="00F96C18" w:rsidRDefault="00043399" w:rsidP="00E965BC">
            <w:pPr>
              <w:spacing w:line="240" w:lineRule="auto"/>
              <w:rPr>
                <w:rFonts w:cs="Times New Roman"/>
                <w:color w:val="000000"/>
              </w:rPr>
            </w:pPr>
            <w:r w:rsidRPr="00F96C18">
              <w:rPr>
                <w:rFonts w:cs="Times New Roman"/>
                <w:color w:val="000000"/>
              </w:rPr>
              <w:t>Line</w:t>
            </w:r>
          </w:p>
        </w:tc>
        <w:tc>
          <w:tcPr>
            <w:tcW w:w="1265" w:type="dxa"/>
            <w:gridSpan w:val="3"/>
            <w:tcBorders>
              <w:top w:val="nil"/>
              <w:left w:val="nil"/>
              <w:bottom w:val="single" w:sz="8" w:space="0" w:color="auto"/>
              <w:right w:val="nil"/>
            </w:tcBorders>
            <w:shd w:val="clear" w:color="auto" w:fill="auto"/>
            <w:vAlign w:val="bottom"/>
            <w:hideMark/>
          </w:tcPr>
          <w:p w14:paraId="437A2C00" w14:textId="77777777" w:rsidR="00043399" w:rsidRPr="00F96C18" w:rsidRDefault="00043399" w:rsidP="00E965BC">
            <w:pPr>
              <w:spacing w:line="240" w:lineRule="auto"/>
              <w:jc w:val="center"/>
              <w:rPr>
                <w:rFonts w:cs="Times New Roman"/>
                <w:color w:val="000000"/>
              </w:rPr>
            </w:pPr>
            <w:r w:rsidRPr="00F96C18">
              <w:rPr>
                <w:rFonts w:cs="Times New Roman"/>
                <w:color w:val="000000"/>
              </w:rPr>
              <w:t>2012</w:t>
            </w:r>
          </w:p>
        </w:tc>
        <w:tc>
          <w:tcPr>
            <w:tcW w:w="1955" w:type="dxa"/>
            <w:gridSpan w:val="5"/>
            <w:tcBorders>
              <w:top w:val="nil"/>
              <w:left w:val="nil"/>
              <w:bottom w:val="single" w:sz="8" w:space="0" w:color="auto"/>
              <w:right w:val="nil"/>
            </w:tcBorders>
            <w:shd w:val="clear" w:color="auto" w:fill="auto"/>
            <w:vAlign w:val="bottom"/>
            <w:hideMark/>
          </w:tcPr>
          <w:p w14:paraId="40F6D085" w14:textId="77777777" w:rsidR="00043399" w:rsidRPr="00F96C18" w:rsidRDefault="00043399" w:rsidP="00E965BC">
            <w:pPr>
              <w:spacing w:line="240" w:lineRule="auto"/>
              <w:jc w:val="center"/>
              <w:rPr>
                <w:rFonts w:cs="Times New Roman"/>
                <w:color w:val="000000"/>
              </w:rPr>
            </w:pPr>
            <w:r w:rsidRPr="00F96C18">
              <w:rPr>
                <w:rFonts w:cs="Times New Roman"/>
                <w:color w:val="000000"/>
              </w:rPr>
              <w:t>2013</w:t>
            </w:r>
          </w:p>
        </w:tc>
        <w:tc>
          <w:tcPr>
            <w:tcW w:w="1385" w:type="dxa"/>
            <w:gridSpan w:val="4"/>
            <w:tcBorders>
              <w:top w:val="nil"/>
              <w:left w:val="nil"/>
              <w:bottom w:val="single" w:sz="8" w:space="0" w:color="auto"/>
              <w:right w:val="nil"/>
            </w:tcBorders>
            <w:shd w:val="clear" w:color="auto" w:fill="auto"/>
            <w:vAlign w:val="bottom"/>
            <w:hideMark/>
          </w:tcPr>
          <w:p w14:paraId="57AA53F5" w14:textId="77777777" w:rsidR="00043399" w:rsidRPr="00F96C18" w:rsidRDefault="00043399" w:rsidP="00E965BC">
            <w:pPr>
              <w:spacing w:line="240" w:lineRule="auto"/>
              <w:jc w:val="center"/>
              <w:rPr>
                <w:rFonts w:cs="Times New Roman"/>
                <w:color w:val="000000"/>
              </w:rPr>
            </w:pPr>
            <w:r w:rsidRPr="00F96C18">
              <w:rPr>
                <w:rFonts w:cs="Times New Roman"/>
                <w:color w:val="000000"/>
              </w:rPr>
              <w:t>Combined</w:t>
            </w:r>
          </w:p>
        </w:tc>
        <w:tc>
          <w:tcPr>
            <w:tcW w:w="1196" w:type="dxa"/>
            <w:gridSpan w:val="3"/>
            <w:tcBorders>
              <w:top w:val="nil"/>
              <w:left w:val="nil"/>
              <w:bottom w:val="single" w:sz="8" w:space="0" w:color="auto"/>
              <w:right w:val="nil"/>
            </w:tcBorders>
            <w:shd w:val="clear" w:color="auto" w:fill="auto"/>
            <w:vAlign w:val="bottom"/>
            <w:hideMark/>
          </w:tcPr>
          <w:p w14:paraId="3C63CF72" w14:textId="77777777" w:rsidR="00043399" w:rsidRPr="00F96C18" w:rsidRDefault="00043399" w:rsidP="00E965BC">
            <w:pPr>
              <w:spacing w:line="240" w:lineRule="auto"/>
              <w:jc w:val="center"/>
              <w:rPr>
                <w:rFonts w:cs="Times New Roman"/>
                <w:color w:val="000000"/>
              </w:rPr>
            </w:pPr>
            <w:r w:rsidRPr="00F96C18">
              <w:rPr>
                <w:rFonts w:cs="Times New Roman"/>
                <w:color w:val="000000"/>
              </w:rPr>
              <w:t>2012</w:t>
            </w:r>
          </w:p>
        </w:tc>
        <w:tc>
          <w:tcPr>
            <w:tcW w:w="1325" w:type="dxa"/>
            <w:gridSpan w:val="4"/>
            <w:tcBorders>
              <w:top w:val="nil"/>
              <w:left w:val="nil"/>
              <w:bottom w:val="single" w:sz="8" w:space="0" w:color="auto"/>
              <w:right w:val="nil"/>
            </w:tcBorders>
            <w:shd w:val="clear" w:color="auto" w:fill="auto"/>
            <w:vAlign w:val="bottom"/>
            <w:hideMark/>
          </w:tcPr>
          <w:p w14:paraId="5C1A2267" w14:textId="77777777" w:rsidR="00043399" w:rsidRPr="00F96C18" w:rsidRDefault="00043399" w:rsidP="00E965BC">
            <w:pPr>
              <w:spacing w:line="240" w:lineRule="auto"/>
              <w:jc w:val="center"/>
              <w:rPr>
                <w:rFonts w:cs="Times New Roman"/>
                <w:color w:val="000000"/>
              </w:rPr>
            </w:pPr>
            <w:r w:rsidRPr="00F96C18">
              <w:rPr>
                <w:rFonts w:cs="Times New Roman"/>
                <w:color w:val="000000"/>
              </w:rPr>
              <w:t>2013</w:t>
            </w:r>
          </w:p>
        </w:tc>
        <w:tc>
          <w:tcPr>
            <w:tcW w:w="1283" w:type="dxa"/>
            <w:gridSpan w:val="3"/>
            <w:tcBorders>
              <w:top w:val="nil"/>
              <w:left w:val="nil"/>
              <w:bottom w:val="single" w:sz="8" w:space="0" w:color="auto"/>
              <w:right w:val="nil"/>
            </w:tcBorders>
            <w:shd w:val="clear" w:color="auto" w:fill="auto"/>
            <w:vAlign w:val="bottom"/>
            <w:hideMark/>
          </w:tcPr>
          <w:p w14:paraId="71A6A906" w14:textId="77777777" w:rsidR="00043399" w:rsidRPr="00F96C18" w:rsidRDefault="00043399" w:rsidP="00E965BC">
            <w:pPr>
              <w:spacing w:line="240" w:lineRule="auto"/>
              <w:jc w:val="center"/>
              <w:rPr>
                <w:rFonts w:cs="Times New Roman"/>
                <w:color w:val="000000"/>
              </w:rPr>
            </w:pPr>
            <w:r w:rsidRPr="00F96C18">
              <w:rPr>
                <w:rFonts w:cs="Times New Roman"/>
                <w:color w:val="000000"/>
              </w:rPr>
              <w:t>Combined</w:t>
            </w:r>
          </w:p>
        </w:tc>
      </w:tr>
      <w:tr w:rsidR="00043399" w:rsidRPr="00F96C18" w14:paraId="575AA165" w14:textId="77777777" w:rsidTr="00E965BC">
        <w:trPr>
          <w:trHeight w:val="315"/>
        </w:trPr>
        <w:tc>
          <w:tcPr>
            <w:tcW w:w="1074" w:type="dxa"/>
            <w:tcBorders>
              <w:top w:val="nil"/>
              <w:left w:val="nil"/>
              <w:bottom w:val="nil"/>
              <w:right w:val="nil"/>
            </w:tcBorders>
            <w:shd w:val="clear" w:color="auto" w:fill="auto"/>
            <w:noWrap/>
            <w:vAlign w:val="bottom"/>
            <w:hideMark/>
          </w:tcPr>
          <w:p w14:paraId="5B9E4F59" w14:textId="77777777" w:rsidR="00043399" w:rsidRPr="00F96C18" w:rsidRDefault="00043399" w:rsidP="00E965BC">
            <w:pPr>
              <w:spacing w:line="240" w:lineRule="auto"/>
              <w:rPr>
                <w:rFonts w:cs="Times New Roman"/>
                <w:color w:val="000000"/>
              </w:rPr>
            </w:pPr>
            <w:r w:rsidRPr="00F96C18">
              <w:rPr>
                <w:rFonts w:cs="Times New Roman"/>
                <w:color w:val="000000"/>
              </w:rPr>
              <w:t>A1</w:t>
            </w:r>
          </w:p>
        </w:tc>
        <w:tc>
          <w:tcPr>
            <w:tcW w:w="1043" w:type="dxa"/>
            <w:gridSpan w:val="2"/>
            <w:tcBorders>
              <w:top w:val="nil"/>
              <w:left w:val="nil"/>
              <w:bottom w:val="nil"/>
              <w:right w:val="nil"/>
            </w:tcBorders>
            <w:shd w:val="clear" w:color="000000" w:fill="D9D9D9"/>
            <w:noWrap/>
            <w:vAlign w:val="bottom"/>
            <w:hideMark/>
          </w:tcPr>
          <w:p w14:paraId="6356FB5F" w14:textId="77777777" w:rsidR="00043399" w:rsidRPr="00F96C18" w:rsidRDefault="00043399" w:rsidP="00E965BC">
            <w:pPr>
              <w:spacing w:line="240" w:lineRule="auto"/>
              <w:jc w:val="right"/>
              <w:rPr>
                <w:rFonts w:cs="Times New Roman"/>
                <w:b/>
                <w:bCs/>
              </w:rPr>
            </w:pPr>
            <w:r w:rsidRPr="00F96C18">
              <w:rPr>
                <w:rFonts w:cs="Times New Roman"/>
                <w:b/>
                <w:bCs/>
              </w:rPr>
              <w:t>17</w:t>
            </w:r>
          </w:p>
        </w:tc>
        <w:tc>
          <w:tcPr>
            <w:tcW w:w="222" w:type="dxa"/>
            <w:tcBorders>
              <w:top w:val="nil"/>
              <w:left w:val="nil"/>
              <w:bottom w:val="nil"/>
              <w:right w:val="nil"/>
            </w:tcBorders>
            <w:shd w:val="clear" w:color="auto" w:fill="auto"/>
            <w:noWrap/>
            <w:vAlign w:val="bottom"/>
            <w:hideMark/>
          </w:tcPr>
          <w:p w14:paraId="1AF656E3"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481" w:type="dxa"/>
            <w:gridSpan w:val="3"/>
            <w:tcBorders>
              <w:top w:val="nil"/>
              <w:left w:val="nil"/>
              <w:bottom w:val="nil"/>
              <w:right w:val="nil"/>
            </w:tcBorders>
            <w:shd w:val="clear" w:color="000000" w:fill="D9D9D9"/>
            <w:noWrap/>
            <w:vAlign w:val="bottom"/>
            <w:hideMark/>
          </w:tcPr>
          <w:p w14:paraId="7770011A" w14:textId="77777777" w:rsidR="00043399" w:rsidRPr="00F96C18" w:rsidRDefault="00043399" w:rsidP="00E965BC">
            <w:pPr>
              <w:spacing w:line="240" w:lineRule="auto"/>
              <w:jc w:val="right"/>
              <w:rPr>
                <w:rFonts w:cs="Times New Roman"/>
                <w:b/>
                <w:bCs/>
              </w:rPr>
            </w:pPr>
            <w:r w:rsidRPr="00F96C18">
              <w:rPr>
                <w:rFonts w:cs="Times New Roman"/>
                <w:b/>
                <w:bCs/>
              </w:rPr>
              <w:t>141</w:t>
            </w:r>
          </w:p>
        </w:tc>
        <w:tc>
          <w:tcPr>
            <w:tcW w:w="474" w:type="dxa"/>
            <w:gridSpan w:val="2"/>
            <w:tcBorders>
              <w:top w:val="nil"/>
              <w:left w:val="nil"/>
              <w:bottom w:val="nil"/>
              <w:right w:val="nil"/>
            </w:tcBorders>
            <w:shd w:val="clear" w:color="auto" w:fill="auto"/>
            <w:noWrap/>
            <w:vAlign w:val="bottom"/>
            <w:hideMark/>
          </w:tcPr>
          <w:p w14:paraId="1EE73CF5"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163" w:type="dxa"/>
            <w:gridSpan w:val="3"/>
            <w:tcBorders>
              <w:top w:val="nil"/>
              <w:left w:val="nil"/>
              <w:bottom w:val="nil"/>
              <w:right w:val="nil"/>
            </w:tcBorders>
            <w:shd w:val="clear" w:color="000000" w:fill="D9D9D9"/>
            <w:noWrap/>
            <w:vAlign w:val="bottom"/>
            <w:hideMark/>
          </w:tcPr>
          <w:p w14:paraId="281A35E2" w14:textId="77777777" w:rsidR="00043399" w:rsidRPr="00F96C18" w:rsidRDefault="00043399" w:rsidP="00E965BC">
            <w:pPr>
              <w:spacing w:line="240" w:lineRule="auto"/>
              <w:jc w:val="right"/>
              <w:rPr>
                <w:rFonts w:cs="Times New Roman"/>
                <w:b/>
                <w:bCs/>
              </w:rPr>
            </w:pPr>
            <w:r w:rsidRPr="00F96C18">
              <w:rPr>
                <w:rFonts w:cs="Times New Roman"/>
                <w:b/>
                <w:bCs/>
              </w:rPr>
              <w:t>29</w:t>
            </w:r>
          </w:p>
        </w:tc>
        <w:tc>
          <w:tcPr>
            <w:tcW w:w="222" w:type="dxa"/>
            <w:tcBorders>
              <w:top w:val="nil"/>
              <w:left w:val="nil"/>
              <w:bottom w:val="nil"/>
              <w:right w:val="nil"/>
            </w:tcBorders>
            <w:shd w:val="clear" w:color="auto" w:fill="auto"/>
            <w:noWrap/>
            <w:vAlign w:val="bottom"/>
            <w:hideMark/>
          </w:tcPr>
          <w:p w14:paraId="1091DF65"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964" w:type="dxa"/>
            <w:gridSpan w:val="2"/>
            <w:tcBorders>
              <w:top w:val="nil"/>
              <w:left w:val="nil"/>
              <w:bottom w:val="nil"/>
              <w:right w:val="nil"/>
            </w:tcBorders>
            <w:shd w:val="clear" w:color="auto" w:fill="auto"/>
            <w:noWrap/>
            <w:vAlign w:val="bottom"/>
            <w:hideMark/>
          </w:tcPr>
          <w:p w14:paraId="4733D353" w14:textId="77777777" w:rsidR="00043399" w:rsidRPr="00F96C18" w:rsidRDefault="00043399" w:rsidP="00E965BC">
            <w:pPr>
              <w:spacing w:line="240" w:lineRule="auto"/>
              <w:jc w:val="right"/>
              <w:rPr>
                <w:rFonts w:cs="Times New Roman"/>
                <w:color w:val="000000"/>
              </w:rPr>
            </w:pPr>
            <w:r w:rsidRPr="00F96C18">
              <w:rPr>
                <w:rFonts w:cs="Times New Roman"/>
                <w:color w:val="000000"/>
              </w:rPr>
              <w:t>0</w:t>
            </w:r>
          </w:p>
        </w:tc>
        <w:tc>
          <w:tcPr>
            <w:tcW w:w="232" w:type="dxa"/>
            <w:tcBorders>
              <w:top w:val="nil"/>
              <w:left w:val="nil"/>
              <w:bottom w:val="nil"/>
              <w:right w:val="nil"/>
            </w:tcBorders>
            <w:shd w:val="clear" w:color="auto" w:fill="auto"/>
            <w:noWrap/>
            <w:vAlign w:val="bottom"/>
            <w:hideMark/>
          </w:tcPr>
          <w:p w14:paraId="2A3EE262"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103" w:type="dxa"/>
            <w:gridSpan w:val="2"/>
            <w:tcBorders>
              <w:top w:val="nil"/>
              <w:left w:val="nil"/>
              <w:bottom w:val="nil"/>
              <w:right w:val="nil"/>
            </w:tcBorders>
            <w:shd w:val="clear" w:color="auto" w:fill="auto"/>
            <w:noWrap/>
            <w:vAlign w:val="bottom"/>
            <w:hideMark/>
          </w:tcPr>
          <w:p w14:paraId="497F8B2A" w14:textId="77777777" w:rsidR="00043399" w:rsidRPr="00F96C18" w:rsidRDefault="00043399" w:rsidP="00E965BC">
            <w:pPr>
              <w:spacing w:line="240" w:lineRule="auto"/>
              <w:jc w:val="right"/>
              <w:rPr>
                <w:rFonts w:cs="Times New Roman"/>
                <w:color w:val="000000"/>
              </w:rPr>
            </w:pPr>
            <w:r w:rsidRPr="00F96C18">
              <w:rPr>
                <w:rFonts w:cs="Times New Roman"/>
                <w:color w:val="000000"/>
              </w:rPr>
              <w:t>-22</w:t>
            </w:r>
          </w:p>
        </w:tc>
        <w:tc>
          <w:tcPr>
            <w:tcW w:w="222" w:type="dxa"/>
            <w:gridSpan w:val="2"/>
            <w:tcBorders>
              <w:top w:val="nil"/>
              <w:left w:val="nil"/>
              <w:bottom w:val="nil"/>
              <w:right w:val="nil"/>
            </w:tcBorders>
            <w:shd w:val="clear" w:color="auto" w:fill="auto"/>
            <w:noWrap/>
            <w:vAlign w:val="bottom"/>
            <w:hideMark/>
          </w:tcPr>
          <w:p w14:paraId="3D0AA1A0"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035" w:type="dxa"/>
            <w:tcBorders>
              <w:top w:val="nil"/>
              <w:left w:val="nil"/>
              <w:bottom w:val="nil"/>
              <w:right w:val="nil"/>
            </w:tcBorders>
            <w:shd w:val="clear" w:color="auto" w:fill="auto"/>
            <w:noWrap/>
            <w:vAlign w:val="bottom"/>
            <w:hideMark/>
          </w:tcPr>
          <w:p w14:paraId="5BE74905" w14:textId="77777777" w:rsidR="00043399" w:rsidRPr="00F96C18" w:rsidRDefault="00043399" w:rsidP="00E965BC">
            <w:pPr>
              <w:spacing w:line="240" w:lineRule="auto"/>
              <w:jc w:val="right"/>
              <w:rPr>
                <w:rFonts w:cs="Times New Roman"/>
                <w:color w:val="000000"/>
              </w:rPr>
            </w:pPr>
            <w:r w:rsidRPr="00F96C18">
              <w:rPr>
                <w:rFonts w:cs="Times New Roman"/>
                <w:color w:val="000000"/>
              </w:rPr>
              <w:t>0</w:t>
            </w:r>
          </w:p>
        </w:tc>
        <w:tc>
          <w:tcPr>
            <w:tcW w:w="248" w:type="dxa"/>
            <w:gridSpan w:val="2"/>
            <w:tcBorders>
              <w:top w:val="nil"/>
              <w:left w:val="nil"/>
              <w:bottom w:val="nil"/>
              <w:right w:val="nil"/>
            </w:tcBorders>
            <w:shd w:val="clear" w:color="auto" w:fill="auto"/>
            <w:noWrap/>
            <w:vAlign w:val="bottom"/>
            <w:hideMark/>
          </w:tcPr>
          <w:p w14:paraId="52E9331C"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r>
      <w:tr w:rsidR="00043399" w:rsidRPr="00F96C18" w14:paraId="07AB14DF" w14:textId="77777777" w:rsidTr="00E965BC">
        <w:trPr>
          <w:trHeight w:val="315"/>
        </w:trPr>
        <w:tc>
          <w:tcPr>
            <w:tcW w:w="1074" w:type="dxa"/>
            <w:tcBorders>
              <w:top w:val="nil"/>
              <w:left w:val="nil"/>
              <w:bottom w:val="nil"/>
              <w:right w:val="nil"/>
            </w:tcBorders>
            <w:shd w:val="clear" w:color="auto" w:fill="auto"/>
            <w:noWrap/>
            <w:vAlign w:val="bottom"/>
            <w:hideMark/>
          </w:tcPr>
          <w:p w14:paraId="4AEE92EE" w14:textId="77777777" w:rsidR="00043399" w:rsidRPr="00F96C18" w:rsidRDefault="00043399" w:rsidP="00E965BC">
            <w:pPr>
              <w:spacing w:line="240" w:lineRule="auto"/>
              <w:rPr>
                <w:rFonts w:cs="Times New Roman"/>
                <w:color w:val="000000"/>
              </w:rPr>
            </w:pPr>
            <w:r w:rsidRPr="00F96C18">
              <w:rPr>
                <w:rFonts w:cs="Times New Roman"/>
                <w:color w:val="000000"/>
              </w:rPr>
              <w:t>A10</w:t>
            </w:r>
          </w:p>
        </w:tc>
        <w:tc>
          <w:tcPr>
            <w:tcW w:w="1043" w:type="dxa"/>
            <w:gridSpan w:val="2"/>
            <w:tcBorders>
              <w:top w:val="nil"/>
              <w:left w:val="nil"/>
              <w:bottom w:val="nil"/>
              <w:right w:val="nil"/>
            </w:tcBorders>
            <w:shd w:val="clear" w:color="000000" w:fill="D9D9D9"/>
            <w:noWrap/>
            <w:vAlign w:val="bottom"/>
            <w:hideMark/>
          </w:tcPr>
          <w:p w14:paraId="3D879C3D" w14:textId="77777777" w:rsidR="00043399" w:rsidRPr="00F96C18" w:rsidRDefault="00043399" w:rsidP="00E965BC">
            <w:pPr>
              <w:spacing w:line="240" w:lineRule="auto"/>
              <w:jc w:val="right"/>
              <w:rPr>
                <w:rFonts w:cs="Times New Roman"/>
                <w:b/>
                <w:bCs/>
              </w:rPr>
            </w:pPr>
            <w:r w:rsidRPr="00F96C18">
              <w:rPr>
                <w:rFonts w:cs="Times New Roman"/>
                <w:b/>
                <w:bCs/>
              </w:rPr>
              <w:t>20</w:t>
            </w:r>
          </w:p>
        </w:tc>
        <w:tc>
          <w:tcPr>
            <w:tcW w:w="222" w:type="dxa"/>
            <w:tcBorders>
              <w:top w:val="nil"/>
              <w:left w:val="nil"/>
              <w:bottom w:val="nil"/>
              <w:right w:val="nil"/>
            </w:tcBorders>
            <w:shd w:val="clear" w:color="auto" w:fill="auto"/>
            <w:noWrap/>
            <w:vAlign w:val="bottom"/>
            <w:hideMark/>
          </w:tcPr>
          <w:p w14:paraId="16819998"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481" w:type="dxa"/>
            <w:gridSpan w:val="3"/>
            <w:tcBorders>
              <w:top w:val="nil"/>
              <w:left w:val="nil"/>
              <w:bottom w:val="nil"/>
              <w:right w:val="nil"/>
            </w:tcBorders>
            <w:shd w:val="clear" w:color="000000" w:fill="D9D9D9"/>
            <w:noWrap/>
            <w:vAlign w:val="bottom"/>
            <w:hideMark/>
          </w:tcPr>
          <w:p w14:paraId="04EE1000" w14:textId="77777777" w:rsidR="00043399" w:rsidRPr="00F96C18" w:rsidRDefault="00043399" w:rsidP="00E965BC">
            <w:pPr>
              <w:spacing w:line="240" w:lineRule="auto"/>
              <w:jc w:val="right"/>
              <w:rPr>
                <w:rFonts w:cs="Times New Roman"/>
                <w:b/>
                <w:bCs/>
              </w:rPr>
            </w:pPr>
            <w:r w:rsidRPr="00F96C18">
              <w:rPr>
                <w:rFonts w:cs="Times New Roman"/>
                <w:b/>
                <w:bCs/>
              </w:rPr>
              <w:t>160</w:t>
            </w:r>
          </w:p>
        </w:tc>
        <w:tc>
          <w:tcPr>
            <w:tcW w:w="474" w:type="dxa"/>
            <w:gridSpan w:val="2"/>
            <w:tcBorders>
              <w:top w:val="nil"/>
              <w:left w:val="nil"/>
              <w:bottom w:val="nil"/>
              <w:right w:val="nil"/>
            </w:tcBorders>
            <w:shd w:val="clear" w:color="auto" w:fill="auto"/>
            <w:noWrap/>
            <w:vAlign w:val="bottom"/>
            <w:hideMark/>
          </w:tcPr>
          <w:p w14:paraId="3BE870D2"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163" w:type="dxa"/>
            <w:gridSpan w:val="3"/>
            <w:tcBorders>
              <w:top w:val="nil"/>
              <w:left w:val="nil"/>
              <w:bottom w:val="nil"/>
              <w:right w:val="nil"/>
            </w:tcBorders>
            <w:shd w:val="clear" w:color="000000" w:fill="D9D9D9"/>
            <w:noWrap/>
            <w:vAlign w:val="bottom"/>
            <w:hideMark/>
          </w:tcPr>
          <w:p w14:paraId="5F3CF131" w14:textId="77777777" w:rsidR="00043399" w:rsidRPr="00F96C18" w:rsidRDefault="00043399" w:rsidP="00E965BC">
            <w:pPr>
              <w:spacing w:line="240" w:lineRule="auto"/>
              <w:jc w:val="right"/>
              <w:rPr>
                <w:rFonts w:cs="Times New Roman"/>
                <w:b/>
                <w:bCs/>
              </w:rPr>
            </w:pPr>
            <w:r w:rsidRPr="00F96C18">
              <w:rPr>
                <w:rFonts w:cs="Times New Roman"/>
                <w:b/>
                <w:bCs/>
              </w:rPr>
              <w:t>33</w:t>
            </w:r>
          </w:p>
        </w:tc>
        <w:tc>
          <w:tcPr>
            <w:tcW w:w="222" w:type="dxa"/>
            <w:tcBorders>
              <w:top w:val="nil"/>
              <w:left w:val="nil"/>
              <w:bottom w:val="nil"/>
              <w:right w:val="nil"/>
            </w:tcBorders>
            <w:shd w:val="clear" w:color="auto" w:fill="auto"/>
            <w:noWrap/>
            <w:vAlign w:val="bottom"/>
            <w:hideMark/>
          </w:tcPr>
          <w:p w14:paraId="3FFDDAE3"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964" w:type="dxa"/>
            <w:gridSpan w:val="2"/>
            <w:tcBorders>
              <w:top w:val="nil"/>
              <w:left w:val="nil"/>
              <w:bottom w:val="nil"/>
              <w:right w:val="nil"/>
            </w:tcBorders>
            <w:shd w:val="clear" w:color="auto" w:fill="auto"/>
            <w:noWrap/>
            <w:vAlign w:val="bottom"/>
            <w:hideMark/>
          </w:tcPr>
          <w:p w14:paraId="08C31A7F" w14:textId="77777777" w:rsidR="00043399" w:rsidRPr="00F96C18" w:rsidRDefault="00043399" w:rsidP="00E965BC">
            <w:pPr>
              <w:spacing w:line="240" w:lineRule="auto"/>
              <w:jc w:val="right"/>
              <w:rPr>
                <w:rFonts w:cs="Times New Roman"/>
                <w:color w:val="000000"/>
              </w:rPr>
            </w:pPr>
            <w:r w:rsidRPr="00F96C18">
              <w:rPr>
                <w:rFonts w:cs="Times New Roman"/>
                <w:color w:val="000000"/>
              </w:rPr>
              <w:t>0</w:t>
            </w:r>
          </w:p>
        </w:tc>
        <w:tc>
          <w:tcPr>
            <w:tcW w:w="232" w:type="dxa"/>
            <w:tcBorders>
              <w:top w:val="nil"/>
              <w:left w:val="nil"/>
              <w:bottom w:val="nil"/>
              <w:right w:val="nil"/>
            </w:tcBorders>
            <w:shd w:val="clear" w:color="auto" w:fill="auto"/>
            <w:noWrap/>
            <w:vAlign w:val="bottom"/>
            <w:hideMark/>
          </w:tcPr>
          <w:p w14:paraId="3FDC406B"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103" w:type="dxa"/>
            <w:gridSpan w:val="2"/>
            <w:tcBorders>
              <w:top w:val="nil"/>
              <w:left w:val="nil"/>
              <w:bottom w:val="nil"/>
              <w:right w:val="nil"/>
            </w:tcBorders>
            <w:shd w:val="clear" w:color="auto" w:fill="auto"/>
            <w:noWrap/>
            <w:vAlign w:val="bottom"/>
            <w:hideMark/>
          </w:tcPr>
          <w:p w14:paraId="7FA0313E" w14:textId="77777777" w:rsidR="00043399" w:rsidRPr="00F96C18" w:rsidRDefault="00043399" w:rsidP="00E965BC">
            <w:pPr>
              <w:spacing w:line="240" w:lineRule="auto"/>
              <w:jc w:val="right"/>
              <w:rPr>
                <w:rFonts w:cs="Times New Roman"/>
                <w:color w:val="000000"/>
              </w:rPr>
            </w:pPr>
            <w:r w:rsidRPr="00F96C18">
              <w:rPr>
                <w:rFonts w:cs="Times New Roman"/>
                <w:color w:val="000000"/>
              </w:rPr>
              <w:t>-32</w:t>
            </w:r>
          </w:p>
        </w:tc>
        <w:tc>
          <w:tcPr>
            <w:tcW w:w="222" w:type="dxa"/>
            <w:gridSpan w:val="2"/>
            <w:tcBorders>
              <w:top w:val="nil"/>
              <w:left w:val="nil"/>
              <w:bottom w:val="nil"/>
              <w:right w:val="nil"/>
            </w:tcBorders>
            <w:shd w:val="clear" w:color="auto" w:fill="auto"/>
            <w:noWrap/>
            <w:vAlign w:val="bottom"/>
            <w:hideMark/>
          </w:tcPr>
          <w:p w14:paraId="3F8E18B3"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035" w:type="dxa"/>
            <w:tcBorders>
              <w:top w:val="nil"/>
              <w:left w:val="nil"/>
              <w:bottom w:val="nil"/>
              <w:right w:val="nil"/>
            </w:tcBorders>
            <w:shd w:val="clear" w:color="auto" w:fill="auto"/>
            <w:noWrap/>
            <w:vAlign w:val="bottom"/>
            <w:hideMark/>
          </w:tcPr>
          <w:p w14:paraId="49566A90" w14:textId="77777777" w:rsidR="00043399" w:rsidRPr="00F96C18" w:rsidRDefault="00043399" w:rsidP="00E965BC">
            <w:pPr>
              <w:spacing w:line="240" w:lineRule="auto"/>
              <w:jc w:val="right"/>
              <w:rPr>
                <w:rFonts w:cs="Times New Roman"/>
                <w:color w:val="000000"/>
              </w:rPr>
            </w:pPr>
            <w:r w:rsidRPr="00F96C18">
              <w:rPr>
                <w:rFonts w:cs="Times New Roman"/>
                <w:color w:val="000000"/>
              </w:rPr>
              <w:t>0</w:t>
            </w:r>
          </w:p>
        </w:tc>
        <w:tc>
          <w:tcPr>
            <w:tcW w:w="248" w:type="dxa"/>
            <w:gridSpan w:val="2"/>
            <w:tcBorders>
              <w:top w:val="nil"/>
              <w:left w:val="nil"/>
              <w:bottom w:val="nil"/>
              <w:right w:val="nil"/>
            </w:tcBorders>
            <w:shd w:val="clear" w:color="auto" w:fill="auto"/>
            <w:noWrap/>
            <w:vAlign w:val="bottom"/>
            <w:hideMark/>
          </w:tcPr>
          <w:p w14:paraId="1342E07F"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r>
      <w:tr w:rsidR="00043399" w:rsidRPr="00F96C18" w14:paraId="7035CA27" w14:textId="77777777" w:rsidTr="00E965BC">
        <w:trPr>
          <w:trHeight w:val="315"/>
        </w:trPr>
        <w:tc>
          <w:tcPr>
            <w:tcW w:w="1074" w:type="dxa"/>
            <w:tcBorders>
              <w:top w:val="nil"/>
              <w:left w:val="nil"/>
              <w:bottom w:val="nil"/>
              <w:right w:val="nil"/>
            </w:tcBorders>
            <w:shd w:val="clear" w:color="auto" w:fill="auto"/>
            <w:noWrap/>
            <w:vAlign w:val="bottom"/>
            <w:hideMark/>
          </w:tcPr>
          <w:p w14:paraId="494C7359" w14:textId="77777777" w:rsidR="00043399" w:rsidRPr="00F96C18" w:rsidRDefault="00043399" w:rsidP="00E965BC">
            <w:pPr>
              <w:spacing w:line="240" w:lineRule="auto"/>
              <w:rPr>
                <w:rFonts w:cs="Times New Roman"/>
                <w:color w:val="000000"/>
              </w:rPr>
            </w:pPr>
            <w:r w:rsidRPr="00F96C18">
              <w:rPr>
                <w:rFonts w:cs="Times New Roman"/>
                <w:color w:val="000000"/>
              </w:rPr>
              <w:t>AS</w:t>
            </w:r>
          </w:p>
        </w:tc>
        <w:tc>
          <w:tcPr>
            <w:tcW w:w="1043" w:type="dxa"/>
            <w:gridSpan w:val="2"/>
            <w:tcBorders>
              <w:top w:val="nil"/>
              <w:left w:val="nil"/>
              <w:bottom w:val="nil"/>
              <w:right w:val="nil"/>
            </w:tcBorders>
            <w:shd w:val="clear" w:color="auto" w:fill="auto"/>
            <w:noWrap/>
            <w:vAlign w:val="bottom"/>
            <w:hideMark/>
          </w:tcPr>
          <w:p w14:paraId="14F1E9FD" w14:textId="77777777" w:rsidR="00043399" w:rsidRPr="00F96C18" w:rsidRDefault="00043399" w:rsidP="00E965BC">
            <w:pPr>
              <w:spacing w:line="240" w:lineRule="auto"/>
              <w:jc w:val="right"/>
              <w:rPr>
                <w:rFonts w:cs="Times New Roman"/>
                <w:color w:val="000000"/>
              </w:rPr>
            </w:pPr>
            <w:r w:rsidRPr="00F96C18">
              <w:rPr>
                <w:rFonts w:cs="Times New Roman"/>
                <w:color w:val="000000"/>
              </w:rPr>
              <w:t>-25</w:t>
            </w:r>
          </w:p>
        </w:tc>
        <w:tc>
          <w:tcPr>
            <w:tcW w:w="222" w:type="dxa"/>
            <w:tcBorders>
              <w:top w:val="nil"/>
              <w:left w:val="nil"/>
              <w:bottom w:val="nil"/>
              <w:right w:val="nil"/>
            </w:tcBorders>
            <w:shd w:val="clear" w:color="auto" w:fill="auto"/>
            <w:noWrap/>
            <w:vAlign w:val="bottom"/>
            <w:hideMark/>
          </w:tcPr>
          <w:p w14:paraId="1FAA3B6B"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481" w:type="dxa"/>
            <w:gridSpan w:val="3"/>
            <w:tcBorders>
              <w:top w:val="nil"/>
              <w:left w:val="nil"/>
              <w:bottom w:val="nil"/>
              <w:right w:val="nil"/>
            </w:tcBorders>
            <w:shd w:val="clear" w:color="auto" w:fill="auto"/>
            <w:noWrap/>
            <w:vAlign w:val="bottom"/>
            <w:hideMark/>
          </w:tcPr>
          <w:p w14:paraId="60B64DAA" w14:textId="77777777" w:rsidR="00043399" w:rsidRPr="00F96C18" w:rsidRDefault="00043399" w:rsidP="00E965BC">
            <w:pPr>
              <w:spacing w:line="240" w:lineRule="auto"/>
              <w:jc w:val="right"/>
              <w:rPr>
                <w:rFonts w:cs="Times New Roman"/>
                <w:color w:val="000000"/>
              </w:rPr>
            </w:pPr>
            <w:r w:rsidRPr="00F96C18">
              <w:rPr>
                <w:rFonts w:cs="Times New Roman"/>
                <w:color w:val="000000"/>
              </w:rPr>
              <w:t>-263</w:t>
            </w:r>
          </w:p>
        </w:tc>
        <w:tc>
          <w:tcPr>
            <w:tcW w:w="474" w:type="dxa"/>
            <w:gridSpan w:val="2"/>
            <w:tcBorders>
              <w:top w:val="nil"/>
              <w:left w:val="nil"/>
              <w:bottom w:val="nil"/>
              <w:right w:val="nil"/>
            </w:tcBorders>
            <w:shd w:val="clear" w:color="auto" w:fill="auto"/>
            <w:noWrap/>
            <w:vAlign w:val="bottom"/>
            <w:hideMark/>
          </w:tcPr>
          <w:p w14:paraId="4CCE4BC6" w14:textId="77777777" w:rsidR="00043399" w:rsidRPr="00F96C18" w:rsidRDefault="00043399" w:rsidP="00E965BC">
            <w:pPr>
              <w:spacing w:line="240" w:lineRule="auto"/>
              <w:rPr>
                <w:rFonts w:cs="Times New Roman"/>
                <w:color w:val="000000"/>
              </w:rPr>
            </w:pPr>
            <w:r w:rsidRPr="00F96C18">
              <w:rPr>
                <w:rFonts w:cs="Times New Roman"/>
                <w:color w:val="000000"/>
              </w:rPr>
              <w:t>*</w:t>
            </w:r>
          </w:p>
        </w:tc>
        <w:tc>
          <w:tcPr>
            <w:tcW w:w="1163" w:type="dxa"/>
            <w:gridSpan w:val="3"/>
            <w:tcBorders>
              <w:top w:val="nil"/>
              <w:left w:val="nil"/>
              <w:bottom w:val="nil"/>
              <w:right w:val="nil"/>
            </w:tcBorders>
            <w:shd w:val="clear" w:color="auto" w:fill="auto"/>
            <w:noWrap/>
            <w:vAlign w:val="bottom"/>
            <w:hideMark/>
          </w:tcPr>
          <w:p w14:paraId="213DBCAE" w14:textId="77777777" w:rsidR="00043399" w:rsidRPr="00F96C18" w:rsidRDefault="00043399" w:rsidP="00E965BC">
            <w:pPr>
              <w:spacing w:line="240" w:lineRule="auto"/>
              <w:jc w:val="right"/>
              <w:rPr>
                <w:rFonts w:cs="Times New Roman"/>
                <w:color w:val="000000"/>
              </w:rPr>
            </w:pPr>
            <w:r w:rsidRPr="00F96C18">
              <w:rPr>
                <w:rFonts w:cs="Times New Roman"/>
                <w:color w:val="000000"/>
              </w:rPr>
              <w:t>-54</w:t>
            </w:r>
          </w:p>
        </w:tc>
        <w:tc>
          <w:tcPr>
            <w:tcW w:w="222" w:type="dxa"/>
            <w:tcBorders>
              <w:top w:val="nil"/>
              <w:left w:val="nil"/>
              <w:bottom w:val="nil"/>
              <w:right w:val="nil"/>
            </w:tcBorders>
            <w:shd w:val="clear" w:color="auto" w:fill="auto"/>
            <w:noWrap/>
            <w:vAlign w:val="bottom"/>
            <w:hideMark/>
          </w:tcPr>
          <w:p w14:paraId="587C1934"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964" w:type="dxa"/>
            <w:gridSpan w:val="2"/>
            <w:tcBorders>
              <w:top w:val="nil"/>
              <w:left w:val="nil"/>
              <w:bottom w:val="nil"/>
              <w:right w:val="nil"/>
            </w:tcBorders>
            <w:shd w:val="clear" w:color="auto" w:fill="auto"/>
            <w:noWrap/>
            <w:vAlign w:val="bottom"/>
            <w:hideMark/>
          </w:tcPr>
          <w:p w14:paraId="2BDFD05C" w14:textId="77777777" w:rsidR="00043399" w:rsidRPr="00F96C18" w:rsidRDefault="00043399" w:rsidP="00E965BC">
            <w:pPr>
              <w:spacing w:line="240" w:lineRule="auto"/>
              <w:jc w:val="right"/>
              <w:rPr>
                <w:rFonts w:cs="Times New Roman"/>
                <w:color w:val="000000"/>
              </w:rPr>
            </w:pPr>
            <w:r w:rsidRPr="00F96C18">
              <w:rPr>
                <w:rFonts w:cs="Times New Roman"/>
                <w:color w:val="000000"/>
              </w:rPr>
              <w:t>0</w:t>
            </w:r>
          </w:p>
        </w:tc>
        <w:tc>
          <w:tcPr>
            <w:tcW w:w="232" w:type="dxa"/>
            <w:tcBorders>
              <w:top w:val="nil"/>
              <w:left w:val="nil"/>
              <w:bottom w:val="nil"/>
              <w:right w:val="nil"/>
            </w:tcBorders>
            <w:shd w:val="clear" w:color="auto" w:fill="auto"/>
            <w:noWrap/>
            <w:vAlign w:val="bottom"/>
            <w:hideMark/>
          </w:tcPr>
          <w:p w14:paraId="4449258D"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103" w:type="dxa"/>
            <w:gridSpan w:val="2"/>
            <w:tcBorders>
              <w:top w:val="nil"/>
              <w:left w:val="nil"/>
              <w:bottom w:val="nil"/>
              <w:right w:val="nil"/>
            </w:tcBorders>
            <w:shd w:val="clear" w:color="000000" w:fill="D9D9D9"/>
            <w:noWrap/>
            <w:vAlign w:val="bottom"/>
            <w:hideMark/>
          </w:tcPr>
          <w:p w14:paraId="45325AAE" w14:textId="77777777" w:rsidR="00043399" w:rsidRPr="00F96C18" w:rsidRDefault="00043399" w:rsidP="00E965BC">
            <w:pPr>
              <w:spacing w:line="240" w:lineRule="auto"/>
              <w:jc w:val="right"/>
              <w:rPr>
                <w:rFonts w:cs="Times New Roman"/>
                <w:b/>
                <w:bCs/>
              </w:rPr>
            </w:pPr>
            <w:r w:rsidRPr="00F96C18">
              <w:rPr>
                <w:rFonts w:cs="Times New Roman"/>
                <w:b/>
                <w:bCs/>
              </w:rPr>
              <w:t>18</w:t>
            </w:r>
          </w:p>
        </w:tc>
        <w:tc>
          <w:tcPr>
            <w:tcW w:w="222" w:type="dxa"/>
            <w:gridSpan w:val="2"/>
            <w:tcBorders>
              <w:top w:val="nil"/>
              <w:left w:val="nil"/>
              <w:bottom w:val="nil"/>
              <w:right w:val="nil"/>
            </w:tcBorders>
            <w:shd w:val="clear" w:color="auto" w:fill="auto"/>
            <w:noWrap/>
            <w:vAlign w:val="bottom"/>
            <w:hideMark/>
          </w:tcPr>
          <w:p w14:paraId="37CD917D"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035" w:type="dxa"/>
            <w:tcBorders>
              <w:top w:val="nil"/>
              <w:left w:val="nil"/>
              <w:bottom w:val="nil"/>
              <w:right w:val="nil"/>
            </w:tcBorders>
            <w:shd w:val="clear" w:color="auto" w:fill="auto"/>
            <w:noWrap/>
            <w:vAlign w:val="bottom"/>
            <w:hideMark/>
          </w:tcPr>
          <w:p w14:paraId="64533ECD" w14:textId="77777777" w:rsidR="00043399" w:rsidRPr="00F96C18" w:rsidRDefault="00043399" w:rsidP="00E965BC">
            <w:pPr>
              <w:spacing w:line="240" w:lineRule="auto"/>
              <w:jc w:val="right"/>
              <w:rPr>
                <w:rFonts w:cs="Times New Roman"/>
                <w:color w:val="000000"/>
              </w:rPr>
            </w:pPr>
            <w:r w:rsidRPr="00F96C18">
              <w:rPr>
                <w:rFonts w:cs="Times New Roman"/>
                <w:color w:val="000000"/>
              </w:rPr>
              <w:t>0</w:t>
            </w:r>
          </w:p>
        </w:tc>
        <w:tc>
          <w:tcPr>
            <w:tcW w:w="248" w:type="dxa"/>
            <w:gridSpan w:val="2"/>
            <w:tcBorders>
              <w:top w:val="nil"/>
              <w:left w:val="nil"/>
              <w:bottom w:val="nil"/>
              <w:right w:val="nil"/>
            </w:tcBorders>
            <w:shd w:val="clear" w:color="auto" w:fill="auto"/>
            <w:noWrap/>
            <w:vAlign w:val="bottom"/>
            <w:hideMark/>
          </w:tcPr>
          <w:p w14:paraId="689D28DE"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r>
      <w:tr w:rsidR="00043399" w:rsidRPr="00F96C18" w14:paraId="4CAF0DF7" w14:textId="77777777" w:rsidTr="00E965BC">
        <w:trPr>
          <w:trHeight w:val="315"/>
        </w:trPr>
        <w:tc>
          <w:tcPr>
            <w:tcW w:w="1074" w:type="dxa"/>
            <w:tcBorders>
              <w:top w:val="nil"/>
              <w:left w:val="nil"/>
              <w:bottom w:val="nil"/>
              <w:right w:val="nil"/>
            </w:tcBorders>
            <w:shd w:val="clear" w:color="auto" w:fill="auto"/>
            <w:noWrap/>
            <w:vAlign w:val="bottom"/>
            <w:hideMark/>
          </w:tcPr>
          <w:p w14:paraId="5A991D86" w14:textId="77777777" w:rsidR="00043399" w:rsidRPr="00F96C18" w:rsidRDefault="00043399" w:rsidP="00E965BC">
            <w:pPr>
              <w:spacing w:line="240" w:lineRule="auto"/>
              <w:rPr>
                <w:rFonts w:cs="Times New Roman"/>
                <w:color w:val="000000"/>
              </w:rPr>
            </w:pPr>
            <w:r w:rsidRPr="00F96C18">
              <w:rPr>
                <w:rFonts w:cs="Times New Roman"/>
                <w:color w:val="000000"/>
              </w:rPr>
              <w:t>K2</w:t>
            </w:r>
          </w:p>
        </w:tc>
        <w:tc>
          <w:tcPr>
            <w:tcW w:w="1043" w:type="dxa"/>
            <w:gridSpan w:val="2"/>
            <w:tcBorders>
              <w:top w:val="nil"/>
              <w:left w:val="nil"/>
              <w:bottom w:val="nil"/>
              <w:right w:val="nil"/>
            </w:tcBorders>
            <w:shd w:val="clear" w:color="auto" w:fill="auto"/>
            <w:noWrap/>
            <w:vAlign w:val="bottom"/>
            <w:hideMark/>
          </w:tcPr>
          <w:p w14:paraId="3F0E7220" w14:textId="77777777" w:rsidR="00043399" w:rsidRPr="00F96C18" w:rsidRDefault="00043399" w:rsidP="00E965BC">
            <w:pPr>
              <w:spacing w:line="240" w:lineRule="auto"/>
              <w:jc w:val="right"/>
              <w:rPr>
                <w:rFonts w:cs="Times New Roman"/>
                <w:color w:val="000000"/>
              </w:rPr>
            </w:pPr>
            <w:r w:rsidRPr="00F96C18">
              <w:rPr>
                <w:rFonts w:cs="Times New Roman"/>
                <w:color w:val="000000"/>
              </w:rPr>
              <w:t>-16</w:t>
            </w:r>
          </w:p>
        </w:tc>
        <w:tc>
          <w:tcPr>
            <w:tcW w:w="222" w:type="dxa"/>
            <w:tcBorders>
              <w:top w:val="nil"/>
              <w:left w:val="nil"/>
              <w:bottom w:val="nil"/>
              <w:right w:val="nil"/>
            </w:tcBorders>
            <w:shd w:val="clear" w:color="auto" w:fill="auto"/>
            <w:noWrap/>
            <w:vAlign w:val="bottom"/>
            <w:hideMark/>
          </w:tcPr>
          <w:p w14:paraId="283D044D"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481" w:type="dxa"/>
            <w:gridSpan w:val="3"/>
            <w:tcBorders>
              <w:top w:val="nil"/>
              <w:left w:val="nil"/>
              <w:bottom w:val="nil"/>
              <w:right w:val="nil"/>
            </w:tcBorders>
            <w:shd w:val="clear" w:color="auto" w:fill="auto"/>
            <w:noWrap/>
            <w:vAlign w:val="bottom"/>
            <w:hideMark/>
          </w:tcPr>
          <w:p w14:paraId="47DACD2C" w14:textId="77777777" w:rsidR="00043399" w:rsidRPr="00F96C18" w:rsidRDefault="00043399" w:rsidP="00E965BC">
            <w:pPr>
              <w:spacing w:line="240" w:lineRule="auto"/>
              <w:jc w:val="right"/>
              <w:rPr>
                <w:rFonts w:cs="Times New Roman"/>
                <w:color w:val="000000"/>
              </w:rPr>
            </w:pPr>
            <w:r w:rsidRPr="00F96C18">
              <w:rPr>
                <w:rFonts w:cs="Times New Roman"/>
                <w:color w:val="000000"/>
              </w:rPr>
              <w:t>-20</w:t>
            </w:r>
          </w:p>
        </w:tc>
        <w:tc>
          <w:tcPr>
            <w:tcW w:w="474" w:type="dxa"/>
            <w:gridSpan w:val="2"/>
            <w:tcBorders>
              <w:top w:val="nil"/>
              <w:left w:val="nil"/>
              <w:bottom w:val="nil"/>
              <w:right w:val="nil"/>
            </w:tcBorders>
            <w:shd w:val="clear" w:color="auto" w:fill="auto"/>
            <w:noWrap/>
            <w:vAlign w:val="bottom"/>
            <w:hideMark/>
          </w:tcPr>
          <w:p w14:paraId="2FFDEA9A"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163" w:type="dxa"/>
            <w:gridSpan w:val="3"/>
            <w:tcBorders>
              <w:top w:val="nil"/>
              <w:left w:val="nil"/>
              <w:bottom w:val="nil"/>
              <w:right w:val="nil"/>
            </w:tcBorders>
            <w:shd w:val="clear" w:color="auto" w:fill="auto"/>
            <w:noWrap/>
            <w:vAlign w:val="bottom"/>
            <w:hideMark/>
          </w:tcPr>
          <w:p w14:paraId="3B1DD2B6" w14:textId="77777777" w:rsidR="00043399" w:rsidRPr="00F96C18" w:rsidRDefault="00043399" w:rsidP="00E965BC">
            <w:pPr>
              <w:spacing w:line="240" w:lineRule="auto"/>
              <w:jc w:val="right"/>
              <w:rPr>
                <w:rFonts w:cs="Times New Roman"/>
                <w:color w:val="000000"/>
              </w:rPr>
            </w:pPr>
            <w:r w:rsidRPr="00F96C18">
              <w:rPr>
                <w:rFonts w:cs="Times New Roman"/>
                <w:color w:val="000000"/>
              </w:rPr>
              <w:t>-6</w:t>
            </w:r>
          </w:p>
        </w:tc>
        <w:tc>
          <w:tcPr>
            <w:tcW w:w="222" w:type="dxa"/>
            <w:tcBorders>
              <w:top w:val="nil"/>
              <w:left w:val="nil"/>
              <w:bottom w:val="nil"/>
              <w:right w:val="nil"/>
            </w:tcBorders>
            <w:shd w:val="clear" w:color="auto" w:fill="auto"/>
            <w:noWrap/>
            <w:vAlign w:val="bottom"/>
            <w:hideMark/>
          </w:tcPr>
          <w:p w14:paraId="022975E0"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964" w:type="dxa"/>
            <w:gridSpan w:val="2"/>
            <w:tcBorders>
              <w:top w:val="nil"/>
              <w:left w:val="nil"/>
              <w:bottom w:val="nil"/>
              <w:right w:val="nil"/>
            </w:tcBorders>
            <w:shd w:val="clear" w:color="auto" w:fill="auto"/>
            <w:noWrap/>
            <w:vAlign w:val="bottom"/>
            <w:hideMark/>
          </w:tcPr>
          <w:p w14:paraId="0B9BB91E" w14:textId="77777777" w:rsidR="00043399" w:rsidRPr="00F96C18" w:rsidRDefault="00043399" w:rsidP="00E965BC">
            <w:pPr>
              <w:spacing w:line="240" w:lineRule="auto"/>
              <w:jc w:val="right"/>
              <w:rPr>
                <w:rFonts w:cs="Times New Roman"/>
                <w:color w:val="000000"/>
              </w:rPr>
            </w:pPr>
            <w:r w:rsidRPr="00F96C18">
              <w:rPr>
                <w:rFonts w:cs="Times New Roman"/>
                <w:color w:val="000000"/>
              </w:rPr>
              <w:t>0</w:t>
            </w:r>
          </w:p>
        </w:tc>
        <w:tc>
          <w:tcPr>
            <w:tcW w:w="232" w:type="dxa"/>
            <w:tcBorders>
              <w:top w:val="nil"/>
              <w:left w:val="nil"/>
              <w:bottom w:val="nil"/>
              <w:right w:val="nil"/>
            </w:tcBorders>
            <w:shd w:val="clear" w:color="auto" w:fill="auto"/>
            <w:noWrap/>
            <w:vAlign w:val="bottom"/>
            <w:hideMark/>
          </w:tcPr>
          <w:p w14:paraId="701963DA"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103" w:type="dxa"/>
            <w:gridSpan w:val="2"/>
            <w:tcBorders>
              <w:top w:val="nil"/>
              <w:left w:val="nil"/>
              <w:bottom w:val="nil"/>
              <w:right w:val="nil"/>
            </w:tcBorders>
            <w:shd w:val="clear" w:color="000000" w:fill="D9D9D9"/>
            <w:noWrap/>
            <w:vAlign w:val="bottom"/>
            <w:hideMark/>
          </w:tcPr>
          <w:p w14:paraId="19189C9F" w14:textId="77777777" w:rsidR="00043399" w:rsidRPr="00F96C18" w:rsidRDefault="00043399" w:rsidP="00E965BC">
            <w:pPr>
              <w:spacing w:line="240" w:lineRule="auto"/>
              <w:jc w:val="right"/>
              <w:rPr>
                <w:rFonts w:cs="Times New Roman"/>
                <w:b/>
                <w:bCs/>
              </w:rPr>
            </w:pPr>
            <w:r w:rsidRPr="00F96C18">
              <w:rPr>
                <w:rFonts w:cs="Times New Roman"/>
                <w:b/>
                <w:bCs/>
              </w:rPr>
              <w:t>35</w:t>
            </w:r>
          </w:p>
        </w:tc>
        <w:tc>
          <w:tcPr>
            <w:tcW w:w="222" w:type="dxa"/>
            <w:gridSpan w:val="2"/>
            <w:tcBorders>
              <w:top w:val="nil"/>
              <w:left w:val="nil"/>
              <w:bottom w:val="nil"/>
              <w:right w:val="nil"/>
            </w:tcBorders>
            <w:shd w:val="clear" w:color="auto" w:fill="auto"/>
            <w:noWrap/>
            <w:vAlign w:val="bottom"/>
            <w:hideMark/>
          </w:tcPr>
          <w:p w14:paraId="603D42D2"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035" w:type="dxa"/>
            <w:tcBorders>
              <w:top w:val="nil"/>
              <w:left w:val="nil"/>
              <w:bottom w:val="nil"/>
              <w:right w:val="nil"/>
            </w:tcBorders>
            <w:shd w:val="clear" w:color="auto" w:fill="auto"/>
            <w:noWrap/>
            <w:vAlign w:val="bottom"/>
            <w:hideMark/>
          </w:tcPr>
          <w:p w14:paraId="293961EF" w14:textId="77777777" w:rsidR="00043399" w:rsidRPr="00F96C18" w:rsidRDefault="00043399" w:rsidP="00E965BC">
            <w:pPr>
              <w:spacing w:line="240" w:lineRule="auto"/>
              <w:jc w:val="right"/>
              <w:rPr>
                <w:rFonts w:cs="Times New Roman"/>
                <w:color w:val="000000"/>
              </w:rPr>
            </w:pPr>
            <w:r w:rsidRPr="00F96C18">
              <w:rPr>
                <w:rFonts w:cs="Times New Roman"/>
                <w:color w:val="000000"/>
              </w:rPr>
              <w:t>0</w:t>
            </w:r>
          </w:p>
        </w:tc>
        <w:tc>
          <w:tcPr>
            <w:tcW w:w="248" w:type="dxa"/>
            <w:gridSpan w:val="2"/>
            <w:tcBorders>
              <w:top w:val="nil"/>
              <w:left w:val="nil"/>
              <w:bottom w:val="nil"/>
              <w:right w:val="nil"/>
            </w:tcBorders>
            <w:shd w:val="clear" w:color="auto" w:fill="auto"/>
            <w:noWrap/>
            <w:vAlign w:val="bottom"/>
            <w:hideMark/>
          </w:tcPr>
          <w:p w14:paraId="196EDA07"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r>
      <w:tr w:rsidR="00043399" w:rsidRPr="00F96C18" w14:paraId="4A358F58" w14:textId="77777777" w:rsidTr="00E965BC">
        <w:trPr>
          <w:trHeight w:val="315"/>
        </w:trPr>
        <w:tc>
          <w:tcPr>
            <w:tcW w:w="1074" w:type="dxa"/>
            <w:tcBorders>
              <w:top w:val="nil"/>
              <w:left w:val="nil"/>
              <w:bottom w:val="nil"/>
              <w:right w:val="nil"/>
            </w:tcBorders>
            <w:shd w:val="clear" w:color="auto" w:fill="auto"/>
            <w:noWrap/>
            <w:vAlign w:val="bottom"/>
            <w:hideMark/>
          </w:tcPr>
          <w:p w14:paraId="72B7AB3F" w14:textId="77777777" w:rsidR="00043399" w:rsidRPr="00F96C18" w:rsidRDefault="00043399" w:rsidP="00E965BC">
            <w:pPr>
              <w:spacing w:line="240" w:lineRule="auto"/>
              <w:rPr>
                <w:rFonts w:cs="Times New Roman"/>
                <w:color w:val="000000"/>
              </w:rPr>
            </w:pPr>
            <w:r w:rsidRPr="00F96C18">
              <w:rPr>
                <w:rFonts w:cs="Times New Roman"/>
                <w:color w:val="000000"/>
              </w:rPr>
              <w:t>K3</w:t>
            </w:r>
          </w:p>
        </w:tc>
        <w:tc>
          <w:tcPr>
            <w:tcW w:w="1043" w:type="dxa"/>
            <w:gridSpan w:val="2"/>
            <w:tcBorders>
              <w:top w:val="nil"/>
              <w:left w:val="nil"/>
              <w:bottom w:val="nil"/>
              <w:right w:val="nil"/>
            </w:tcBorders>
            <w:shd w:val="clear" w:color="auto" w:fill="auto"/>
            <w:noWrap/>
            <w:vAlign w:val="bottom"/>
            <w:hideMark/>
          </w:tcPr>
          <w:p w14:paraId="0B318D05" w14:textId="77777777" w:rsidR="00043399" w:rsidRPr="00F96C18" w:rsidRDefault="00043399" w:rsidP="00E965BC">
            <w:pPr>
              <w:spacing w:line="240" w:lineRule="auto"/>
              <w:jc w:val="right"/>
              <w:rPr>
                <w:rFonts w:cs="Times New Roman"/>
                <w:color w:val="000000"/>
              </w:rPr>
            </w:pPr>
            <w:r w:rsidRPr="00F96C18">
              <w:rPr>
                <w:rFonts w:cs="Times New Roman"/>
                <w:color w:val="000000"/>
              </w:rPr>
              <w:t>-26</w:t>
            </w:r>
          </w:p>
        </w:tc>
        <w:tc>
          <w:tcPr>
            <w:tcW w:w="222" w:type="dxa"/>
            <w:tcBorders>
              <w:top w:val="nil"/>
              <w:left w:val="nil"/>
              <w:bottom w:val="nil"/>
              <w:right w:val="nil"/>
            </w:tcBorders>
            <w:shd w:val="clear" w:color="auto" w:fill="auto"/>
            <w:noWrap/>
            <w:vAlign w:val="bottom"/>
            <w:hideMark/>
          </w:tcPr>
          <w:p w14:paraId="06FBB97C"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481" w:type="dxa"/>
            <w:gridSpan w:val="3"/>
            <w:tcBorders>
              <w:top w:val="nil"/>
              <w:left w:val="nil"/>
              <w:bottom w:val="nil"/>
              <w:right w:val="nil"/>
            </w:tcBorders>
            <w:shd w:val="clear" w:color="auto" w:fill="auto"/>
            <w:noWrap/>
            <w:vAlign w:val="bottom"/>
            <w:hideMark/>
          </w:tcPr>
          <w:p w14:paraId="02077429" w14:textId="77777777" w:rsidR="00043399" w:rsidRPr="00F96C18" w:rsidRDefault="00043399" w:rsidP="00E965BC">
            <w:pPr>
              <w:spacing w:line="240" w:lineRule="auto"/>
              <w:jc w:val="right"/>
              <w:rPr>
                <w:rFonts w:cs="Times New Roman"/>
                <w:color w:val="000000"/>
              </w:rPr>
            </w:pPr>
            <w:r w:rsidRPr="00F96C18">
              <w:rPr>
                <w:rFonts w:cs="Times New Roman"/>
                <w:color w:val="000000"/>
              </w:rPr>
              <w:t>-152</w:t>
            </w:r>
          </w:p>
        </w:tc>
        <w:tc>
          <w:tcPr>
            <w:tcW w:w="474" w:type="dxa"/>
            <w:gridSpan w:val="2"/>
            <w:tcBorders>
              <w:top w:val="nil"/>
              <w:left w:val="nil"/>
              <w:bottom w:val="nil"/>
              <w:right w:val="nil"/>
            </w:tcBorders>
            <w:shd w:val="clear" w:color="auto" w:fill="auto"/>
            <w:noWrap/>
            <w:vAlign w:val="bottom"/>
            <w:hideMark/>
          </w:tcPr>
          <w:p w14:paraId="72FFFF84"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163" w:type="dxa"/>
            <w:gridSpan w:val="3"/>
            <w:tcBorders>
              <w:top w:val="nil"/>
              <w:left w:val="nil"/>
              <w:bottom w:val="nil"/>
              <w:right w:val="nil"/>
            </w:tcBorders>
            <w:shd w:val="clear" w:color="auto" w:fill="auto"/>
            <w:noWrap/>
            <w:vAlign w:val="bottom"/>
            <w:hideMark/>
          </w:tcPr>
          <w:p w14:paraId="61FA54C1" w14:textId="77777777" w:rsidR="00043399" w:rsidRPr="00F96C18" w:rsidRDefault="00043399" w:rsidP="00E965BC">
            <w:pPr>
              <w:spacing w:line="240" w:lineRule="auto"/>
              <w:jc w:val="right"/>
              <w:rPr>
                <w:rFonts w:cs="Times New Roman"/>
                <w:color w:val="000000"/>
              </w:rPr>
            </w:pPr>
            <w:r w:rsidRPr="00F96C18">
              <w:rPr>
                <w:rFonts w:cs="Times New Roman"/>
                <w:color w:val="000000"/>
              </w:rPr>
              <w:t>-33</w:t>
            </w:r>
          </w:p>
        </w:tc>
        <w:tc>
          <w:tcPr>
            <w:tcW w:w="222" w:type="dxa"/>
            <w:tcBorders>
              <w:top w:val="nil"/>
              <w:left w:val="nil"/>
              <w:bottom w:val="nil"/>
              <w:right w:val="nil"/>
            </w:tcBorders>
            <w:shd w:val="clear" w:color="auto" w:fill="auto"/>
            <w:noWrap/>
            <w:vAlign w:val="bottom"/>
            <w:hideMark/>
          </w:tcPr>
          <w:p w14:paraId="5B924CF3"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964" w:type="dxa"/>
            <w:gridSpan w:val="2"/>
            <w:tcBorders>
              <w:top w:val="nil"/>
              <w:left w:val="nil"/>
              <w:bottom w:val="nil"/>
              <w:right w:val="nil"/>
            </w:tcBorders>
            <w:shd w:val="clear" w:color="auto" w:fill="auto"/>
            <w:noWrap/>
            <w:vAlign w:val="bottom"/>
            <w:hideMark/>
          </w:tcPr>
          <w:p w14:paraId="169EE224" w14:textId="77777777" w:rsidR="00043399" w:rsidRPr="00F96C18" w:rsidRDefault="00043399" w:rsidP="00E965BC">
            <w:pPr>
              <w:spacing w:line="240" w:lineRule="auto"/>
              <w:jc w:val="right"/>
              <w:rPr>
                <w:rFonts w:cs="Times New Roman"/>
                <w:color w:val="000000"/>
              </w:rPr>
            </w:pPr>
            <w:r w:rsidRPr="00F96C18">
              <w:rPr>
                <w:rFonts w:cs="Times New Roman"/>
                <w:color w:val="000000"/>
              </w:rPr>
              <w:t>0</w:t>
            </w:r>
          </w:p>
        </w:tc>
        <w:tc>
          <w:tcPr>
            <w:tcW w:w="232" w:type="dxa"/>
            <w:tcBorders>
              <w:top w:val="nil"/>
              <w:left w:val="nil"/>
              <w:bottom w:val="nil"/>
              <w:right w:val="nil"/>
            </w:tcBorders>
            <w:shd w:val="clear" w:color="auto" w:fill="auto"/>
            <w:noWrap/>
            <w:vAlign w:val="bottom"/>
            <w:hideMark/>
          </w:tcPr>
          <w:p w14:paraId="68564D14"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103" w:type="dxa"/>
            <w:gridSpan w:val="2"/>
            <w:tcBorders>
              <w:top w:val="nil"/>
              <w:left w:val="nil"/>
              <w:bottom w:val="nil"/>
              <w:right w:val="nil"/>
            </w:tcBorders>
            <w:shd w:val="clear" w:color="000000" w:fill="D9D9D9"/>
            <w:noWrap/>
            <w:vAlign w:val="bottom"/>
            <w:hideMark/>
          </w:tcPr>
          <w:p w14:paraId="51D7D57A" w14:textId="77777777" w:rsidR="00043399" w:rsidRPr="00F96C18" w:rsidRDefault="00043399" w:rsidP="00E965BC">
            <w:pPr>
              <w:spacing w:line="240" w:lineRule="auto"/>
              <w:jc w:val="right"/>
              <w:rPr>
                <w:rFonts w:cs="Times New Roman"/>
                <w:b/>
                <w:bCs/>
              </w:rPr>
            </w:pPr>
            <w:r w:rsidRPr="00F96C18">
              <w:rPr>
                <w:rFonts w:cs="Times New Roman"/>
                <w:b/>
                <w:bCs/>
              </w:rPr>
              <w:t>6</w:t>
            </w:r>
          </w:p>
        </w:tc>
        <w:tc>
          <w:tcPr>
            <w:tcW w:w="222" w:type="dxa"/>
            <w:gridSpan w:val="2"/>
            <w:tcBorders>
              <w:top w:val="nil"/>
              <w:left w:val="nil"/>
              <w:bottom w:val="nil"/>
              <w:right w:val="nil"/>
            </w:tcBorders>
            <w:shd w:val="clear" w:color="auto" w:fill="auto"/>
            <w:noWrap/>
            <w:vAlign w:val="bottom"/>
            <w:hideMark/>
          </w:tcPr>
          <w:p w14:paraId="602581A9"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035" w:type="dxa"/>
            <w:tcBorders>
              <w:top w:val="nil"/>
              <w:left w:val="nil"/>
              <w:bottom w:val="nil"/>
              <w:right w:val="nil"/>
            </w:tcBorders>
            <w:shd w:val="clear" w:color="auto" w:fill="auto"/>
            <w:noWrap/>
            <w:vAlign w:val="bottom"/>
            <w:hideMark/>
          </w:tcPr>
          <w:p w14:paraId="19EC1028" w14:textId="77777777" w:rsidR="00043399" w:rsidRPr="00F96C18" w:rsidRDefault="00043399" w:rsidP="00E965BC">
            <w:pPr>
              <w:spacing w:line="240" w:lineRule="auto"/>
              <w:jc w:val="right"/>
              <w:rPr>
                <w:rFonts w:cs="Times New Roman"/>
                <w:color w:val="000000"/>
              </w:rPr>
            </w:pPr>
            <w:r w:rsidRPr="00F96C18">
              <w:rPr>
                <w:rFonts w:cs="Times New Roman"/>
                <w:color w:val="000000"/>
              </w:rPr>
              <w:t>0</w:t>
            </w:r>
          </w:p>
        </w:tc>
        <w:tc>
          <w:tcPr>
            <w:tcW w:w="248" w:type="dxa"/>
            <w:gridSpan w:val="2"/>
            <w:tcBorders>
              <w:top w:val="nil"/>
              <w:left w:val="nil"/>
              <w:bottom w:val="nil"/>
              <w:right w:val="nil"/>
            </w:tcBorders>
            <w:shd w:val="clear" w:color="auto" w:fill="auto"/>
            <w:noWrap/>
            <w:vAlign w:val="bottom"/>
            <w:hideMark/>
          </w:tcPr>
          <w:p w14:paraId="10348741"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r>
      <w:tr w:rsidR="00043399" w:rsidRPr="00F96C18" w14:paraId="5DADBB13" w14:textId="77777777" w:rsidTr="00E965BC">
        <w:trPr>
          <w:trHeight w:val="330"/>
        </w:trPr>
        <w:tc>
          <w:tcPr>
            <w:tcW w:w="1074" w:type="dxa"/>
            <w:tcBorders>
              <w:top w:val="nil"/>
              <w:left w:val="nil"/>
              <w:bottom w:val="nil"/>
              <w:right w:val="nil"/>
            </w:tcBorders>
            <w:shd w:val="clear" w:color="auto" w:fill="auto"/>
            <w:noWrap/>
            <w:vAlign w:val="bottom"/>
            <w:hideMark/>
          </w:tcPr>
          <w:p w14:paraId="03C90ECB" w14:textId="77777777" w:rsidR="00043399" w:rsidRPr="00F96C18" w:rsidRDefault="00043399" w:rsidP="00E965BC">
            <w:pPr>
              <w:spacing w:line="240" w:lineRule="auto"/>
              <w:rPr>
                <w:rFonts w:cs="Times New Roman"/>
                <w:color w:val="000000"/>
              </w:rPr>
            </w:pPr>
            <w:r w:rsidRPr="00F96C18">
              <w:rPr>
                <w:rFonts w:cs="Times New Roman"/>
                <w:color w:val="000000"/>
              </w:rPr>
              <w:t>M</w:t>
            </w:r>
          </w:p>
        </w:tc>
        <w:tc>
          <w:tcPr>
            <w:tcW w:w="1043" w:type="dxa"/>
            <w:gridSpan w:val="2"/>
            <w:tcBorders>
              <w:top w:val="nil"/>
              <w:left w:val="nil"/>
              <w:bottom w:val="nil"/>
              <w:right w:val="nil"/>
            </w:tcBorders>
            <w:shd w:val="clear" w:color="000000" w:fill="D9D9D9"/>
            <w:noWrap/>
            <w:vAlign w:val="bottom"/>
            <w:hideMark/>
          </w:tcPr>
          <w:p w14:paraId="534943D5" w14:textId="77777777" w:rsidR="00043399" w:rsidRPr="00F96C18" w:rsidRDefault="00043399" w:rsidP="00E965BC">
            <w:pPr>
              <w:spacing w:line="240" w:lineRule="auto"/>
              <w:jc w:val="right"/>
              <w:rPr>
                <w:rFonts w:cs="Times New Roman"/>
                <w:b/>
                <w:bCs/>
              </w:rPr>
            </w:pPr>
            <w:r w:rsidRPr="00F96C18">
              <w:rPr>
                <w:rFonts w:cs="Times New Roman"/>
                <w:b/>
                <w:bCs/>
              </w:rPr>
              <w:t>2</w:t>
            </w:r>
          </w:p>
        </w:tc>
        <w:tc>
          <w:tcPr>
            <w:tcW w:w="222" w:type="dxa"/>
            <w:tcBorders>
              <w:top w:val="nil"/>
              <w:left w:val="nil"/>
              <w:bottom w:val="nil"/>
              <w:right w:val="nil"/>
            </w:tcBorders>
            <w:shd w:val="clear" w:color="auto" w:fill="auto"/>
            <w:noWrap/>
            <w:vAlign w:val="bottom"/>
            <w:hideMark/>
          </w:tcPr>
          <w:p w14:paraId="3CBC2429"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481" w:type="dxa"/>
            <w:gridSpan w:val="3"/>
            <w:tcBorders>
              <w:top w:val="nil"/>
              <w:left w:val="nil"/>
              <w:bottom w:val="nil"/>
              <w:right w:val="nil"/>
            </w:tcBorders>
            <w:shd w:val="clear" w:color="auto" w:fill="auto"/>
            <w:noWrap/>
            <w:vAlign w:val="bottom"/>
            <w:hideMark/>
          </w:tcPr>
          <w:p w14:paraId="18C4144F" w14:textId="77777777" w:rsidR="00043399" w:rsidRPr="00F96C18" w:rsidRDefault="00043399" w:rsidP="00E965BC">
            <w:pPr>
              <w:spacing w:line="240" w:lineRule="auto"/>
              <w:jc w:val="right"/>
              <w:rPr>
                <w:rFonts w:cs="Times New Roman"/>
                <w:color w:val="000000"/>
              </w:rPr>
            </w:pPr>
            <w:r w:rsidRPr="00F96C18">
              <w:rPr>
                <w:rFonts w:cs="Times New Roman"/>
                <w:color w:val="000000"/>
              </w:rPr>
              <w:t>-56</w:t>
            </w:r>
          </w:p>
        </w:tc>
        <w:tc>
          <w:tcPr>
            <w:tcW w:w="474" w:type="dxa"/>
            <w:gridSpan w:val="2"/>
            <w:tcBorders>
              <w:top w:val="nil"/>
              <w:left w:val="nil"/>
              <w:bottom w:val="nil"/>
              <w:right w:val="nil"/>
            </w:tcBorders>
            <w:shd w:val="clear" w:color="auto" w:fill="auto"/>
            <w:noWrap/>
            <w:vAlign w:val="bottom"/>
            <w:hideMark/>
          </w:tcPr>
          <w:p w14:paraId="354BE541"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163" w:type="dxa"/>
            <w:gridSpan w:val="3"/>
            <w:tcBorders>
              <w:top w:val="nil"/>
              <w:left w:val="nil"/>
              <w:bottom w:val="nil"/>
              <w:right w:val="nil"/>
            </w:tcBorders>
            <w:shd w:val="clear" w:color="auto" w:fill="auto"/>
            <w:noWrap/>
            <w:vAlign w:val="bottom"/>
            <w:hideMark/>
          </w:tcPr>
          <w:p w14:paraId="3BA6BE30" w14:textId="77777777" w:rsidR="00043399" w:rsidRPr="00F96C18" w:rsidRDefault="00043399" w:rsidP="00E965BC">
            <w:pPr>
              <w:spacing w:line="240" w:lineRule="auto"/>
              <w:jc w:val="right"/>
              <w:rPr>
                <w:rFonts w:cs="Times New Roman"/>
                <w:color w:val="000000"/>
              </w:rPr>
            </w:pPr>
            <w:r w:rsidRPr="00F96C18">
              <w:rPr>
                <w:rFonts w:cs="Times New Roman"/>
                <w:color w:val="000000"/>
              </w:rPr>
              <w:t>-10</w:t>
            </w:r>
          </w:p>
        </w:tc>
        <w:tc>
          <w:tcPr>
            <w:tcW w:w="222" w:type="dxa"/>
            <w:tcBorders>
              <w:top w:val="nil"/>
              <w:left w:val="nil"/>
              <w:bottom w:val="nil"/>
              <w:right w:val="nil"/>
            </w:tcBorders>
            <w:shd w:val="clear" w:color="auto" w:fill="auto"/>
            <w:noWrap/>
            <w:vAlign w:val="bottom"/>
            <w:hideMark/>
          </w:tcPr>
          <w:p w14:paraId="06DB0D89"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964" w:type="dxa"/>
            <w:gridSpan w:val="2"/>
            <w:tcBorders>
              <w:top w:val="nil"/>
              <w:left w:val="nil"/>
              <w:bottom w:val="nil"/>
              <w:right w:val="nil"/>
            </w:tcBorders>
            <w:shd w:val="clear" w:color="auto" w:fill="auto"/>
            <w:noWrap/>
            <w:vAlign w:val="bottom"/>
            <w:hideMark/>
          </w:tcPr>
          <w:p w14:paraId="1CA2E8EF" w14:textId="77777777" w:rsidR="00043399" w:rsidRPr="00F96C18" w:rsidRDefault="00043399" w:rsidP="00E965BC">
            <w:pPr>
              <w:spacing w:line="240" w:lineRule="auto"/>
              <w:jc w:val="right"/>
              <w:rPr>
                <w:rFonts w:cs="Times New Roman"/>
                <w:color w:val="000000"/>
              </w:rPr>
            </w:pPr>
            <w:r w:rsidRPr="00F96C18">
              <w:rPr>
                <w:rFonts w:cs="Times New Roman"/>
                <w:color w:val="000000"/>
              </w:rPr>
              <w:t>0</w:t>
            </w:r>
          </w:p>
        </w:tc>
        <w:tc>
          <w:tcPr>
            <w:tcW w:w="232" w:type="dxa"/>
            <w:tcBorders>
              <w:top w:val="nil"/>
              <w:left w:val="nil"/>
              <w:bottom w:val="nil"/>
              <w:right w:val="nil"/>
            </w:tcBorders>
            <w:shd w:val="clear" w:color="auto" w:fill="auto"/>
            <w:noWrap/>
            <w:vAlign w:val="bottom"/>
            <w:hideMark/>
          </w:tcPr>
          <w:p w14:paraId="30CEDA17"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103" w:type="dxa"/>
            <w:gridSpan w:val="2"/>
            <w:tcBorders>
              <w:top w:val="nil"/>
              <w:left w:val="nil"/>
              <w:bottom w:val="nil"/>
              <w:right w:val="nil"/>
            </w:tcBorders>
            <w:shd w:val="clear" w:color="auto" w:fill="auto"/>
            <w:noWrap/>
            <w:vAlign w:val="bottom"/>
            <w:hideMark/>
          </w:tcPr>
          <w:p w14:paraId="0A915FDA" w14:textId="77777777" w:rsidR="00043399" w:rsidRPr="00F96C18" w:rsidRDefault="00043399" w:rsidP="00E965BC">
            <w:pPr>
              <w:spacing w:line="240" w:lineRule="auto"/>
              <w:jc w:val="right"/>
              <w:rPr>
                <w:rFonts w:cs="Times New Roman"/>
                <w:color w:val="000000"/>
              </w:rPr>
            </w:pPr>
            <w:r w:rsidRPr="00F96C18">
              <w:rPr>
                <w:rFonts w:cs="Times New Roman"/>
                <w:color w:val="000000"/>
              </w:rPr>
              <w:t>-2</w:t>
            </w:r>
          </w:p>
        </w:tc>
        <w:tc>
          <w:tcPr>
            <w:tcW w:w="222" w:type="dxa"/>
            <w:gridSpan w:val="2"/>
            <w:tcBorders>
              <w:top w:val="nil"/>
              <w:left w:val="nil"/>
              <w:bottom w:val="nil"/>
              <w:right w:val="nil"/>
            </w:tcBorders>
            <w:shd w:val="clear" w:color="auto" w:fill="auto"/>
            <w:noWrap/>
            <w:vAlign w:val="bottom"/>
            <w:hideMark/>
          </w:tcPr>
          <w:p w14:paraId="0616EA37"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035" w:type="dxa"/>
            <w:tcBorders>
              <w:top w:val="nil"/>
              <w:left w:val="nil"/>
              <w:bottom w:val="nil"/>
              <w:right w:val="nil"/>
            </w:tcBorders>
            <w:shd w:val="clear" w:color="auto" w:fill="auto"/>
            <w:noWrap/>
            <w:vAlign w:val="bottom"/>
            <w:hideMark/>
          </w:tcPr>
          <w:p w14:paraId="3824066A" w14:textId="77777777" w:rsidR="00043399" w:rsidRPr="00F96C18" w:rsidRDefault="00043399" w:rsidP="00E965BC">
            <w:pPr>
              <w:spacing w:line="240" w:lineRule="auto"/>
              <w:jc w:val="right"/>
              <w:rPr>
                <w:rFonts w:cs="Times New Roman"/>
                <w:color w:val="000000"/>
              </w:rPr>
            </w:pPr>
            <w:r w:rsidRPr="00F96C18">
              <w:rPr>
                <w:rFonts w:cs="Times New Roman"/>
                <w:color w:val="000000"/>
              </w:rPr>
              <w:t>0</w:t>
            </w:r>
          </w:p>
        </w:tc>
        <w:tc>
          <w:tcPr>
            <w:tcW w:w="248" w:type="dxa"/>
            <w:gridSpan w:val="2"/>
            <w:tcBorders>
              <w:top w:val="nil"/>
              <w:left w:val="nil"/>
              <w:bottom w:val="nil"/>
              <w:right w:val="nil"/>
            </w:tcBorders>
            <w:shd w:val="clear" w:color="auto" w:fill="auto"/>
            <w:noWrap/>
            <w:vAlign w:val="bottom"/>
            <w:hideMark/>
          </w:tcPr>
          <w:p w14:paraId="5916E075"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r>
      <w:tr w:rsidR="00043399" w:rsidRPr="00F96C18" w14:paraId="078607D0" w14:textId="77777777" w:rsidTr="00E965BC">
        <w:trPr>
          <w:trHeight w:val="315"/>
        </w:trPr>
        <w:tc>
          <w:tcPr>
            <w:tcW w:w="1074" w:type="dxa"/>
            <w:tcBorders>
              <w:top w:val="nil"/>
              <w:left w:val="nil"/>
              <w:bottom w:val="nil"/>
              <w:right w:val="nil"/>
            </w:tcBorders>
            <w:shd w:val="clear" w:color="auto" w:fill="auto"/>
            <w:noWrap/>
            <w:vAlign w:val="bottom"/>
            <w:hideMark/>
          </w:tcPr>
          <w:p w14:paraId="6CEEA82F" w14:textId="77777777" w:rsidR="00043399" w:rsidRPr="00F96C18" w:rsidRDefault="00043399" w:rsidP="00E965BC">
            <w:pPr>
              <w:spacing w:line="240" w:lineRule="auto"/>
              <w:rPr>
                <w:rFonts w:cs="Times New Roman"/>
                <w:color w:val="000000"/>
              </w:rPr>
            </w:pPr>
            <w:r w:rsidRPr="00F96C18">
              <w:rPr>
                <w:rFonts w:cs="Times New Roman"/>
                <w:color w:val="000000"/>
              </w:rPr>
              <w:t>T1</w:t>
            </w:r>
          </w:p>
        </w:tc>
        <w:tc>
          <w:tcPr>
            <w:tcW w:w="1043" w:type="dxa"/>
            <w:gridSpan w:val="2"/>
            <w:tcBorders>
              <w:top w:val="nil"/>
              <w:left w:val="nil"/>
              <w:bottom w:val="nil"/>
              <w:right w:val="nil"/>
            </w:tcBorders>
            <w:shd w:val="clear" w:color="000000" w:fill="D9D9D9"/>
            <w:noWrap/>
            <w:vAlign w:val="bottom"/>
            <w:hideMark/>
          </w:tcPr>
          <w:p w14:paraId="1AB6FC93" w14:textId="77777777" w:rsidR="00043399" w:rsidRPr="00F96C18" w:rsidRDefault="00043399" w:rsidP="00E965BC">
            <w:pPr>
              <w:spacing w:line="240" w:lineRule="auto"/>
              <w:jc w:val="right"/>
              <w:rPr>
                <w:rFonts w:cs="Times New Roman"/>
                <w:b/>
                <w:bCs/>
              </w:rPr>
            </w:pPr>
            <w:r w:rsidRPr="00F96C18">
              <w:rPr>
                <w:rFonts w:cs="Times New Roman"/>
                <w:b/>
                <w:bCs/>
              </w:rPr>
              <w:t>8</w:t>
            </w:r>
          </w:p>
        </w:tc>
        <w:tc>
          <w:tcPr>
            <w:tcW w:w="222" w:type="dxa"/>
            <w:tcBorders>
              <w:top w:val="nil"/>
              <w:left w:val="nil"/>
              <w:bottom w:val="nil"/>
              <w:right w:val="nil"/>
            </w:tcBorders>
            <w:shd w:val="clear" w:color="auto" w:fill="auto"/>
            <w:noWrap/>
            <w:vAlign w:val="bottom"/>
            <w:hideMark/>
          </w:tcPr>
          <w:p w14:paraId="790463A6"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481" w:type="dxa"/>
            <w:gridSpan w:val="3"/>
            <w:tcBorders>
              <w:top w:val="nil"/>
              <w:left w:val="nil"/>
              <w:bottom w:val="nil"/>
              <w:right w:val="nil"/>
            </w:tcBorders>
            <w:shd w:val="clear" w:color="000000" w:fill="D9D9D9"/>
            <w:noWrap/>
            <w:vAlign w:val="bottom"/>
            <w:hideMark/>
          </w:tcPr>
          <w:p w14:paraId="386FC5C0" w14:textId="77777777" w:rsidR="00043399" w:rsidRPr="00F96C18" w:rsidRDefault="00043399" w:rsidP="00E965BC">
            <w:pPr>
              <w:spacing w:line="240" w:lineRule="auto"/>
              <w:jc w:val="right"/>
              <w:rPr>
                <w:rFonts w:cs="Times New Roman"/>
                <w:b/>
                <w:bCs/>
              </w:rPr>
            </w:pPr>
            <w:r w:rsidRPr="00F96C18">
              <w:rPr>
                <w:rFonts w:cs="Times New Roman"/>
                <w:b/>
                <w:bCs/>
              </w:rPr>
              <w:t>3</w:t>
            </w:r>
          </w:p>
        </w:tc>
        <w:tc>
          <w:tcPr>
            <w:tcW w:w="474" w:type="dxa"/>
            <w:gridSpan w:val="2"/>
            <w:tcBorders>
              <w:top w:val="nil"/>
              <w:left w:val="nil"/>
              <w:bottom w:val="nil"/>
              <w:right w:val="nil"/>
            </w:tcBorders>
            <w:shd w:val="clear" w:color="auto" w:fill="auto"/>
            <w:noWrap/>
            <w:vAlign w:val="bottom"/>
            <w:hideMark/>
          </w:tcPr>
          <w:p w14:paraId="330226B3"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163" w:type="dxa"/>
            <w:gridSpan w:val="3"/>
            <w:tcBorders>
              <w:top w:val="nil"/>
              <w:left w:val="nil"/>
              <w:bottom w:val="nil"/>
              <w:right w:val="nil"/>
            </w:tcBorders>
            <w:shd w:val="clear" w:color="000000" w:fill="D9D9D9"/>
            <w:noWrap/>
            <w:vAlign w:val="bottom"/>
            <w:hideMark/>
          </w:tcPr>
          <w:p w14:paraId="74937398" w14:textId="77777777" w:rsidR="00043399" w:rsidRPr="00F96C18" w:rsidRDefault="00043399" w:rsidP="00E965BC">
            <w:pPr>
              <w:spacing w:line="240" w:lineRule="auto"/>
              <w:jc w:val="right"/>
              <w:rPr>
                <w:rFonts w:cs="Times New Roman"/>
                <w:b/>
                <w:bCs/>
              </w:rPr>
            </w:pPr>
            <w:r w:rsidRPr="00F96C18">
              <w:rPr>
                <w:rFonts w:cs="Times New Roman"/>
                <w:b/>
                <w:bCs/>
              </w:rPr>
              <w:t>2</w:t>
            </w:r>
          </w:p>
        </w:tc>
        <w:tc>
          <w:tcPr>
            <w:tcW w:w="222" w:type="dxa"/>
            <w:tcBorders>
              <w:top w:val="nil"/>
              <w:left w:val="nil"/>
              <w:bottom w:val="nil"/>
              <w:right w:val="nil"/>
            </w:tcBorders>
            <w:shd w:val="clear" w:color="auto" w:fill="auto"/>
            <w:noWrap/>
            <w:vAlign w:val="bottom"/>
            <w:hideMark/>
          </w:tcPr>
          <w:p w14:paraId="57C694DD"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964" w:type="dxa"/>
            <w:gridSpan w:val="2"/>
            <w:tcBorders>
              <w:top w:val="nil"/>
              <w:left w:val="nil"/>
              <w:bottom w:val="nil"/>
              <w:right w:val="nil"/>
            </w:tcBorders>
            <w:shd w:val="clear" w:color="auto" w:fill="auto"/>
            <w:noWrap/>
            <w:vAlign w:val="bottom"/>
            <w:hideMark/>
          </w:tcPr>
          <w:p w14:paraId="7849CBDB" w14:textId="77777777" w:rsidR="00043399" w:rsidRPr="00F96C18" w:rsidRDefault="00043399" w:rsidP="00E965BC">
            <w:pPr>
              <w:spacing w:line="240" w:lineRule="auto"/>
              <w:jc w:val="right"/>
              <w:rPr>
                <w:rFonts w:cs="Times New Roman"/>
                <w:color w:val="000000"/>
              </w:rPr>
            </w:pPr>
            <w:r w:rsidRPr="00F96C18">
              <w:rPr>
                <w:rFonts w:cs="Times New Roman"/>
                <w:color w:val="000000"/>
              </w:rPr>
              <w:t>0</w:t>
            </w:r>
          </w:p>
        </w:tc>
        <w:tc>
          <w:tcPr>
            <w:tcW w:w="232" w:type="dxa"/>
            <w:tcBorders>
              <w:top w:val="nil"/>
              <w:left w:val="nil"/>
              <w:bottom w:val="nil"/>
              <w:right w:val="nil"/>
            </w:tcBorders>
            <w:shd w:val="clear" w:color="auto" w:fill="auto"/>
            <w:noWrap/>
            <w:vAlign w:val="bottom"/>
            <w:hideMark/>
          </w:tcPr>
          <w:p w14:paraId="421E8E23"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103" w:type="dxa"/>
            <w:gridSpan w:val="2"/>
            <w:tcBorders>
              <w:top w:val="nil"/>
              <w:left w:val="nil"/>
              <w:bottom w:val="nil"/>
              <w:right w:val="nil"/>
            </w:tcBorders>
            <w:shd w:val="clear" w:color="auto" w:fill="auto"/>
            <w:noWrap/>
            <w:vAlign w:val="bottom"/>
            <w:hideMark/>
          </w:tcPr>
          <w:p w14:paraId="293FBF0A" w14:textId="77777777" w:rsidR="00043399" w:rsidRPr="00F96C18" w:rsidRDefault="00043399" w:rsidP="00E965BC">
            <w:pPr>
              <w:spacing w:line="240" w:lineRule="auto"/>
              <w:jc w:val="right"/>
              <w:rPr>
                <w:rFonts w:cs="Times New Roman"/>
                <w:color w:val="000000"/>
              </w:rPr>
            </w:pPr>
            <w:r w:rsidRPr="00F96C18">
              <w:rPr>
                <w:rFonts w:cs="Times New Roman"/>
                <w:color w:val="000000"/>
              </w:rPr>
              <w:t>-19</w:t>
            </w:r>
          </w:p>
        </w:tc>
        <w:tc>
          <w:tcPr>
            <w:tcW w:w="222" w:type="dxa"/>
            <w:gridSpan w:val="2"/>
            <w:tcBorders>
              <w:top w:val="nil"/>
              <w:left w:val="nil"/>
              <w:bottom w:val="nil"/>
              <w:right w:val="nil"/>
            </w:tcBorders>
            <w:shd w:val="clear" w:color="auto" w:fill="auto"/>
            <w:noWrap/>
            <w:vAlign w:val="bottom"/>
            <w:hideMark/>
          </w:tcPr>
          <w:p w14:paraId="0D90B2CF"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035" w:type="dxa"/>
            <w:tcBorders>
              <w:top w:val="nil"/>
              <w:left w:val="nil"/>
              <w:bottom w:val="nil"/>
              <w:right w:val="nil"/>
            </w:tcBorders>
            <w:shd w:val="clear" w:color="auto" w:fill="auto"/>
            <w:noWrap/>
            <w:vAlign w:val="bottom"/>
            <w:hideMark/>
          </w:tcPr>
          <w:p w14:paraId="03287051" w14:textId="77777777" w:rsidR="00043399" w:rsidRPr="00F96C18" w:rsidRDefault="00043399" w:rsidP="00E965BC">
            <w:pPr>
              <w:spacing w:line="240" w:lineRule="auto"/>
              <w:jc w:val="right"/>
              <w:rPr>
                <w:rFonts w:cs="Times New Roman"/>
                <w:color w:val="000000"/>
              </w:rPr>
            </w:pPr>
            <w:r w:rsidRPr="00F96C18">
              <w:rPr>
                <w:rFonts w:cs="Times New Roman"/>
                <w:color w:val="000000"/>
              </w:rPr>
              <w:t>0</w:t>
            </w:r>
          </w:p>
        </w:tc>
        <w:tc>
          <w:tcPr>
            <w:tcW w:w="248" w:type="dxa"/>
            <w:gridSpan w:val="2"/>
            <w:tcBorders>
              <w:top w:val="nil"/>
              <w:left w:val="nil"/>
              <w:bottom w:val="nil"/>
              <w:right w:val="nil"/>
            </w:tcBorders>
            <w:shd w:val="clear" w:color="auto" w:fill="auto"/>
            <w:noWrap/>
            <w:vAlign w:val="bottom"/>
            <w:hideMark/>
          </w:tcPr>
          <w:p w14:paraId="416980FC"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r>
      <w:tr w:rsidR="00043399" w:rsidRPr="00F96C18" w14:paraId="066C3757" w14:textId="77777777" w:rsidTr="00E965BC">
        <w:trPr>
          <w:trHeight w:val="330"/>
        </w:trPr>
        <w:tc>
          <w:tcPr>
            <w:tcW w:w="1074" w:type="dxa"/>
            <w:tcBorders>
              <w:top w:val="nil"/>
              <w:left w:val="nil"/>
              <w:bottom w:val="single" w:sz="8" w:space="0" w:color="auto"/>
              <w:right w:val="nil"/>
            </w:tcBorders>
            <w:shd w:val="clear" w:color="auto" w:fill="auto"/>
            <w:noWrap/>
            <w:vAlign w:val="bottom"/>
            <w:hideMark/>
          </w:tcPr>
          <w:p w14:paraId="3BE66CE3" w14:textId="77777777" w:rsidR="00043399" w:rsidRPr="00F96C18" w:rsidRDefault="00043399" w:rsidP="00E965BC">
            <w:pPr>
              <w:spacing w:line="240" w:lineRule="auto"/>
              <w:rPr>
                <w:rFonts w:cs="Times New Roman"/>
                <w:color w:val="000000"/>
              </w:rPr>
            </w:pPr>
            <w:r w:rsidRPr="00F96C18">
              <w:rPr>
                <w:rFonts w:cs="Times New Roman"/>
                <w:color w:val="000000"/>
              </w:rPr>
              <w:t>T4</w:t>
            </w:r>
          </w:p>
        </w:tc>
        <w:tc>
          <w:tcPr>
            <w:tcW w:w="1043" w:type="dxa"/>
            <w:gridSpan w:val="2"/>
            <w:tcBorders>
              <w:top w:val="nil"/>
              <w:left w:val="nil"/>
              <w:bottom w:val="single" w:sz="8" w:space="0" w:color="auto"/>
              <w:right w:val="nil"/>
            </w:tcBorders>
            <w:shd w:val="clear" w:color="000000" w:fill="D9D9D9"/>
            <w:noWrap/>
            <w:vAlign w:val="bottom"/>
            <w:hideMark/>
          </w:tcPr>
          <w:p w14:paraId="11EC0E65" w14:textId="77777777" w:rsidR="00043399" w:rsidRPr="00F96C18" w:rsidRDefault="00043399" w:rsidP="00E965BC">
            <w:pPr>
              <w:spacing w:line="240" w:lineRule="auto"/>
              <w:jc w:val="right"/>
              <w:rPr>
                <w:rFonts w:cs="Times New Roman"/>
                <w:b/>
                <w:bCs/>
              </w:rPr>
            </w:pPr>
            <w:r w:rsidRPr="00F96C18">
              <w:rPr>
                <w:rFonts w:cs="Times New Roman"/>
                <w:b/>
                <w:bCs/>
              </w:rPr>
              <w:t>19</w:t>
            </w:r>
          </w:p>
        </w:tc>
        <w:tc>
          <w:tcPr>
            <w:tcW w:w="222" w:type="dxa"/>
            <w:tcBorders>
              <w:top w:val="nil"/>
              <w:left w:val="nil"/>
              <w:bottom w:val="single" w:sz="8" w:space="0" w:color="auto"/>
              <w:right w:val="nil"/>
            </w:tcBorders>
            <w:shd w:val="clear" w:color="auto" w:fill="auto"/>
            <w:noWrap/>
            <w:vAlign w:val="bottom"/>
            <w:hideMark/>
          </w:tcPr>
          <w:p w14:paraId="27F0E893"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481" w:type="dxa"/>
            <w:gridSpan w:val="3"/>
            <w:tcBorders>
              <w:top w:val="nil"/>
              <w:left w:val="nil"/>
              <w:bottom w:val="single" w:sz="8" w:space="0" w:color="auto"/>
              <w:right w:val="nil"/>
            </w:tcBorders>
            <w:shd w:val="clear" w:color="000000" w:fill="D9D9D9"/>
            <w:noWrap/>
            <w:vAlign w:val="bottom"/>
            <w:hideMark/>
          </w:tcPr>
          <w:p w14:paraId="60170580" w14:textId="77777777" w:rsidR="00043399" w:rsidRPr="00F96C18" w:rsidRDefault="00043399" w:rsidP="00E965BC">
            <w:pPr>
              <w:spacing w:line="240" w:lineRule="auto"/>
              <w:jc w:val="right"/>
              <w:rPr>
                <w:rFonts w:cs="Times New Roman"/>
                <w:b/>
                <w:bCs/>
              </w:rPr>
            </w:pPr>
            <w:r w:rsidRPr="00F96C18">
              <w:rPr>
                <w:rFonts w:cs="Times New Roman"/>
                <w:b/>
                <w:bCs/>
              </w:rPr>
              <w:t>187</w:t>
            </w:r>
          </w:p>
        </w:tc>
        <w:tc>
          <w:tcPr>
            <w:tcW w:w="474" w:type="dxa"/>
            <w:gridSpan w:val="2"/>
            <w:tcBorders>
              <w:top w:val="nil"/>
              <w:left w:val="nil"/>
              <w:bottom w:val="single" w:sz="8" w:space="0" w:color="auto"/>
              <w:right w:val="nil"/>
            </w:tcBorders>
            <w:shd w:val="clear" w:color="auto" w:fill="auto"/>
            <w:noWrap/>
            <w:vAlign w:val="bottom"/>
            <w:hideMark/>
          </w:tcPr>
          <w:p w14:paraId="6E3ADEE2"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163" w:type="dxa"/>
            <w:gridSpan w:val="3"/>
            <w:tcBorders>
              <w:top w:val="nil"/>
              <w:left w:val="nil"/>
              <w:bottom w:val="single" w:sz="8" w:space="0" w:color="auto"/>
              <w:right w:val="nil"/>
            </w:tcBorders>
            <w:shd w:val="clear" w:color="000000" w:fill="D9D9D9"/>
            <w:noWrap/>
            <w:vAlign w:val="bottom"/>
            <w:hideMark/>
          </w:tcPr>
          <w:p w14:paraId="638566B5" w14:textId="77777777" w:rsidR="00043399" w:rsidRPr="00F96C18" w:rsidRDefault="00043399" w:rsidP="00E965BC">
            <w:pPr>
              <w:spacing w:line="240" w:lineRule="auto"/>
              <w:jc w:val="right"/>
              <w:rPr>
                <w:rFonts w:cs="Times New Roman"/>
                <w:b/>
                <w:bCs/>
              </w:rPr>
            </w:pPr>
            <w:r w:rsidRPr="00F96C18">
              <w:rPr>
                <w:rFonts w:cs="Times New Roman"/>
                <w:b/>
                <w:bCs/>
              </w:rPr>
              <w:t>38</w:t>
            </w:r>
          </w:p>
        </w:tc>
        <w:tc>
          <w:tcPr>
            <w:tcW w:w="222" w:type="dxa"/>
            <w:tcBorders>
              <w:top w:val="nil"/>
              <w:left w:val="nil"/>
              <w:bottom w:val="single" w:sz="8" w:space="0" w:color="auto"/>
              <w:right w:val="nil"/>
            </w:tcBorders>
            <w:shd w:val="clear" w:color="auto" w:fill="auto"/>
            <w:noWrap/>
            <w:vAlign w:val="bottom"/>
            <w:hideMark/>
          </w:tcPr>
          <w:p w14:paraId="0FC20918"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964" w:type="dxa"/>
            <w:gridSpan w:val="2"/>
            <w:tcBorders>
              <w:top w:val="nil"/>
              <w:left w:val="nil"/>
              <w:bottom w:val="single" w:sz="8" w:space="0" w:color="auto"/>
              <w:right w:val="nil"/>
            </w:tcBorders>
            <w:shd w:val="clear" w:color="auto" w:fill="auto"/>
            <w:noWrap/>
            <w:vAlign w:val="bottom"/>
            <w:hideMark/>
          </w:tcPr>
          <w:p w14:paraId="21E3A14E" w14:textId="77777777" w:rsidR="00043399" w:rsidRPr="00F96C18" w:rsidRDefault="00043399" w:rsidP="00E965BC">
            <w:pPr>
              <w:spacing w:line="240" w:lineRule="auto"/>
              <w:jc w:val="right"/>
              <w:rPr>
                <w:rFonts w:cs="Times New Roman"/>
                <w:color w:val="000000"/>
              </w:rPr>
            </w:pPr>
            <w:r w:rsidRPr="00F96C18">
              <w:rPr>
                <w:rFonts w:cs="Times New Roman"/>
                <w:color w:val="000000"/>
              </w:rPr>
              <w:t>0</w:t>
            </w:r>
          </w:p>
        </w:tc>
        <w:tc>
          <w:tcPr>
            <w:tcW w:w="232" w:type="dxa"/>
            <w:tcBorders>
              <w:top w:val="nil"/>
              <w:left w:val="nil"/>
              <w:bottom w:val="single" w:sz="8" w:space="0" w:color="auto"/>
              <w:right w:val="nil"/>
            </w:tcBorders>
            <w:shd w:val="clear" w:color="auto" w:fill="auto"/>
            <w:noWrap/>
            <w:vAlign w:val="bottom"/>
            <w:hideMark/>
          </w:tcPr>
          <w:p w14:paraId="34B00108"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103" w:type="dxa"/>
            <w:gridSpan w:val="2"/>
            <w:tcBorders>
              <w:top w:val="nil"/>
              <w:left w:val="nil"/>
              <w:bottom w:val="single" w:sz="8" w:space="0" w:color="auto"/>
              <w:right w:val="nil"/>
            </w:tcBorders>
            <w:shd w:val="clear" w:color="000000" w:fill="D9D9D9"/>
            <w:noWrap/>
            <w:vAlign w:val="bottom"/>
            <w:hideMark/>
          </w:tcPr>
          <w:p w14:paraId="5F24659F" w14:textId="77777777" w:rsidR="00043399" w:rsidRPr="00F96C18" w:rsidRDefault="00043399" w:rsidP="00E965BC">
            <w:pPr>
              <w:spacing w:line="240" w:lineRule="auto"/>
              <w:jc w:val="right"/>
              <w:rPr>
                <w:rFonts w:cs="Times New Roman"/>
                <w:b/>
                <w:bCs/>
              </w:rPr>
            </w:pPr>
            <w:r w:rsidRPr="00F96C18">
              <w:rPr>
                <w:rFonts w:cs="Times New Roman"/>
                <w:b/>
                <w:bCs/>
              </w:rPr>
              <w:t>16</w:t>
            </w:r>
          </w:p>
        </w:tc>
        <w:tc>
          <w:tcPr>
            <w:tcW w:w="222" w:type="dxa"/>
            <w:gridSpan w:val="2"/>
            <w:tcBorders>
              <w:top w:val="nil"/>
              <w:left w:val="nil"/>
              <w:bottom w:val="single" w:sz="8" w:space="0" w:color="auto"/>
              <w:right w:val="nil"/>
            </w:tcBorders>
            <w:shd w:val="clear" w:color="auto" w:fill="auto"/>
            <w:noWrap/>
            <w:vAlign w:val="bottom"/>
            <w:hideMark/>
          </w:tcPr>
          <w:p w14:paraId="125B7D2D"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035" w:type="dxa"/>
            <w:tcBorders>
              <w:top w:val="nil"/>
              <w:left w:val="nil"/>
              <w:bottom w:val="single" w:sz="8" w:space="0" w:color="auto"/>
              <w:right w:val="nil"/>
            </w:tcBorders>
            <w:shd w:val="clear" w:color="auto" w:fill="auto"/>
            <w:noWrap/>
            <w:vAlign w:val="bottom"/>
            <w:hideMark/>
          </w:tcPr>
          <w:p w14:paraId="5ADDD6DA" w14:textId="77777777" w:rsidR="00043399" w:rsidRPr="00F96C18" w:rsidRDefault="00043399" w:rsidP="00E965BC">
            <w:pPr>
              <w:spacing w:line="240" w:lineRule="auto"/>
              <w:jc w:val="right"/>
              <w:rPr>
                <w:rFonts w:cs="Times New Roman"/>
                <w:color w:val="000000"/>
              </w:rPr>
            </w:pPr>
            <w:r w:rsidRPr="00F96C18">
              <w:rPr>
                <w:rFonts w:cs="Times New Roman"/>
                <w:color w:val="000000"/>
              </w:rPr>
              <w:t>0</w:t>
            </w:r>
          </w:p>
        </w:tc>
        <w:tc>
          <w:tcPr>
            <w:tcW w:w="248" w:type="dxa"/>
            <w:gridSpan w:val="2"/>
            <w:tcBorders>
              <w:top w:val="nil"/>
              <w:left w:val="nil"/>
              <w:bottom w:val="single" w:sz="8" w:space="0" w:color="auto"/>
              <w:right w:val="nil"/>
            </w:tcBorders>
            <w:shd w:val="clear" w:color="auto" w:fill="auto"/>
            <w:noWrap/>
            <w:vAlign w:val="bottom"/>
            <w:hideMark/>
          </w:tcPr>
          <w:p w14:paraId="0B88492F"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r>
      <w:tr w:rsidR="00043399" w:rsidRPr="00F96C18" w14:paraId="3AB0A44E" w14:textId="77777777" w:rsidTr="00E965BC">
        <w:trPr>
          <w:trHeight w:val="360"/>
        </w:trPr>
        <w:tc>
          <w:tcPr>
            <w:tcW w:w="1072" w:type="dxa"/>
            <w:tcBorders>
              <w:top w:val="single" w:sz="8" w:space="0" w:color="auto"/>
              <w:left w:val="nil"/>
              <w:bottom w:val="nil"/>
              <w:right w:val="nil"/>
            </w:tcBorders>
            <w:shd w:val="clear" w:color="auto" w:fill="auto"/>
            <w:noWrap/>
            <w:vAlign w:val="bottom"/>
            <w:hideMark/>
          </w:tcPr>
          <w:p w14:paraId="0093BEFB" w14:textId="77777777" w:rsidR="00043399" w:rsidRPr="00F96C18" w:rsidRDefault="00043399" w:rsidP="00E965BC">
            <w:pPr>
              <w:spacing w:line="240" w:lineRule="auto"/>
              <w:rPr>
                <w:rFonts w:cs="Times New Roman"/>
                <w:b/>
                <w:bCs/>
                <w:color w:val="000000"/>
              </w:rPr>
            </w:pPr>
            <w:r w:rsidRPr="00F96C18">
              <w:rPr>
                <w:rFonts w:cs="Times New Roman"/>
                <w:b/>
                <w:bCs/>
                <w:color w:val="000000"/>
              </w:rPr>
              <w:t> </w:t>
            </w:r>
          </w:p>
        </w:tc>
        <w:tc>
          <w:tcPr>
            <w:tcW w:w="8411" w:type="dxa"/>
            <w:gridSpan w:val="22"/>
            <w:tcBorders>
              <w:top w:val="single" w:sz="8" w:space="0" w:color="auto"/>
              <w:left w:val="nil"/>
              <w:bottom w:val="nil"/>
              <w:right w:val="nil"/>
            </w:tcBorders>
            <w:shd w:val="clear" w:color="auto" w:fill="auto"/>
            <w:vAlign w:val="bottom"/>
            <w:hideMark/>
          </w:tcPr>
          <w:p w14:paraId="3F124367" w14:textId="36AD6939" w:rsidR="00043399" w:rsidRPr="00F96C18" w:rsidRDefault="00304AC8" w:rsidP="00E965BC">
            <w:pPr>
              <w:spacing w:line="240" w:lineRule="auto"/>
              <w:jc w:val="center"/>
              <w:rPr>
                <w:rFonts w:cs="Times New Roman"/>
                <w:color w:val="000000"/>
              </w:rPr>
            </w:pPr>
            <w:r>
              <w:rPr>
                <w:rFonts w:cs="Times New Roman"/>
                <w:color w:val="000000"/>
              </w:rPr>
              <w:t>Predicted Ethanol Y</w:t>
            </w:r>
            <w:r w:rsidR="00043399">
              <w:rPr>
                <w:rFonts w:cs="Times New Roman"/>
                <w:color w:val="000000"/>
              </w:rPr>
              <w:t>ield</w:t>
            </w:r>
            <w:r w:rsidR="00043399" w:rsidRPr="00F96C18">
              <w:rPr>
                <w:rFonts w:cs="Times New Roman"/>
                <w:color w:val="000000"/>
              </w:rPr>
              <w:t xml:space="preserve"> (mg g</w:t>
            </w:r>
            <w:r w:rsidR="00043399" w:rsidRPr="00F96C18">
              <w:rPr>
                <w:rFonts w:cs="Times New Roman"/>
                <w:color w:val="000000"/>
                <w:vertAlign w:val="superscript"/>
              </w:rPr>
              <w:t>-1</w:t>
            </w:r>
            <w:r w:rsidR="00043399" w:rsidRPr="00F96C18">
              <w:rPr>
                <w:rFonts w:cs="Times New Roman"/>
                <w:color w:val="000000"/>
              </w:rPr>
              <w:t xml:space="preserve">) </w:t>
            </w:r>
          </w:p>
        </w:tc>
      </w:tr>
      <w:tr w:rsidR="00043399" w:rsidRPr="00F96C18" w14:paraId="19E0E79F" w14:textId="77777777" w:rsidTr="00E965BC">
        <w:trPr>
          <w:trHeight w:val="315"/>
        </w:trPr>
        <w:tc>
          <w:tcPr>
            <w:tcW w:w="1072" w:type="dxa"/>
            <w:tcBorders>
              <w:top w:val="nil"/>
              <w:left w:val="nil"/>
              <w:bottom w:val="nil"/>
              <w:right w:val="nil"/>
            </w:tcBorders>
            <w:shd w:val="clear" w:color="auto" w:fill="auto"/>
            <w:noWrap/>
            <w:vAlign w:val="bottom"/>
            <w:hideMark/>
          </w:tcPr>
          <w:p w14:paraId="259C1A21" w14:textId="77777777" w:rsidR="00043399" w:rsidRPr="00F96C18" w:rsidRDefault="00043399" w:rsidP="00E965BC">
            <w:pPr>
              <w:spacing w:line="240" w:lineRule="auto"/>
              <w:rPr>
                <w:rFonts w:cs="Times New Roman"/>
                <w:color w:val="000000"/>
              </w:rPr>
            </w:pPr>
            <w:r>
              <w:rPr>
                <w:rFonts w:cs="Times New Roman"/>
                <w:color w:val="000000"/>
              </w:rPr>
              <w:t>Progeny</w:t>
            </w:r>
          </w:p>
        </w:tc>
        <w:tc>
          <w:tcPr>
            <w:tcW w:w="2759" w:type="dxa"/>
            <w:gridSpan w:val="7"/>
            <w:tcBorders>
              <w:top w:val="nil"/>
              <w:left w:val="nil"/>
              <w:bottom w:val="nil"/>
              <w:right w:val="nil"/>
            </w:tcBorders>
            <w:shd w:val="clear" w:color="auto" w:fill="auto"/>
            <w:noWrap/>
            <w:vAlign w:val="bottom"/>
            <w:hideMark/>
          </w:tcPr>
          <w:p w14:paraId="70A33D00" w14:textId="77777777" w:rsidR="00043399" w:rsidRPr="00266FA9" w:rsidRDefault="00043399" w:rsidP="00E965BC">
            <w:pPr>
              <w:spacing w:line="240" w:lineRule="auto"/>
              <w:jc w:val="center"/>
              <w:rPr>
                <w:rFonts w:cs="Times New Roman"/>
                <w:color w:val="000000"/>
                <w:u w:val="single"/>
              </w:rPr>
            </w:pPr>
            <w:r w:rsidRPr="00266FA9">
              <w:rPr>
                <w:rFonts w:cs="Times New Roman"/>
                <w:color w:val="000000"/>
                <w:u w:val="single"/>
              </w:rPr>
              <w:t>HSP</w:t>
            </w:r>
          </w:p>
        </w:tc>
        <w:tc>
          <w:tcPr>
            <w:tcW w:w="1215" w:type="dxa"/>
            <w:gridSpan w:val="2"/>
            <w:tcBorders>
              <w:top w:val="nil"/>
              <w:left w:val="nil"/>
              <w:bottom w:val="nil"/>
              <w:right w:val="nil"/>
            </w:tcBorders>
            <w:shd w:val="clear" w:color="auto" w:fill="auto"/>
            <w:noWrap/>
            <w:vAlign w:val="bottom"/>
            <w:hideMark/>
          </w:tcPr>
          <w:p w14:paraId="4168211C" w14:textId="77777777" w:rsidR="00043399" w:rsidRPr="00F96C18" w:rsidRDefault="00043399" w:rsidP="00E965BC">
            <w:pPr>
              <w:spacing w:line="240" w:lineRule="auto"/>
              <w:jc w:val="center"/>
              <w:rPr>
                <w:rFonts w:cs="Times New Roman"/>
                <w:color w:val="000000"/>
              </w:rPr>
            </w:pPr>
          </w:p>
        </w:tc>
        <w:tc>
          <w:tcPr>
            <w:tcW w:w="222" w:type="dxa"/>
            <w:tcBorders>
              <w:top w:val="nil"/>
              <w:left w:val="nil"/>
              <w:bottom w:val="nil"/>
              <w:right w:val="nil"/>
            </w:tcBorders>
            <w:shd w:val="clear" w:color="auto" w:fill="auto"/>
            <w:noWrap/>
            <w:vAlign w:val="bottom"/>
            <w:hideMark/>
          </w:tcPr>
          <w:p w14:paraId="52CB0F9B" w14:textId="77777777" w:rsidR="00043399" w:rsidRPr="00F96C18" w:rsidRDefault="00043399" w:rsidP="00E965BC">
            <w:pPr>
              <w:spacing w:line="240" w:lineRule="auto"/>
              <w:jc w:val="center"/>
              <w:rPr>
                <w:rFonts w:cs="Times New Roman"/>
                <w:color w:val="000000"/>
              </w:rPr>
            </w:pPr>
          </w:p>
        </w:tc>
        <w:tc>
          <w:tcPr>
            <w:tcW w:w="2754" w:type="dxa"/>
            <w:gridSpan w:val="8"/>
            <w:tcBorders>
              <w:top w:val="nil"/>
              <w:left w:val="nil"/>
              <w:bottom w:val="nil"/>
              <w:right w:val="nil"/>
            </w:tcBorders>
            <w:shd w:val="clear" w:color="auto" w:fill="auto"/>
            <w:noWrap/>
            <w:vAlign w:val="bottom"/>
            <w:hideMark/>
          </w:tcPr>
          <w:p w14:paraId="53227E61" w14:textId="77777777" w:rsidR="00043399" w:rsidRPr="00266FA9" w:rsidRDefault="00043399" w:rsidP="00E965BC">
            <w:pPr>
              <w:spacing w:line="240" w:lineRule="auto"/>
              <w:jc w:val="center"/>
              <w:rPr>
                <w:rFonts w:cs="Times New Roman"/>
                <w:color w:val="000000"/>
                <w:u w:val="single"/>
              </w:rPr>
            </w:pPr>
            <w:r w:rsidRPr="00266FA9">
              <w:rPr>
                <w:rFonts w:cs="Times New Roman"/>
                <w:color w:val="000000"/>
                <w:u w:val="single"/>
              </w:rPr>
              <w:t>HSW</w:t>
            </w:r>
          </w:p>
        </w:tc>
        <w:tc>
          <w:tcPr>
            <w:tcW w:w="1239" w:type="dxa"/>
            <w:gridSpan w:val="3"/>
            <w:tcBorders>
              <w:top w:val="nil"/>
              <w:left w:val="nil"/>
              <w:bottom w:val="nil"/>
              <w:right w:val="nil"/>
            </w:tcBorders>
            <w:shd w:val="clear" w:color="auto" w:fill="auto"/>
            <w:noWrap/>
            <w:vAlign w:val="bottom"/>
            <w:hideMark/>
          </w:tcPr>
          <w:p w14:paraId="6D573D9B" w14:textId="77777777" w:rsidR="00043399" w:rsidRPr="00F96C18" w:rsidRDefault="00043399" w:rsidP="00E965BC">
            <w:pPr>
              <w:spacing w:line="240" w:lineRule="auto"/>
              <w:jc w:val="center"/>
              <w:rPr>
                <w:rFonts w:cs="Times New Roman"/>
                <w:color w:val="000000"/>
              </w:rPr>
            </w:pPr>
          </w:p>
        </w:tc>
        <w:tc>
          <w:tcPr>
            <w:tcW w:w="222" w:type="dxa"/>
            <w:tcBorders>
              <w:top w:val="nil"/>
              <w:left w:val="nil"/>
              <w:bottom w:val="nil"/>
              <w:right w:val="nil"/>
            </w:tcBorders>
            <w:shd w:val="clear" w:color="auto" w:fill="auto"/>
            <w:noWrap/>
            <w:vAlign w:val="bottom"/>
            <w:hideMark/>
          </w:tcPr>
          <w:p w14:paraId="46E35281" w14:textId="77777777" w:rsidR="00043399" w:rsidRPr="00F96C18" w:rsidRDefault="00043399" w:rsidP="00E965BC">
            <w:pPr>
              <w:spacing w:line="240" w:lineRule="auto"/>
              <w:jc w:val="center"/>
              <w:rPr>
                <w:rFonts w:cs="Times New Roman"/>
                <w:color w:val="000000"/>
              </w:rPr>
            </w:pPr>
          </w:p>
        </w:tc>
      </w:tr>
      <w:tr w:rsidR="00043399" w:rsidRPr="00F96C18" w14:paraId="163663BA" w14:textId="77777777" w:rsidTr="00E965BC">
        <w:trPr>
          <w:trHeight w:val="315"/>
        </w:trPr>
        <w:tc>
          <w:tcPr>
            <w:tcW w:w="1072" w:type="dxa"/>
            <w:tcBorders>
              <w:top w:val="nil"/>
              <w:left w:val="nil"/>
              <w:bottom w:val="single" w:sz="8" w:space="0" w:color="auto"/>
              <w:right w:val="nil"/>
            </w:tcBorders>
            <w:shd w:val="clear" w:color="auto" w:fill="auto"/>
            <w:noWrap/>
            <w:vAlign w:val="bottom"/>
            <w:hideMark/>
          </w:tcPr>
          <w:p w14:paraId="6422808C" w14:textId="77777777" w:rsidR="00043399" w:rsidRPr="00F96C18" w:rsidRDefault="00043399" w:rsidP="00E965BC">
            <w:pPr>
              <w:spacing w:line="240" w:lineRule="auto"/>
              <w:rPr>
                <w:rFonts w:cs="Times New Roman"/>
                <w:color w:val="000000"/>
              </w:rPr>
            </w:pPr>
            <w:r w:rsidRPr="00F96C18">
              <w:rPr>
                <w:rFonts w:cs="Times New Roman"/>
                <w:color w:val="000000"/>
              </w:rPr>
              <w:t>Line</w:t>
            </w:r>
          </w:p>
        </w:tc>
        <w:tc>
          <w:tcPr>
            <w:tcW w:w="1344" w:type="dxa"/>
            <w:gridSpan w:val="4"/>
            <w:tcBorders>
              <w:top w:val="nil"/>
              <w:left w:val="nil"/>
              <w:bottom w:val="single" w:sz="8" w:space="0" w:color="auto"/>
              <w:right w:val="nil"/>
            </w:tcBorders>
            <w:shd w:val="clear" w:color="auto" w:fill="auto"/>
            <w:vAlign w:val="bottom"/>
            <w:hideMark/>
          </w:tcPr>
          <w:p w14:paraId="1AAA6722" w14:textId="77777777" w:rsidR="00043399" w:rsidRPr="00F96C18" w:rsidRDefault="00043399" w:rsidP="00E965BC">
            <w:pPr>
              <w:spacing w:line="240" w:lineRule="auto"/>
              <w:jc w:val="center"/>
              <w:rPr>
                <w:rFonts w:cs="Times New Roman"/>
                <w:color w:val="000000"/>
              </w:rPr>
            </w:pPr>
            <w:r w:rsidRPr="00F96C18">
              <w:rPr>
                <w:rFonts w:cs="Times New Roman"/>
                <w:color w:val="000000"/>
              </w:rPr>
              <w:t>2012</w:t>
            </w:r>
          </w:p>
        </w:tc>
        <w:tc>
          <w:tcPr>
            <w:tcW w:w="1415" w:type="dxa"/>
            <w:gridSpan w:val="3"/>
            <w:tcBorders>
              <w:top w:val="nil"/>
              <w:left w:val="nil"/>
              <w:bottom w:val="single" w:sz="8" w:space="0" w:color="auto"/>
              <w:right w:val="nil"/>
            </w:tcBorders>
            <w:shd w:val="clear" w:color="auto" w:fill="auto"/>
            <w:vAlign w:val="bottom"/>
            <w:hideMark/>
          </w:tcPr>
          <w:p w14:paraId="164348E3" w14:textId="77777777" w:rsidR="00043399" w:rsidRPr="00F96C18" w:rsidRDefault="00043399" w:rsidP="00E965BC">
            <w:pPr>
              <w:spacing w:line="240" w:lineRule="auto"/>
              <w:jc w:val="center"/>
              <w:rPr>
                <w:rFonts w:cs="Times New Roman"/>
                <w:color w:val="000000"/>
              </w:rPr>
            </w:pPr>
            <w:r w:rsidRPr="00F96C18">
              <w:rPr>
                <w:rFonts w:cs="Times New Roman"/>
                <w:color w:val="000000"/>
              </w:rPr>
              <w:t>2013</w:t>
            </w:r>
          </w:p>
        </w:tc>
        <w:tc>
          <w:tcPr>
            <w:tcW w:w="1437" w:type="dxa"/>
            <w:gridSpan w:val="3"/>
            <w:tcBorders>
              <w:top w:val="nil"/>
              <w:left w:val="nil"/>
              <w:bottom w:val="single" w:sz="8" w:space="0" w:color="auto"/>
              <w:right w:val="nil"/>
            </w:tcBorders>
            <w:shd w:val="clear" w:color="auto" w:fill="auto"/>
            <w:vAlign w:val="bottom"/>
            <w:hideMark/>
          </w:tcPr>
          <w:p w14:paraId="2E4FF585" w14:textId="77777777" w:rsidR="00043399" w:rsidRPr="00F96C18" w:rsidRDefault="00043399" w:rsidP="00E965BC">
            <w:pPr>
              <w:spacing w:line="240" w:lineRule="auto"/>
              <w:jc w:val="center"/>
              <w:rPr>
                <w:rFonts w:cs="Times New Roman"/>
                <w:color w:val="000000"/>
              </w:rPr>
            </w:pPr>
            <w:r w:rsidRPr="00F96C18">
              <w:rPr>
                <w:rFonts w:cs="Times New Roman"/>
                <w:color w:val="000000"/>
              </w:rPr>
              <w:t>Combined</w:t>
            </w:r>
          </w:p>
        </w:tc>
        <w:tc>
          <w:tcPr>
            <w:tcW w:w="1377" w:type="dxa"/>
            <w:gridSpan w:val="4"/>
            <w:tcBorders>
              <w:top w:val="nil"/>
              <w:left w:val="nil"/>
              <w:bottom w:val="single" w:sz="8" w:space="0" w:color="auto"/>
              <w:right w:val="nil"/>
            </w:tcBorders>
            <w:shd w:val="clear" w:color="auto" w:fill="auto"/>
            <w:vAlign w:val="bottom"/>
            <w:hideMark/>
          </w:tcPr>
          <w:p w14:paraId="4C8ACCFA" w14:textId="77777777" w:rsidR="00043399" w:rsidRPr="00F96C18" w:rsidRDefault="00043399" w:rsidP="00E965BC">
            <w:pPr>
              <w:spacing w:line="240" w:lineRule="auto"/>
              <w:jc w:val="center"/>
              <w:rPr>
                <w:rFonts w:cs="Times New Roman"/>
                <w:color w:val="000000"/>
              </w:rPr>
            </w:pPr>
            <w:r w:rsidRPr="00F96C18">
              <w:rPr>
                <w:rFonts w:cs="Times New Roman"/>
                <w:color w:val="000000"/>
              </w:rPr>
              <w:t>2012</w:t>
            </w:r>
          </w:p>
        </w:tc>
        <w:tc>
          <w:tcPr>
            <w:tcW w:w="1377" w:type="dxa"/>
            <w:gridSpan w:val="4"/>
            <w:tcBorders>
              <w:top w:val="nil"/>
              <w:left w:val="nil"/>
              <w:bottom w:val="single" w:sz="8" w:space="0" w:color="auto"/>
              <w:right w:val="nil"/>
            </w:tcBorders>
            <w:shd w:val="clear" w:color="auto" w:fill="auto"/>
            <w:vAlign w:val="bottom"/>
            <w:hideMark/>
          </w:tcPr>
          <w:p w14:paraId="03E66E9D" w14:textId="77777777" w:rsidR="00043399" w:rsidRPr="00F96C18" w:rsidRDefault="00043399" w:rsidP="00E965BC">
            <w:pPr>
              <w:spacing w:line="240" w:lineRule="auto"/>
              <w:jc w:val="center"/>
              <w:rPr>
                <w:rFonts w:cs="Times New Roman"/>
                <w:color w:val="000000"/>
              </w:rPr>
            </w:pPr>
            <w:r w:rsidRPr="00F96C18">
              <w:rPr>
                <w:rFonts w:cs="Times New Roman"/>
                <w:color w:val="000000"/>
              </w:rPr>
              <w:t>2013</w:t>
            </w:r>
          </w:p>
        </w:tc>
        <w:tc>
          <w:tcPr>
            <w:tcW w:w="1461" w:type="dxa"/>
            <w:gridSpan w:val="4"/>
            <w:tcBorders>
              <w:top w:val="nil"/>
              <w:left w:val="nil"/>
              <w:bottom w:val="single" w:sz="8" w:space="0" w:color="auto"/>
              <w:right w:val="nil"/>
            </w:tcBorders>
            <w:shd w:val="clear" w:color="auto" w:fill="auto"/>
            <w:vAlign w:val="bottom"/>
            <w:hideMark/>
          </w:tcPr>
          <w:p w14:paraId="3A2E1DB4" w14:textId="77777777" w:rsidR="00043399" w:rsidRPr="00F96C18" w:rsidRDefault="00043399" w:rsidP="00E965BC">
            <w:pPr>
              <w:spacing w:line="240" w:lineRule="auto"/>
              <w:jc w:val="center"/>
              <w:rPr>
                <w:rFonts w:cs="Times New Roman"/>
                <w:color w:val="000000"/>
              </w:rPr>
            </w:pPr>
            <w:r w:rsidRPr="00F96C18">
              <w:rPr>
                <w:rFonts w:cs="Times New Roman"/>
                <w:color w:val="000000"/>
              </w:rPr>
              <w:t>Combined</w:t>
            </w:r>
          </w:p>
        </w:tc>
      </w:tr>
      <w:tr w:rsidR="00043399" w:rsidRPr="00F96C18" w14:paraId="25771032" w14:textId="77777777" w:rsidTr="00E965BC">
        <w:trPr>
          <w:trHeight w:val="315"/>
        </w:trPr>
        <w:tc>
          <w:tcPr>
            <w:tcW w:w="1072" w:type="dxa"/>
            <w:tcBorders>
              <w:top w:val="nil"/>
              <w:left w:val="nil"/>
              <w:bottom w:val="nil"/>
              <w:right w:val="nil"/>
            </w:tcBorders>
            <w:shd w:val="clear" w:color="auto" w:fill="auto"/>
            <w:noWrap/>
            <w:vAlign w:val="bottom"/>
            <w:hideMark/>
          </w:tcPr>
          <w:p w14:paraId="3F9C882C" w14:textId="77777777" w:rsidR="00043399" w:rsidRPr="00F96C18" w:rsidRDefault="00043399" w:rsidP="00E965BC">
            <w:pPr>
              <w:spacing w:line="240" w:lineRule="auto"/>
              <w:rPr>
                <w:rFonts w:cs="Times New Roman"/>
                <w:color w:val="000000"/>
              </w:rPr>
            </w:pPr>
            <w:r w:rsidRPr="00F96C18">
              <w:rPr>
                <w:rFonts w:cs="Times New Roman"/>
                <w:color w:val="000000"/>
              </w:rPr>
              <w:t>A1</w:t>
            </w:r>
          </w:p>
        </w:tc>
        <w:tc>
          <w:tcPr>
            <w:tcW w:w="963" w:type="dxa"/>
            <w:tcBorders>
              <w:top w:val="nil"/>
              <w:left w:val="nil"/>
              <w:bottom w:val="nil"/>
              <w:right w:val="nil"/>
            </w:tcBorders>
            <w:shd w:val="clear" w:color="auto" w:fill="auto"/>
            <w:noWrap/>
            <w:vAlign w:val="bottom"/>
            <w:hideMark/>
          </w:tcPr>
          <w:p w14:paraId="7320E343" w14:textId="77777777" w:rsidR="00043399" w:rsidRPr="00F96C18" w:rsidRDefault="00043399" w:rsidP="00E965BC">
            <w:pPr>
              <w:spacing w:line="240" w:lineRule="auto"/>
              <w:jc w:val="right"/>
              <w:rPr>
                <w:rFonts w:cs="Times New Roman"/>
                <w:color w:val="000000"/>
              </w:rPr>
            </w:pPr>
            <w:r w:rsidRPr="00F96C18">
              <w:rPr>
                <w:rFonts w:cs="Times New Roman"/>
                <w:color w:val="000000"/>
              </w:rPr>
              <w:t>-2.6</w:t>
            </w:r>
          </w:p>
        </w:tc>
        <w:tc>
          <w:tcPr>
            <w:tcW w:w="381" w:type="dxa"/>
            <w:gridSpan w:val="3"/>
            <w:tcBorders>
              <w:top w:val="nil"/>
              <w:left w:val="nil"/>
              <w:bottom w:val="nil"/>
              <w:right w:val="nil"/>
            </w:tcBorders>
            <w:shd w:val="clear" w:color="auto" w:fill="auto"/>
            <w:noWrap/>
            <w:vAlign w:val="bottom"/>
            <w:hideMark/>
          </w:tcPr>
          <w:p w14:paraId="4FBB7507"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034" w:type="dxa"/>
            <w:tcBorders>
              <w:top w:val="nil"/>
              <w:left w:val="nil"/>
              <w:bottom w:val="nil"/>
              <w:right w:val="nil"/>
            </w:tcBorders>
            <w:shd w:val="clear" w:color="auto" w:fill="auto"/>
            <w:noWrap/>
            <w:vAlign w:val="bottom"/>
            <w:hideMark/>
          </w:tcPr>
          <w:p w14:paraId="658578C3" w14:textId="77777777" w:rsidR="00043399" w:rsidRPr="00F96C18" w:rsidRDefault="00043399" w:rsidP="00E965BC">
            <w:pPr>
              <w:spacing w:line="240" w:lineRule="auto"/>
              <w:jc w:val="right"/>
              <w:rPr>
                <w:rFonts w:cs="Times New Roman"/>
                <w:color w:val="000000"/>
              </w:rPr>
            </w:pPr>
            <w:r w:rsidRPr="00F96C18">
              <w:rPr>
                <w:rFonts w:cs="Times New Roman"/>
                <w:color w:val="000000"/>
              </w:rPr>
              <w:t>-1.9</w:t>
            </w:r>
          </w:p>
        </w:tc>
        <w:tc>
          <w:tcPr>
            <w:tcW w:w="381" w:type="dxa"/>
            <w:gridSpan w:val="2"/>
            <w:tcBorders>
              <w:top w:val="nil"/>
              <w:left w:val="nil"/>
              <w:bottom w:val="nil"/>
              <w:right w:val="nil"/>
            </w:tcBorders>
            <w:shd w:val="clear" w:color="auto" w:fill="auto"/>
            <w:noWrap/>
            <w:vAlign w:val="bottom"/>
            <w:hideMark/>
          </w:tcPr>
          <w:p w14:paraId="4C76CE45"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215" w:type="dxa"/>
            <w:gridSpan w:val="2"/>
            <w:tcBorders>
              <w:top w:val="nil"/>
              <w:left w:val="nil"/>
              <w:bottom w:val="nil"/>
              <w:right w:val="nil"/>
            </w:tcBorders>
            <w:shd w:val="clear" w:color="auto" w:fill="auto"/>
            <w:noWrap/>
            <w:vAlign w:val="bottom"/>
            <w:hideMark/>
          </w:tcPr>
          <w:p w14:paraId="04D40975" w14:textId="77777777" w:rsidR="00043399" w:rsidRPr="00F96C18" w:rsidRDefault="00043399" w:rsidP="00E965BC">
            <w:pPr>
              <w:spacing w:line="240" w:lineRule="auto"/>
              <w:jc w:val="right"/>
              <w:rPr>
                <w:rFonts w:cs="Times New Roman"/>
                <w:color w:val="000000"/>
              </w:rPr>
            </w:pPr>
            <w:r w:rsidRPr="00F96C18">
              <w:rPr>
                <w:rFonts w:cs="Times New Roman"/>
                <w:color w:val="000000"/>
              </w:rPr>
              <w:t>0.0</w:t>
            </w:r>
          </w:p>
        </w:tc>
        <w:tc>
          <w:tcPr>
            <w:tcW w:w="222" w:type="dxa"/>
            <w:tcBorders>
              <w:top w:val="nil"/>
              <w:left w:val="nil"/>
              <w:bottom w:val="nil"/>
              <w:right w:val="nil"/>
            </w:tcBorders>
            <w:shd w:val="clear" w:color="auto" w:fill="auto"/>
            <w:noWrap/>
            <w:vAlign w:val="bottom"/>
            <w:hideMark/>
          </w:tcPr>
          <w:p w14:paraId="557B7F8E"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155" w:type="dxa"/>
            <w:gridSpan w:val="3"/>
            <w:tcBorders>
              <w:top w:val="nil"/>
              <w:left w:val="nil"/>
              <w:bottom w:val="nil"/>
              <w:right w:val="nil"/>
            </w:tcBorders>
            <w:shd w:val="clear" w:color="auto" w:fill="auto"/>
            <w:noWrap/>
            <w:vAlign w:val="bottom"/>
            <w:hideMark/>
          </w:tcPr>
          <w:p w14:paraId="7DD9514F" w14:textId="77777777" w:rsidR="00043399" w:rsidRPr="00F96C18" w:rsidRDefault="00043399" w:rsidP="00E965BC">
            <w:pPr>
              <w:spacing w:line="240" w:lineRule="auto"/>
              <w:jc w:val="right"/>
              <w:rPr>
                <w:rFonts w:cs="Times New Roman"/>
                <w:color w:val="000000"/>
              </w:rPr>
            </w:pPr>
            <w:r w:rsidRPr="00F96C18">
              <w:rPr>
                <w:rFonts w:cs="Times New Roman"/>
                <w:color w:val="000000"/>
              </w:rPr>
              <w:t>-0.5</w:t>
            </w:r>
          </w:p>
        </w:tc>
        <w:tc>
          <w:tcPr>
            <w:tcW w:w="222" w:type="dxa"/>
            <w:tcBorders>
              <w:top w:val="nil"/>
              <w:left w:val="nil"/>
              <w:bottom w:val="nil"/>
              <w:right w:val="nil"/>
            </w:tcBorders>
            <w:shd w:val="clear" w:color="auto" w:fill="auto"/>
            <w:noWrap/>
            <w:vAlign w:val="bottom"/>
            <w:hideMark/>
          </w:tcPr>
          <w:p w14:paraId="15114507"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155" w:type="dxa"/>
            <w:gridSpan w:val="2"/>
            <w:tcBorders>
              <w:top w:val="nil"/>
              <w:left w:val="nil"/>
              <w:bottom w:val="nil"/>
              <w:right w:val="nil"/>
            </w:tcBorders>
            <w:shd w:val="clear" w:color="auto" w:fill="auto"/>
            <w:noWrap/>
            <w:vAlign w:val="bottom"/>
            <w:hideMark/>
          </w:tcPr>
          <w:p w14:paraId="5291E4CD" w14:textId="77777777" w:rsidR="00043399" w:rsidRPr="00F96C18" w:rsidRDefault="00043399" w:rsidP="00E965BC">
            <w:pPr>
              <w:spacing w:line="240" w:lineRule="auto"/>
              <w:jc w:val="right"/>
              <w:rPr>
                <w:rFonts w:cs="Times New Roman"/>
                <w:color w:val="000000"/>
              </w:rPr>
            </w:pPr>
            <w:r w:rsidRPr="00F96C18">
              <w:rPr>
                <w:rFonts w:cs="Times New Roman"/>
                <w:color w:val="000000"/>
              </w:rPr>
              <w:t>-1.4</w:t>
            </w:r>
          </w:p>
        </w:tc>
        <w:tc>
          <w:tcPr>
            <w:tcW w:w="222" w:type="dxa"/>
            <w:gridSpan w:val="2"/>
            <w:tcBorders>
              <w:top w:val="nil"/>
              <w:left w:val="nil"/>
              <w:bottom w:val="nil"/>
              <w:right w:val="nil"/>
            </w:tcBorders>
            <w:shd w:val="clear" w:color="auto" w:fill="auto"/>
            <w:noWrap/>
            <w:vAlign w:val="bottom"/>
            <w:hideMark/>
          </w:tcPr>
          <w:p w14:paraId="42035C59"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239" w:type="dxa"/>
            <w:gridSpan w:val="3"/>
            <w:tcBorders>
              <w:top w:val="nil"/>
              <w:left w:val="nil"/>
              <w:bottom w:val="nil"/>
              <w:right w:val="nil"/>
            </w:tcBorders>
            <w:shd w:val="clear" w:color="auto" w:fill="auto"/>
            <w:noWrap/>
            <w:vAlign w:val="bottom"/>
            <w:hideMark/>
          </w:tcPr>
          <w:p w14:paraId="15FA8DF0" w14:textId="77777777" w:rsidR="00043399" w:rsidRPr="00F96C18" w:rsidRDefault="00043399" w:rsidP="00E965BC">
            <w:pPr>
              <w:spacing w:line="240" w:lineRule="auto"/>
              <w:jc w:val="right"/>
              <w:rPr>
                <w:rFonts w:cs="Times New Roman"/>
                <w:color w:val="000000"/>
              </w:rPr>
            </w:pPr>
            <w:r w:rsidRPr="00F96C18">
              <w:rPr>
                <w:rFonts w:cs="Times New Roman"/>
                <w:color w:val="000000"/>
              </w:rPr>
              <w:t>-0.7</w:t>
            </w:r>
          </w:p>
        </w:tc>
        <w:tc>
          <w:tcPr>
            <w:tcW w:w="222" w:type="dxa"/>
            <w:tcBorders>
              <w:top w:val="nil"/>
              <w:left w:val="nil"/>
              <w:bottom w:val="nil"/>
              <w:right w:val="nil"/>
            </w:tcBorders>
            <w:shd w:val="clear" w:color="auto" w:fill="auto"/>
            <w:noWrap/>
            <w:vAlign w:val="bottom"/>
            <w:hideMark/>
          </w:tcPr>
          <w:p w14:paraId="4823EE3A"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r>
      <w:tr w:rsidR="00043399" w:rsidRPr="00F96C18" w14:paraId="258FBCCE" w14:textId="77777777" w:rsidTr="00E965BC">
        <w:trPr>
          <w:trHeight w:val="315"/>
        </w:trPr>
        <w:tc>
          <w:tcPr>
            <w:tcW w:w="1072" w:type="dxa"/>
            <w:tcBorders>
              <w:top w:val="nil"/>
              <w:left w:val="nil"/>
              <w:bottom w:val="nil"/>
              <w:right w:val="nil"/>
            </w:tcBorders>
            <w:shd w:val="clear" w:color="auto" w:fill="auto"/>
            <w:noWrap/>
            <w:vAlign w:val="bottom"/>
            <w:hideMark/>
          </w:tcPr>
          <w:p w14:paraId="63B521EF" w14:textId="77777777" w:rsidR="00043399" w:rsidRPr="00F96C18" w:rsidRDefault="00043399" w:rsidP="00E965BC">
            <w:pPr>
              <w:spacing w:line="240" w:lineRule="auto"/>
              <w:rPr>
                <w:rFonts w:cs="Times New Roman"/>
                <w:color w:val="000000"/>
              </w:rPr>
            </w:pPr>
            <w:r w:rsidRPr="00F96C18">
              <w:rPr>
                <w:rFonts w:cs="Times New Roman"/>
                <w:color w:val="000000"/>
              </w:rPr>
              <w:t>A10</w:t>
            </w:r>
          </w:p>
        </w:tc>
        <w:tc>
          <w:tcPr>
            <w:tcW w:w="963" w:type="dxa"/>
            <w:tcBorders>
              <w:top w:val="nil"/>
              <w:left w:val="nil"/>
              <w:bottom w:val="nil"/>
              <w:right w:val="nil"/>
            </w:tcBorders>
            <w:shd w:val="clear" w:color="000000" w:fill="D9D9D9"/>
            <w:noWrap/>
            <w:vAlign w:val="bottom"/>
            <w:hideMark/>
          </w:tcPr>
          <w:p w14:paraId="36E3AA83" w14:textId="77777777" w:rsidR="00043399" w:rsidRPr="00F96C18" w:rsidRDefault="00043399" w:rsidP="00E965BC">
            <w:pPr>
              <w:spacing w:line="240" w:lineRule="auto"/>
              <w:jc w:val="right"/>
              <w:rPr>
                <w:rFonts w:cs="Times New Roman"/>
                <w:b/>
                <w:bCs/>
              </w:rPr>
            </w:pPr>
            <w:r w:rsidRPr="00F96C18">
              <w:rPr>
                <w:rFonts w:cs="Times New Roman"/>
                <w:b/>
                <w:bCs/>
              </w:rPr>
              <w:t>3.7</w:t>
            </w:r>
          </w:p>
        </w:tc>
        <w:tc>
          <w:tcPr>
            <w:tcW w:w="381" w:type="dxa"/>
            <w:gridSpan w:val="3"/>
            <w:tcBorders>
              <w:top w:val="nil"/>
              <w:left w:val="nil"/>
              <w:bottom w:val="nil"/>
              <w:right w:val="nil"/>
            </w:tcBorders>
            <w:shd w:val="clear" w:color="auto" w:fill="auto"/>
            <w:noWrap/>
            <w:vAlign w:val="bottom"/>
            <w:hideMark/>
          </w:tcPr>
          <w:p w14:paraId="57113184" w14:textId="77777777" w:rsidR="00043399" w:rsidRPr="00F96C18" w:rsidRDefault="00043399" w:rsidP="00E965BC">
            <w:pPr>
              <w:spacing w:line="240" w:lineRule="auto"/>
              <w:rPr>
                <w:rFonts w:cs="Times New Roman"/>
                <w:color w:val="000000"/>
              </w:rPr>
            </w:pPr>
            <w:r w:rsidRPr="00F96C18">
              <w:rPr>
                <w:rFonts w:cs="Times New Roman"/>
                <w:color w:val="000000"/>
              </w:rPr>
              <w:t>*</w:t>
            </w:r>
          </w:p>
        </w:tc>
        <w:tc>
          <w:tcPr>
            <w:tcW w:w="1034" w:type="dxa"/>
            <w:tcBorders>
              <w:top w:val="nil"/>
              <w:left w:val="nil"/>
              <w:bottom w:val="nil"/>
              <w:right w:val="nil"/>
            </w:tcBorders>
            <w:shd w:val="clear" w:color="auto" w:fill="auto"/>
            <w:noWrap/>
            <w:vAlign w:val="bottom"/>
            <w:hideMark/>
          </w:tcPr>
          <w:p w14:paraId="49A56B32" w14:textId="77777777" w:rsidR="00043399" w:rsidRPr="00F96C18" w:rsidRDefault="00043399" w:rsidP="00E965BC">
            <w:pPr>
              <w:spacing w:line="240" w:lineRule="auto"/>
              <w:jc w:val="right"/>
              <w:rPr>
                <w:rFonts w:cs="Times New Roman"/>
                <w:color w:val="000000"/>
              </w:rPr>
            </w:pPr>
            <w:r w:rsidRPr="00F96C18">
              <w:rPr>
                <w:rFonts w:cs="Times New Roman"/>
                <w:color w:val="000000"/>
              </w:rPr>
              <w:t>-2.4</w:t>
            </w:r>
          </w:p>
        </w:tc>
        <w:tc>
          <w:tcPr>
            <w:tcW w:w="381" w:type="dxa"/>
            <w:gridSpan w:val="2"/>
            <w:tcBorders>
              <w:top w:val="nil"/>
              <w:left w:val="nil"/>
              <w:bottom w:val="nil"/>
              <w:right w:val="nil"/>
            </w:tcBorders>
            <w:shd w:val="clear" w:color="auto" w:fill="auto"/>
            <w:noWrap/>
            <w:vAlign w:val="bottom"/>
            <w:hideMark/>
          </w:tcPr>
          <w:p w14:paraId="6A0E39A0" w14:textId="77777777" w:rsidR="00043399" w:rsidRPr="00F96C18" w:rsidRDefault="00043399" w:rsidP="00E965BC">
            <w:pPr>
              <w:spacing w:line="240" w:lineRule="auto"/>
              <w:rPr>
                <w:rFonts w:cs="Times New Roman"/>
                <w:color w:val="000000"/>
              </w:rPr>
            </w:pPr>
            <w:r w:rsidRPr="00F96C18">
              <w:rPr>
                <w:rFonts w:cs="Times New Roman"/>
                <w:color w:val="000000"/>
              </w:rPr>
              <w:t>*</w:t>
            </w:r>
          </w:p>
        </w:tc>
        <w:tc>
          <w:tcPr>
            <w:tcW w:w="1215" w:type="dxa"/>
            <w:gridSpan w:val="2"/>
            <w:tcBorders>
              <w:top w:val="nil"/>
              <w:left w:val="nil"/>
              <w:bottom w:val="nil"/>
              <w:right w:val="nil"/>
            </w:tcBorders>
            <w:shd w:val="clear" w:color="auto" w:fill="auto"/>
            <w:noWrap/>
            <w:vAlign w:val="bottom"/>
            <w:hideMark/>
          </w:tcPr>
          <w:p w14:paraId="3EC58E82" w14:textId="77777777" w:rsidR="00043399" w:rsidRPr="00F96C18" w:rsidRDefault="00043399" w:rsidP="00E965BC">
            <w:pPr>
              <w:spacing w:line="240" w:lineRule="auto"/>
              <w:jc w:val="right"/>
              <w:rPr>
                <w:rFonts w:cs="Times New Roman"/>
                <w:color w:val="000000"/>
              </w:rPr>
            </w:pPr>
            <w:r w:rsidRPr="00F96C18">
              <w:rPr>
                <w:rFonts w:cs="Times New Roman"/>
                <w:color w:val="000000"/>
              </w:rPr>
              <w:t>0.0</w:t>
            </w:r>
          </w:p>
        </w:tc>
        <w:tc>
          <w:tcPr>
            <w:tcW w:w="222" w:type="dxa"/>
            <w:tcBorders>
              <w:top w:val="nil"/>
              <w:left w:val="nil"/>
              <w:bottom w:val="nil"/>
              <w:right w:val="nil"/>
            </w:tcBorders>
            <w:shd w:val="clear" w:color="auto" w:fill="auto"/>
            <w:noWrap/>
            <w:vAlign w:val="bottom"/>
            <w:hideMark/>
          </w:tcPr>
          <w:p w14:paraId="3BF8F3D5"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155" w:type="dxa"/>
            <w:gridSpan w:val="3"/>
            <w:tcBorders>
              <w:top w:val="nil"/>
              <w:left w:val="nil"/>
              <w:bottom w:val="nil"/>
              <w:right w:val="nil"/>
            </w:tcBorders>
            <w:shd w:val="clear" w:color="000000" w:fill="D9D9D9"/>
            <w:noWrap/>
            <w:vAlign w:val="bottom"/>
            <w:hideMark/>
          </w:tcPr>
          <w:p w14:paraId="58AF0DB7" w14:textId="77777777" w:rsidR="00043399" w:rsidRPr="00F96C18" w:rsidRDefault="00043399" w:rsidP="00E965BC">
            <w:pPr>
              <w:spacing w:line="240" w:lineRule="auto"/>
              <w:jc w:val="right"/>
              <w:rPr>
                <w:rFonts w:cs="Times New Roman"/>
                <w:b/>
                <w:bCs/>
              </w:rPr>
            </w:pPr>
            <w:r w:rsidRPr="00F96C18">
              <w:rPr>
                <w:rFonts w:cs="Times New Roman"/>
                <w:b/>
                <w:bCs/>
              </w:rPr>
              <w:t>0.4</w:t>
            </w:r>
          </w:p>
        </w:tc>
        <w:tc>
          <w:tcPr>
            <w:tcW w:w="222" w:type="dxa"/>
            <w:tcBorders>
              <w:top w:val="nil"/>
              <w:left w:val="nil"/>
              <w:bottom w:val="nil"/>
              <w:right w:val="nil"/>
            </w:tcBorders>
            <w:shd w:val="clear" w:color="auto" w:fill="auto"/>
            <w:noWrap/>
            <w:vAlign w:val="bottom"/>
            <w:hideMark/>
          </w:tcPr>
          <w:p w14:paraId="4EAE0F6E"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155" w:type="dxa"/>
            <w:gridSpan w:val="2"/>
            <w:tcBorders>
              <w:top w:val="nil"/>
              <w:left w:val="nil"/>
              <w:bottom w:val="nil"/>
              <w:right w:val="nil"/>
            </w:tcBorders>
            <w:shd w:val="clear" w:color="000000" w:fill="D9D9D9"/>
            <w:noWrap/>
            <w:vAlign w:val="bottom"/>
            <w:hideMark/>
          </w:tcPr>
          <w:p w14:paraId="0692C2A9" w14:textId="77777777" w:rsidR="00043399" w:rsidRPr="00F96C18" w:rsidRDefault="00043399" w:rsidP="00E965BC">
            <w:pPr>
              <w:spacing w:line="240" w:lineRule="auto"/>
              <w:jc w:val="right"/>
              <w:rPr>
                <w:rFonts w:cs="Times New Roman"/>
                <w:b/>
                <w:bCs/>
              </w:rPr>
            </w:pPr>
            <w:r w:rsidRPr="00F96C18">
              <w:rPr>
                <w:rFonts w:cs="Times New Roman"/>
                <w:b/>
                <w:bCs/>
              </w:rPr>
              <w:t>0.4</w:t>
            </w:r>
          </w:p>
        </w:tc>
        <w:tc>
          <w:tcPr>
            <w:tcW w:w="222" w:type="dxa"/>
            <w:gridSpan w:val="2"/>
            <w:tcBorders>
              <w:top w:val="nil"/>
              <w:left w:val="nil"/>
              <w:bottom w:val="nil"/>
              <w:right w:val="nil"/>
            </w:tcBorders>
            <w:shd w:val="clear" w:color="auto" w:fill="auto"/>
            <w:noWrap/>
            <w:vAlign w:val="bottom"/>
            <w:hideMark/>
          </w:tcPr>
          <w:p w14:paraId="47427CC0"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239" w:type="dxa"/>
            <w:gridSpan w:val="3"/>
            <w:tcBorders>
              <w:top w:val="nil"/>
              <w:left w:val="nil"/>
              <w:bottom w:val="nil"/>
              <w:right w:val="nil"/>
            </w:tcBorders>
            <w:shd w:val="clear" w:color="000000" w:fill="D9D9D9"/>
            <w:noWrap/>
            <w:vAlign w:val="bottom"/>
            <w:hideMark/>
          </w:tcPr>
          <w:p w14:paraId="5CB8A3CC" w14:textId="77777777" w:rsidR="00043399" w:rsidRPr="00F96C18" w:rsidRDefault="00043399" w:rsidP="00E965BC">
            <w:pPr>
              <w:spacing w:line="240" w:lineRule="auto"/>
              <w:jc w:val="right"/>
              <w:rPr>
                <w:rFonts w:cs="Times New Roman"/>
                <w:b/>
                <w:bCs/>
              </w:rPr>
            </w:pPr>
            <w:r w:rsidRPr="00F96C18">
              <w:rPr>
                <w:rFonts w:cs="Times New Roman"/>
                <w:b/>
                <w:bCs/>
              </w:rPr>
              <w:t>0.3</w:t>
            </w:r>
          </w:p>
        </w:tc>
        <w:tc>
          <w:tcPr>
            <w:tcW w:w="222" w:type="dxa"/>
            <w:tcBorders>
              <w:top w:val="nil"/>
              <w:left w:val="nil"/>
              <w:bottom w:val="nil"/>
              <w:right w:val="nil"/>
            </w:tcBorders>
            <w:shd w:val="clear" w:color="auto" w:fill="auto"/>
            <w:noWrap/>
            <w:vAlign w:val="bottom"/>
            <w:hideMark/>
          </w:tcPr>
          <w:p w14:paraId="32709EFA"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r>
      <w:tr w:rsidR="00043399" w:rsidRPr="00F96C18" w14:paraId="175A0DDD" w14:textId="77777777" w:rsidTr="00E965BC">
        <w:trPr>
          <w:trHeight w:val="315"/>
        </w:trPr>
        <w:tc>
          <w:tcPr>
            <w:tcW w:w="1072" w:type="dxa"/>
            <w:tcBorders>
              <w:top w:val="nil"/>
              <w:left w:val="nil"/>
              <w:bottom w:val="nil"/>
              <w:right w:val="nil"/>
            </w:tcBorders>
            <w:shd w:val="clear" w:color="auto" w:fill="auto"/>
            <w:noWrap/>
            <w:vAlign w:val="bottom"/>
            <w:hideMark/>
          </w:tcPr>
          <w:p w14:paraId="164AF877" w14:textId="77777777" w:rsidR="00043399" w:rsidRPr="00F96C18" w:rsidRDefault="00043399" w:rsidP="00E965BC">
            <w:pPr>
              <w:spacing w:line="240" w:lineRule="auto"/>
              <w:rPr>
                <w:rFonts w:cs="Times New Roman"/>
                <w:color w:val="000000"/>
              </w:rPr>
            </w:pPr>
            <w:r w:rsidRPr="00F96C18">
              <w:rPr>
                <w:rFonts w:cs="Times New Roman"/>
                <w:color w:val="000000"/>
              </w:rPr>
              <w:t>K2</w:t>
            </w:r>
          </w:p>
        </w:tc>
        <w:tc>
          <w:tcPr>
            <w:tcW w:w="963" w:type="dxa"/>
            <w:tcBorders>
              <w:top w:val="nil"/>
              <w:left w:val="nil"/>
              <w:bottom w:val="nil"/>
              <w:right w:val="nil"/>
            </w:tcBorders>
            <w:shd w:val="clear" w:color="auto" w:fill="auto"/>
            <w:noWrap/>
            <w:vAlign w:val="bottom"/>
            <w:hideMark/>
          </w:tcPr>
          <w:p w14:paraId="552AA799" w14:textId="77777777" w:rsidR="00043399" w:rsidRPr="00F96C18" w:rsidRDefault="00043399" w:rsidP="00E965BC">
            <w:pPr>
              <w:spacing w:line="240" w:lineRule="auto"/>
              <w:jc w:val="right"/>
              <w:rPr>
                <w:rFonts w:cs="Times New Roman"/>
                <w:color w:val="000000"/>
              </w:rPr>
            </w:pPr>
            <w:r w:rsidRPr="00F96C18">
              <w:rPr>
                <w:rFonts w:cs="Times New Roman"/>
                <w:color w:val="000000"/>
              </w:rPr>
              <w:t>-2.7</w:t>
            </w:r>
          </w:p>
        </w:tc>
        <w:tc>
          <w:tcPr>
            <w:tcW w:w="381" w:type="dxa"/>
            <w:gridSpan w:val="3"/>
            <w:tcBorders>
              <w:top w:val="nil"/>
              <w:left w:val="nil"/>
              <w:bottom w:val="nil"/>
              <w:right w:val="nil"/>
            </w:tcBorders>
            <w:shd w:val="clear" w:color="auto" w:fill="auto"/>
            <w:noWrap/>
            <w:vAlign w:val="bottom"/>
            <w:hideMark/>
          </w:tcPr>
          <w:p w14:paraId="606C8587"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034" w:type="dxa"/>
            <w:tcBorders>
              <w:top w:val="nil"/>
              <w:left w:val="nil"/>
              <w:bottom w:val="nil"/>
              <w:right w:val="nil"/>
            </w:tcBorders>
            <w:shd w:val="clear" w:color="000000" w:fill="D9D9D9"/>
            <w:noWrap/>
            <w:vAlign w:val="bottom"/>
            <w:hideMark/>
          </w:tcPr>
          <w:p w14:paraId="3E4B69EE" w14:textId="77777777" w:rsidR="00043399" w:rsidRPr="00F96C18" w:rsidRDefault="00043399" w:rsidP="00E965BC">
            <w:pPr>
              <w:spacing w:line="240" w:lineRule="auto"/>
              <w:jc w:val="right"/>
              <w:rPr>
                <w:rFonts w:cs="Times New Roman"/>
                <w:b/>
                <w:bCs/>
              </w:rPr>
            </w:pPr>
            <w:r w:rsidRPr="00F96C18">
              <w:rPr>
                <w:rFonts w:cs="Times New Roman"/>
                <w:b/>
                <w:bCs/>
              </w:rPr>
              <w:t>0.1</w:t>
            </w:r>
          </w:p>
        </w:tc>
        <w:tc>
          <w:tcPr>
            <w:tcW w:w="381" w:type="dxa"/>
            <w:gridSpan w:val="2"/>
            <w:tcBorders>
              <w:top w:val="nil"/>
              <w:left w:val="nil"/>
              <w:bottom w:val="nil"/>
              <w:right w:val="nil"/>
            </w:tcBorders>
            <w:shd w:val="clear" w:color="auto" w:fill="auto"/>
            <w:noWrap/>
            <w:vAlign w:val="bottom"/>
            <w:hideMark/>
          </w:tcPr>
          <w:p w14:paraId="6E2B99CA"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215" w:type="dxa"/>
            <w:gridSpan w:val="2"/>
            <w:tcBorders>
              <w:top w:val="nil"/>
              <w:left w:val="nil"/>
              <w:bottom w:val="nil"/>
              <w:right w:val="nil"/>
            </w:tcBorders>
            <w:shd w:val="clear" w:color="auto" w:fill="auto"/>
            <w:noWrap/>
            <w:vAlign w:val="bottom"/>
            <w:hideMark/>
          </w:tcPr>
          <w:p w14:paraId="19B7BB6B" w14:textId="77777777" w:rsidR="00043399" w:rsidRPr="00F96C18" w:rsidRDefault="00043399" w:rsidP="00E965BC">
            <w:pPr>
              <w:spacing w:line="240" w:lineRule="auto"/>
              <w:jc w:val="right"/>
              <w:rPr>
                <w:rFonts w:cs="Times New Roman"/>
                <w:color w:val="000000"/>
              </w:rPr>
            </w:pPr>
            <w:r w:rsidRPr="00F96C18">
              <w:rPr>
                <w:rFonts w:cs="Times New Roman"/>
                <w:color w:val="000000"/>
              </w:rPr>
              <w:t>0.0</w:t>
            </w:r>
          </w:p>
        </w:tc>
        <w:tc>
          <w:tcPr>
            <w:tcW w:w="222" w:type="dxa"/>
            <w:tcBorders>
              <w:top w:val="nil"/>
              <w:left w:val="nil"/>
              <w:bottom w:val="nil"/>
              <w:right w:val="nil"/>
            </w:tcBorders>
            <w:shd w:val="clear" w:color="auto" w:fill="auto"/>
            <w:noWrap/>
            <w:vAlign w:val="bottom"/>
            <w:hideMark/>
          </w:tcPr>
          <w:p w14:paraId="389DB40A"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155" w:type="dxa"/>
            <w:gridSpan w:val="3"/>
            <w:tcBorders>
              <w:top w:val="nil"/>
              <w:left w:val="nil"/>
              <w:bottom w:val="nil"/>
              <w:right w:val="nil"/>
            </w:tcBorders>
            <w:shd w:val="clear" w:color="auto" w:fill="auto"/>
            <w:noWrap/>
            <w:vAlign w:val="bottom"/>
            <w:hideMark/>
          </w:tcPr>
          <w:p w14:paraId="1510B801" w14:textId="77777777" w:rsidR="00043399" w:rsidRPr="00F96C18" w:rsidRDefault="00043399" w:rsidP="00E965BC">
            <w:pPr>
              <w:spacing w:line="240" w:lineRule="auto"/>
              <w:jc w:val="right"/>
              <w:rPr>
                <w:rFonts w:cs="Times New Roman"/>
                <w:color w:val="000000"/>
              </w:rPr>
            </w:pPr>
            <w:r w:rsidRPr="00F96C18">
              <w:rPr>
                <w:rFonts w:cs="Times New Roman"/>
                <w:color w:val="000000"/>
              </w:rPr>
              <w:t>-1.7</w:t>
            </w:r>
          </w:p>
        </w:tc>
        <w:tc>
          <w:tcPr>
            <w:tcW w:w="222" w:type="dxa"/>
            <w:tcBorders>
              <w:top w:val="nil"/>
              <w:left w:val="nil"/>
              <w:bottom w:val="nil"/>
              <w:right w:val="nil"/>
            </w:tcBorders>
            <w:shd w:val="clear" w:color="auto" w:fill="auto"/>
            <w:noWrap/>
            <w:vAlign w:val="bottom"/>
            <w:hideMark/>
          </w:tcPr>
          <w:p w14:paraId="3D6FC612"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155" w:type="dxa"/>
            <w:gridSpan w:val="2"/>
            <w:tcBorders>
              <w:top w:val="nil"/>
              <w:left w:val="nil"/>
              <w:bottom w:val="nil"/>
              <w:right w:val="nil"/>
            </w:tcBorders>
            <w:shd w:val="clear" w:color="auto" w:fill="auto"/>
            <w:noWrap/>
            <w:vAlign w:val="bottom"/>
            <w:hideMark/>
          </w:tcPr>
          <w:p w14:paraId="040E73DD" w14:textId="77777777" w:rsidR="00043399" w:rsidRPr="00F96C18" w:rsidRDefault="00043399" w:rsidP="00E965BC">
            <w:pPr>
              <w:spacing w:line="240" w:lineRule="auto"/>
              <w:jc w:val="right"/>
              <w:rPr>
                <w:rFonts w:cs="Times New Roman"/>
                <w:color w:val="000000"/>
              </w:rPr>
            </w:pPr>
            <w:r w:rsidRPr="00F96C18">
              <w:rPr>
                <w:rFonts w:cs="Times New Roman"/>
                <w:color w:val="000000"/>
              </w:rPr>
              <w:t>-0.3</w:t>
            </w:r>
          </w:p>
        </w:tc>
        <w:tc>
          <w:tcPr>
            <w:tcW w:w="222" w:type="dxa"/>
            <w:gridSpan w:val="2"/>
            <w:tcBorders>
              <w:top w:val="nil"/>
              <w:left w:val="nil"/>
              <w:bottom w:val="nil"/>
              <w:right w:val="nil"/>
            </w:tcBorders>
            <w:shd w:val="clear" w:color="auto" w:fill="auto"/>
            <w:noWrap/>
            <w:vAlign w:val="bottom"/>
            <w:hideMark/>
          </w:tcPr>
          <w:p w14:paraId="397F982A"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239" w:type="dxa"/>
            <w:gridSpan w:val="3"/>
            <w:tcBorders>
              <w:top w:val="nil"/>
              <w:left w:val="nil"/>
              <w:bottom w:val="nil"/>
              <w:right w:val="nil"/>
            </w:tcBorders>
            <w:shd w:val="clear" w:color="auto" w:fill="auto"/>
            <w:noWrap/>
            <w:vAlign w:val="bottom"/>
            <w:hideMark/>
          </w:tcPr>
          <w:p w14:paraId="6EFD438B" w14:textId="77777777" w:rsidR="00043399" w:rsidRPr="00F96C18" w:rsidRDefault="00043399" w:rsidP="00E965BC">
            <w:pPr>
              <w:spacing w:line="240" w:lineRule="auto"/>
              <w:jc w:val="right"/>
              <w:rPr>
                <w:rFonts w:cs="Times New Roman"/>
                <w:color w:val="000000"/>
              </w:rPr>
            </w:pPr>
            <w:r w:rsidRPr="00F96C18">
              <w:rPr>
                <w:rFonts w:cs="Times New Roman"/>
                <w:color w:val="000000"/>
              </w:rPr>
              <w:t>-0.7</w:t>
            </w:r>
          </w:p>
        </w:tc>
        <w:tc>
          <w:tcPr>
            <w:tcW w:w="222" w:type="dxa"/>
            <w:tcBorders>
              <w:top w:val="nil"/>
              <w:left w:val="nil"/>
              <w:bottom w:val="nil"/>
              <w:right w:val="nil"/>
            </w:tcBorders>
            <w:shd w:val="clear" w:color="auto" w:fill="auto"/>
            <w:noWrap/>
            <w:vAlign w:val="bottom"/>
            <w:hideMark/>
          </w:tcPr>
          <w:p w14:paraId="051525DC"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r>
      <w:tr w:rsidR="00043399" w:rsidRPr="00F96C18" w14:paraId="234D2447" w14:textId="77777777" w:rsidTr="00E965BC">
        <w:trPr>
          <w:trHeight w:val="315"/>
        </w:trPr>
        <w:tc>
          <w:tcPr>
            <w:tcW w:w="1072" w:type="dxa"/>
            <w:tcBorders>
              <w:top w:val="nil"/>
              <w:left w:val="nil"/>
              <w:bottom w:val="nil"/>
              <w:right w:val="nil"/>
            </w:tcBorders>
            <w:shd w:val="clear" w:color="auto" w:fill="auto"/>
            <w:noWrap/>
            <w:vAlign w:val="bottom"/>
            <w:hideMark/>
          </w:tcPr>
          <w:p w14:paraId="74D29FD0" w14:textId="77777777" w:rsidR="00043399" w:rsidRPr="00F96C18" w:rsidRDefault="00043399" w:rsidP="00E965BC">
            <w:pPr>
              <w:spacing w:line="240" w:lineRule="auto"/>
              <w:rPr>
                <w:rFonts w:cs="Times New Roman"/>
                <w:color w:val="000000"/>
              </w:rPr>
            </w:pPr>
            <w:r w:rsidRPr="00F96C18">
              <w:rPr>
                <w:rFonts w:cs="Times New Roman"/>
                <w:color w:val="000000"/>
              </w:rPr>
              <w:t>K3</w:t>
            </w:r>
          </w:p>
        </w:tc>
        <w:tc>
          <w:tcPr>
            <w:tcW w:w="963" w:type="dxa"/>
            <w:tcBorders>
              <w:top w:val="nil"/>
              <w:left w:val="nil"/>
              <w:bottom w:val="nil"/>
              <w:right w:val="nil"/>
            </w:tcBorders>
            <w:shd w:val="clear" w:color="000000" w:fill="D9D9D9"/>
            <w:noWrap/>
            <w:vAlign w:val="bottom"/>
            <w:hideMark/>
          </w:tcPr>
          <w:p w14:paraId="4F49E82C" w14:textId="77777777" w:rsidR="00043399" w:rsidRPr="00F96C18" w:rsidRDefault="00043399" w:rsidP="00E965BC">
            <w:pPr>
              <w:spacing w:line="240" w:lineRule="auto"/>
              <w:jc w:val="right"/>
              <w:rPr>
                <w:rFonts w:cs="Times New Roman"/>
                <w:b/>
                <w:bCs/>
              </w:rPr>
            </w:pPr>
            <w:r w:rsidRPr="00F96C18">
              <w:rPr>
                <w:rFonts w:cs="Times New Roman"/>
                <w:b/>
                <w:bCs/>
              </w:rPr>
              <w:t>0.2</w:t>
            </w:r>
          </w:p>
        </w:tc>
        <w:tc>
          <w:tcPr>
            <w:tcW w:w="381" w:type="dxa"/>
            <w:gridSpan w:val="3"/>
            <w:tcBorders>
              <w:top w:val="nil"/>
              <w:left w:val="nil"/>
              <w:bottom w:val="nil"/>
              <w:right w:val="nil"/>
            </w:tcBorders>
            <w:shd w:val="clear" w:color="auto" w:fill="auto"/>
            <w:noWrap/>
            <w:vAlign w:val="bottom"/>
            <w:hideMark/>
          </w:tcPr>
          <w:p w14:paraId="615CB254"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034" w:type="dxa"/>
            <w:tcBorders>
              <w:top w:val="nil"/>
              <w:left w:val="nil"/>
              <w:bottom w:val="nil"/>
              <w:right w:val="nil"/>
            </w:tcBorders>
            <w:shd w:val="clear" w:color="000000" w:fill="D9D9D9"/>
            <w:noWrap/>
            <w:vAlign w:val="bottom"/>
            <w:hideMark/>
          </w:tcPr>
          <w:p w14:paraId="3C323242" w14:textId="77777777" w:rsidR="00043399" w:rsidRPr="00F96C18" w:rsidRDefault="00043399" w:rsidP="00E965BC">
            <w:pPr>
              <w:spacing w:line="240" w:lineRule="auto"/>
              <w:jc w:val="right"/>
              <w:rPr>
                <w:rFonts w:cs="Times New Roman"/>
                <w:b/>
                <w:bCs/>
              </w:rPr>
            </w:pPr>
            <w:r w:rsidRPr="00F96C18">
              <w:rPr>
                <w:rFonts w:cs="Times New Roman"/>
                <w:b/>
                <w:bCs/>
              </w:rPr>
              <w:t>1.9</w:t>
            </w:r>
          </w:p>
        </w:tc>
        <w:tc>
          <w:tcPr>
            <w:tcW w:w="381" w:type="dxa"/>
            <w:gridSpan w:val="2"/>
            <w:tcBorders>
              <w:top w:val="nil"/>
              <w:left w:val="nil"/>
              <w:bottom w:val="nil"/>
              <w:right w:val="nil"/>
            </w:tcBorders>
            <w:shd w:val="clear" w:color="auto" w:fill="auto"/>
            <w:noWrap/>
            <w:vAlign w:val="bottom"/>
            <w:hideMark/>
          </w:tcPr>
          <w:p w14:paraId="6CBEDD79"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215" w:type="dxa"/>
            <w:gridSpan w:val="2"/>
            <w:tcBorders>
              <w:top w:val="nil"/>
              <w:left w:val="nil"/>
              <w:bottom w:val="nil"/>
              <w:right w:val="nil"/>
            </w:tcBorders>
            <w:shd w:val="clear" w:color="auto" w:fill="auto"/>
            <w:noWrap/>
            <w:vAlign w:val="bottom"/>
            <w:hideMark/>
          </w:tcPr>
          <w:p w14:paraId="71436071" w14:textId="77777777" w:rsidR="00043399" w:rsidRPr="00F96C18" w:rsidRDefault="00043399" w:rsidP="00E965BC">
            <w:pPr>
              <w:spacing w:line="240" w:lineRule="auto"/>
              <w:jc w:val="right"/>
              <w:rPr>
                <w:rFonts w:cs="Times New Roman"/>
                <w:color w:val="000000"/>
              </w:rPr>
            </w:pPr>
            <w:r w:rsidRPr="00F96C18">
              <w:rPr>
                <w:rFonts w:cs="Times New Roman"/>
                <w:color w:val="000000"/>
              </w:rPr>
              <w:t>0.0</w:t>
            </w:r>
          </w:p>
        </w:tc>
        <w:tc>
          <w:tcPr>
            <w:tcW w:w="222" w:type="dxa"/>
            <w:tcBorders>
              <w:top w:val="nil"/>
              <w:left w:val="nil"/>
              <w:bottom w:val="nil"/>
              <w:right w:val="nil"/>
            </w:tcBorders>
            <w:shd w:val="clear" w:color="auto" w:fill="auto"/>
            <w:noWrap/>
            <w:vAlign w:val="bottom"/>
            <w:hideMark/>
          </w:tcPr>
          <w:p w14:paraId="40D7C80F"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155" w:type="dxa"/>
            <w:gridSpan w:val="3"/>
            <w:tcBorders>
              <w:top w:val="nil"/>
              <w:left w:val="nil"/>
              <w:bottom w:val="nil"/>
              <w:right w:val="nil"/>
            </w:tcBorders>
            <w:shd w:val="clear" w:color="auto" w:fill="auto"/>
            <w:noWrap/>
            <w:vAlign w:val="bottom"/>
            <w:hideMark/>
          </w:tcPr>
          <w:p w14:paraId="3122CEC7" w14:textId="77777777" w:rsidR="00043399" w:rsidRPr="00F96C18" w:rsidRDefault="00043399" w:rsidP="00E965BC">
            <w:pPr>
              <w:spacing w:line="240" w:lineRule="auto"/>
              <w:jc w:val="right"/>
              <w:rPr>
                <w:rFonts w:cs="Times New Roman"/>
                <w:color w:val="000000"/>
              </w:rPr>
            </w:pPr>
            <w:r w:rsidRPr="00F96C18">
              <w:rPr>
                <w:rFonts w:cs="Times New Roman"/>
                <w:color w:val="000000"/>
              </w:rPr>
              <w:t>-0.1</w:t>
            </w:r>
          </w:p>
        </w:tc>
        <w:tc>
          <w:tcPr>
            <w:tcW w:w="222" w:type="dxa"/>
            <w:tcBorders>
              <w:top w:val="nil"/>
              <w:left w:val="nil"/>
              <w:bottom w:val="nil"/>
              <w:right w:val="nil"/>
            </w:tcBorders>
            <w:shd w:val="clear" w:color="auto" w:fill="auto"/>
            <w:noWrap/>
            <w:vAlign w:val="bottom"/>
            <w:hideMark/>
          </w:tcPr>
          <w:p w14:paraId="1F636E47"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155" w:type="dxa"/>
            <w:gridSpan w:val="2"/>
            <w:tcBorders>
              <w:top w:val="nil"/>
              <w:left w:val="nil"/>
              <w:bottom w:val="nil"/>
              <w:right w:val="nil"/>
            </w:tcBorders>
            <w:shd w:val="clear" w:color="000000" w:fill="D9D9D9"/>
            <w:noWrap/>
            <w:vAlign w:val="bottom"/>
            <w:hideMark/>
          </w:tcPr>
          <w:p w14:paraId="448A664B" w14:textId="77777777" w:rsidR="00043399" w:rsidRPr="00F96C18" w:rsidRDefault="00043399" w:rsidP="00E965BC">
            <w:pPr>
              <w:spacing w:line="240" w:lineRule="auto"/>
              <w:jc w:val="right"/>
              <w:rPr>
                <w:rFonts w:cs="Times New Roman"/>
                <w:b/>
                <w:bCs/>
              </w:rPr>
            </w:pPr>
            <w:r w:rsidRPr="00F96C18">
              <w:rPr>
                <w:rFonts w:cs="Times New Roman"/>
                <w:b/>
                <w:bCs/>
              </w:rPr>
              <w:t>0.0</w:t>
            </w:r>
          </w:p>
        </w:tc>
        <w:tc>
          <w:tcPr>
            <w:tcW w:w="222" w:type="dxa"/>
            <w:gridSpan w:val="2"/>
            <w:tcBorders>
              <w:top w:val="nil"/>
              <w:left w:val="nil"/>
              <w:bottom w:val="nil"/>
              <w:right w:val="nil"/>
            </w:tcBorders>
            <w:shd w:val="clear" w:color="auto" w:fill="auto"/>
            <w:noWrap/>
            <w:vAlign w:val="bottom"/>
            <w:hideMark/>
          </w:tcPr>
          <w:p w14:paraId="0C83368C"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239" w:type="dxa"/>
            <w:gridSpan w:val="3"/>
            <w:tcBorders>
              <w:top w:val="nil"/>
              <w:left w:val="nil"/>
              <w:bottom w:val="nil"/>
              <w:right w:val="nil"/>
            </w:tcBorders>
            <w:shd w:val="clear" w:color="auto" w:fill="auto"/>
            <w:noWrap/>
            <w:vAlign w:val="bottom"/>
            <w:hideMark/>
          </w:tcPr>
          <w:p w14:paraId="20D05089" w14:textId="77777777" w:rsidR="00043399" w:rsidRPr="00F96C18" w:rsidRDefault="00043399" w:rsidP="00E965BC">
            <w:pPr>
              <w:spacing w:line="240" w:lineRule="auto"/>
              <w:jc w:val="right"/>
              <w:rPr>
                <w:rFonts w:cs="Times New Roman"/>
                <w:color w:val="000000"/>
              </w:rPr>
            </w:pPr>
            <w:r w:rsidRPr="00F96C18">
              <w:rPr>
                <w:rFonts w:cs="Times New Roman"/>
                <w:color w:val="000000"/>
              </w:rPr>
              <w:t>0.0</w:t>
            </w:r>
          </w:p>
        </w:tc>
        <w:tc>
          <w:tcPr>
            <w:tcW w:w="222" w:type="dxa"/>
            <w:tcBorders>
              <w:top w:val="nil"/>
              <w:left w:val="nil"/>
              <w:bottom w:val="nil"/>
              <w:right w:val="nil"/>
            </w:tcBorders>
            <w:shd w:val="clear" w:color="auto" w:fill="auto"/>
            <w:noWrap/>
            <w:vAlign w:val="bottom"/>
            <w:hideMark/>
          </w:tcPr>
          <w:p w14:paraId="72AE49AB"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r>
      <w:tr w:rsidR="00043399" w:rsidRPr="00F96C18" w14:paraId="586BD9EA" w14:textId="77777777" w:rsidTr="00E965BC">
        <w:trPr>
          <w:trHeight w:val="315"/>
        </w:trPr>
        <w:tc>
          <w:tcPr>
            <w:tcW w:w="1072" w:type="dxa"/>
            <w:tcBorders>
              <w:top w:val="nil"/>
              <w:left w:val="nil"/>
              <w:bottom w:val="nil"/>
              <w:right w:val="nil"/>
            </w:tcBorders>
            <w:shd w:val="clear" w:color="auto" w:fill="auto"/>
            <w:noWrap/>
            <w:vAlign w:val="bottom"/>
            <w:hideMark/>
          </w:tcPr>
          <w:p w14:paraId="617574B5" w14:textId="77777777" w:rsidR="00043399" w:rsidRPr="00F96C18" w:rsidRDefault="00043399" w:rsidP="00E965BC">
            <w:pPr>
              <w:spacing w:line="240" w:lineRule="auto"/>
              <w:rPr>
                <w:rFonts w:cs="Times New Roman"/>
                <w:color w:val="000000"/>
              </w:rPr>
            </w:pPr>
            <w:r w:rsidRPr="00F96C18">
              <w:rPr>
                <w:rFonts w:cs="Times New Roman"/>
                <w:color w:val="000000"/>
              </w:rPr>
              <w:t>M</w:t>
            </w:r>
          </w:p>
        </w:tc>
        <w:tc>
          <w:tcPr>
            <w:tcW w:w="963" w:type="dxa"/>
            <w:tcBorders>
              <w:top w:val="nil"/>
              <w:left w:val="nil"/>
              <w:bottom w:val="nil"/>
              <w:right w:val="nil"/>
            </w:tcBorders>
            <w:shd w:val="clear" w:color="000000" w:fill="D9D9D9"/>
            <w:noWrap/>
            <w:vAlign w:val="bottom"/>
            <w:hideMark/>
          </w:tcPr>
          <w:p w14:paraId="720B3771" w14:textId="77777777" w:rsidR="00043399" w:rsidRPr="00F96C18" w:rsidRDefault="00043399" w:rsidP="00E965BC">
            <w:pPr>
              <w:spacing w:line="240" w:lineRule="auto"/>
              <w:jc w:val="right"/>
              <w:rPr>
                <w:rFonts w:cs="Times New Roman"/>
                <w:b/>
                <w:bCs/>
              </w:rPr>
            </w:pPr>
            <w:r w:rsidRPr="00F96C18">
              <w:rPr>
                <w:rFonts w:cs="Times New Roman"/>
                <w:b/>
                <w:bCs/>
              </w:rPr>
              <w:t>0.5</w:t>
            </w:r>
          </w:p>
        </w:tc>
        <w:tc>
          <w:tcPr>
            <w:tcW w:w="381" w:type="dxa"/>
            <w:gridSpan w:val="3"/>
            <w:tcBorders>
              <w:top w:val="nil"/>
              <w:left w:val="nil"/>
              <w:bottom w:val="nil"/>
              <w:right w:val="nil"/>
            </w:tcBorders>
            <w:shd w:val="clear" w:color="auto" w:fill="auto"/>
            <w:noWrap/>
            <w:vAlign w:val="bottom"/>
            <w:hideMark/>
          </w:tcPr>
          <w:p w14:paraId="335AD546"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034" w:type="dxa"/>
            <w:tcBorders>
              <w:top w:val="nil"/>
              <w:left w:val="nil"/>
              <w:bottom w:val="nil"/>
              <w:right w:val="nil"/>
            </w:tcBorders>
            <w:shd w:val="clear" w:color="000000" w:fill="D9D9D9"/>
            <w:noWrap/>
            <w:vAlign w:val="bottom"/>
            <w:hideMark/>
          </w:tcPr>
          <w:p w14:paraId="3EB4B592" w14:textId="77777777" w:rsidR="00043399" w:rsidRPr="00F96C18" w:rsidRDefault="00043399" w:rsidP="00E965BC">
            <w:pPr>
              <w:spacing w:line="240" w:lineRule="auto"/>
              <w:jc w:val="right"/>
              <w:rPr>
                <w:rFonts w:cs="Times New Roman"/>
                <w:b/>
                <w:bCs/>
              </w:rPr>
            </w:pPr>
            <w:r w:rsidRPr="00F96C18">
              <w:rPr>
                <w:rFonts w:cs="Times New Roman"/>
                <w:b/>
                <w:bCs/>
              </w:rPr>
              <w:t>0.3</w:t>
            </w:r>
          </w:p>
        </w:tc>
        <w:tc>
          <w:tcPr>
            <w:tcW w:w="381" w:type="dxa"/>
            <w:gridSpan w:val="2"/>
            <w:tcBorders>
              <w:top w:val="nil"/>
              <w:left w:val="nil"/>
              <w:bottom w:val="nil"/>
              <w:right w:val="nil"/>
            </w:tcBorders>
            <w:shd w:val="clear" w:color="auto" w:fill="auto"/>
            <w:noWrap/>
            <w:vAlign w:val="bottom"/>
            <w:hideMark/>
          </w:tcPr>
          <w:p w14:paraId="35A68565"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215" w:type="dxa"/>
            <w:gridSpan w:val="2"/>
            <w:tcBorders>
              <w:top w:val="nil"/>
              <w:left w:val="nil"/>
              <w:bottom w:val="nil"/>
              <w:right w:val="nil"/>
            </w:tcBorders>
            <w:shd w:val="clear" w:color="auto" w:fill="auto"/>
            <w:noWrap/>
            <w:vAlign w:val="bottom"/>
            <w:hideMark/>
          </w:tcPr>
          <w:p w14:paraId="505847FC" w14:textId="77777777" w:rsidR="00043399" w:rsidRPr="00F96C18" w:rsidRDefault="00043399" w:rsidP="00E965BC">
            <w:pPr>
              <w:spacing w:line="240" w:lineRule="auto"/>
              <w:jc w:val="right"/>
              <w:rPr>
                <w:rFonts w:cs="Times New Roman"/>
                <w:color w:val="000000"/>
              </w:rPr>
            </w:pPr>
            <w:r w:rsidRPr="00F96C18">
              <w:rPr>
                <w:rFonts w:cs="Times New Roman"/>
                <w:color w:val="000000"/>
              </w:rPr>
              <w:t>0.0</w:t>
            </w:r>
          </w:p>
        </w:tc>
        <w:tc>
          <w:tcPr>
            <w:tcW w:w="222" w:type="dxa"/>
            <w:tcBorders>
              <w:top w:val="nil"/>
              <w:left w:val="nil"/>
              <w:bottom w:val="nil"/>
              <w:right w:val="nil"/>
            </w:tcBorders>
            <w:shd w:val="clear" w:color="auto" w:fill="auto"/>
            <w:noWrap/>
            <w:vAlign w:val="bottom"/>
            <w:hideMark/>
          </w:tcPr>
          <w:p w14:paraId="65CE75A5"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155" w:type="dxa"/>
            <w:gridSpan w:val="3"/>
            <w:tcBorders>
              <w:top w:val="nil"/>
              <w:left w:val="nil"/>
              <w:bottom w:val="nil"/>
              <w:right w:val="nil"/>
            </w:tcBorders>
            <w:shd w:val="clear" w:color="000000" w:fill="D9D9D9"/>
            <w:noWrap/>
            <w:vAlign w:val="bottom"/>
            <w:hideMark/>
          </w:tcPr>
          <w:p w14:paraId="3C8438BF" w14:textId="77777777" w:rsidR="00043399" w:rsidRPr="00F96C18" w:rsidRDefault="00043399" w:rsidP="00E965BC">
            <w:pPr>
              <w:spacing w:line="240" w:lineRule="auto"/>
              <w:jc w:val="right"/>
              <w:rPr>
                <w:rFonts w:cs="Times New Roman"/>
                <w:b/>
                <w:bCs/>
              </w:rPr>
            </w:pPr>
            <w:r w:rsidRPr="00F96C18">
              <w:rPr>
                <w:rFonts w:cs="Times New Roman"/>
                <w:b/>
                <w:bCs/>
              </w:rPr>
              <w:t>0.5</w:t>
            </w:r>
          </w:p>
        </w:tc>
        <w:tc>
          <w:tcPr>
            <w:tcW w:w="222" w:type="dxa"/>
            <w:tcBorders>
              <w:top w:val="nil"/>
              <w:left w:val="nil"/>
              <w:bottom w:val="nil"/>
              <w:right w:val="nil"/>
            </w:tcBorders>
            <w:shd w:val="clear" w:color="auto" w:fill="auto"/>
            <w:noWrap/>
            <w:vAlign w:val="bottom"/>
            <w:hideMark/>
          </w:tcPr>
          <w:p w14:paraId="3781D041"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155" w:type="dxa"/>
            <w:gridSpan w:val="2"/>
            <w:tcBorders>
              <w:top w:val="nil"/>
              <w:left w:val="nil"/>
              <w:bottom w:val="nil"/>
              <w:right w:val="nil"/>
            </w:tcBorders>
            <w:shd w:val="clear" w:color="000000" w:fill="D9D9D9"/>
            <w:noWrap/>
            <w:vAlign w:val="bottom"/>
            <w:hideMark/>
          </w:tcPr>
          <w:p w14:paraId="0A1F116D" w14:textId="77777777" w:rsidR="00043399" w:rsidRPr="00F96C18" w:rsidRDefault="00043399" w:rsidP="00E965BC">
            <w:pPr>
              <w:spacing w:line="240" w:lineRule="auto"/>
              <w:jc w:val="right"/>
              <w:rPr>
                <w:rFonts w:cs="Times New Roman"/>
                <w:b/>
                <w:bCs/>
              </w:rPr>
            </w:pPr>
            <w:r w:rsidRPr="00F96C18">
              <w:rPr>
                <w:rFonts w:cs="Times New Roman"/>
                <w:b/>
                <w:bCs/>
              </w:rPr>
              <w:t>0.8</w:t>
            </w:r>
          </w:p>
        </w:tc>
        <w:tc>
          <w:tcPr>
            <w:tcW w:w="222" w:type="dxa"/>
            <w:gridSpan w:val="2"/>
            <w:tcBorders>
              <w:top w:val="nil"/>
              <w:left w:val="nil"/>
              <w:bottom w:val="nil"/>
              <w:right w:val="nil"/>
            </w:tcBorders>
            <w:shd w:val="clear" w:color="auto" w:fill="auto"/>
            <w:noWrap/>
            <w:vAlign w:val="bottom"/>
            <w:hideMark/>
          </w:tcPr>
          <w:p w14:paraId="64EC44D5"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239" w:type="dxa"/>
            <w:gridSpan w:val="3"/>
            <w:tcBorders>
              <w:top w:val="nil"/>
              <w:left w:val="nil"/>
              <w:bottom w:val="nil"/>
              <w:right w:val="nil"/>
            </w:tcBorders>
            <w:shd w:val="clear" w:color="000000" w:fill="D9D9D9"/>
            <w:noWrap/>
            <w:vAlign w:val="bottom"/>
            <w:hideMark/>
          </w:tcPr>
          <w:p w14:paraId="57198F19" w14:textId="77777777" w:rsidR="00043399" w:rsidRPr="00F96C18" w:rsidRDefault="00043399" w:rsidP="00E965BC">
            <w:pPr>
              <w:spacing w:line="240" w:lineRule="auto"/>
              <w:jc w:val="right"/>
              <w:rPr>
                <w:rFonts w:cs="Times New Roman"/>
                <w:b/>
                <w:bCs/>
              </w:rPr>
            </w:pPr>
            <w:r w:rsidRPr="00F96C18">
              <w:rPr>
                <w:rFonts w:cs="Times New Roman"/>
                <w:b/>
                <w:bCs/>
              </w:rPr>
              <w:t>0.5</w:t>
            </w:r>
          </w:p>
        </w:tc>
        <w:tc>
          <w:tcPr>
            <w:tcW w:w="222" w:type="dxa"/>
            <w:tcBorders>
              <w:top w:val="nil"/>
              <w:left w:val="nil"/>
              <w:bottom w:val="nil"/>
              <w:right w:val="nil"/>
            </w:tcBorders>
            <w:shd w:val="clear" w:color="auto" w:fill="auto"/>
            <w:noWrap/>
            <w:vAlign w:val="bottom"/>
            <w:hideMark/>
          </w:tcPr>
          <w:p w14:paraId="0A938542"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r>
      <w:tr w:rsidR="00043399" w:rsidRPr="00F96C18" w14:paraId="010ECAED" w14:textId="77777777" w:rsidTr="00E965BC">
        <w:trPr>
          <w:trHeight w:val="330"/>
        </w:trPr>
        <w:tc>
          <w:tcPr>
            <w:tcW w:w="1072" w:type="dxa"/>
            <w:tcBorders>
              <w:top w:val="nil"/>
              <w:left w:val="nil"/>
              <w:bottom w:val="single" w:sz="8" w:space="0" w:color="auto"/>
              <w:right w:val="nil"/>
            </w:tcBorders>
            <w:shd w:val="clear" w:color="auto" w:fill="auto"/>
            <w:noWrap/>
            <w:vAlign w:val="bottom"/>
            <w:hideMark/>
          </w:tcPr>
          <w:p w14:paraId="3C93D4E7" w14:textId="77777777" w:rsidR="00043399" w:rsidRPr="00F96C18" w:rsidRDefault="00043399" w:rsidP="00E965BC">
            <w:pPr>
              <w:spacing w:line="240" w:lineRule="auto"/>
              <w:rPr>
                <w:rFonts w:cs="Times New Roman"/>
                <w:color w:val="000000"/>
              </w:rPr>
            </w:pPr>
            <w:r w:rsidRPr="00F96C18">
              <w:rPr>
                <w:rFonts w:cs="Times New Roman"/>
                <w:color w:val="000000"/>
              </w:rPr>
              <w:t>T1</w:t>
            </w:r>
          </w:p>
        </w:tc>
        <w:tc>
          <w:tcPr>
            <w:tcW w:w="963" w:type="dxa"/>
            <w:tcBorders>
              <w:top w:val="nil"/>
              <w:left w:val="nil"/>
              <w:bottom w:val="single" w:sz="8" w:space="0" w:color="auto"/>
              <w:right w:val="nil"/>
            </w:tcBorders>
            <w:shd w:val="clear" w:color="000000" w:fill="D9D9D9"/>
            <w:noWrap/>
            <w:vAlign w:val="bottom"/>
            <w:hideMark/>
          </w:tcPr>
          <w:p w14:paraId="0E5B752B" w14:textId="77777777" w:rsidR="00043399" w:rsidRPr="00F96C18" w:rsidRDefault="00043399" w:rsidP="00E965BC">
            <w:pPr>
              <w:spacing w:line="240" w:lineRule="auto"/>
              <w:jc w:val="right"/>
              <w:rPr>
                <w:rFonts w:cs="Times New Roman"/>
                <w:b/>
                <w:bCs/>
              </w:rPr>
            </w:pPr>
            <w:r w:rsidRPr="00F96C18">
              <w:rPr>
                <w:rFonts w:cs="Times New Roman"/>
                <w:b/>
                <w:bCs/>
              </w:rPr>
              <w:t>0.9</w:t>
            </w:r>
          </w:p>
        </w:tc>
        <w:tc>
          <w:tcPr>
            <w:tcW w:w="381" w:type="dxa"/>
            <w:gridSpan w:val="3"/>
            <w:tcBorders>
              <w:top w:val="nil"/>
              <w:left w:val="nil"/>
              <w:bottom w:val="single" w:sz="8" w:space="0" w:color="auto"/>
              <w:right w:val="nil"/>
            </w:tcBorders>
            <w:shd w:val="clear" w:color="auto" w:fill="auto"/>
            <w:noWrap/>
            <w:vAlign w:val="bottom"/>
            <w:hideMark/>
          </w:tcPr>
          <w:p w14:paraId="65AA9E87"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034" w:type="dxa"/>
            <w:tcBorders>
              <w:top w:val="nil"/>
              <w:left w:val="nil"/>
              <w:bottom w:val="single" w:sz="8" w:space="0" w:color="auto"/>
              <w:right w:val="nil"/>
            </w:tcBorders>
            <w:shd w:val="clear" w:color="000000" w:fill="D9D9D9"/>
            <w:noWrap/>
            <w:vAlign w:val="bottom"/>
            <w:hideMark/>
          </w:tcPr>
          <w:p w14:paraId="5D908BD0" w14:textId="77777777" w:rsidR="00043399" w:rsidRPr="00F96C18" w:rsidRDefault="00043399" w:rsidP="00E965BC">
            <w:pPr>
              <w:spacing w:line="240" w:lineRule="auto"/>
              <w:jc w:val="right"/>
              <w:rPr>
                <w:rFonts w:cs="Times New Roman"/>
                <w:b/>
                <w:bCs/>
              </w:rPr>
            </w:pPr>
            <w:r w:rsidRPr="00F96C18">
              <w:rPr>
                <w:rFonts w:cs="Times New Roman"/>
                <w:b/>
                <w:bCs/>
              </w:rPr>
              <w:t>2.1</w:t>
            </w:r>
          </w:p>
        </w:tc>
        <w:tc>
          <w:tcPr>
            <w:tcW w:w="381" w:type="dxa"/>
            <w:gridSpan w:val="2"/>
            <w:tcBorders>
              <w:top w:val="nil"/>
              <w:left w:val="nil"/>
              <w:bottom w:val="single" w:sz="8" w:space="0" w:color="auto"/>
              <w:right w:val="nil"/>
            </w:tcBorders>
            <w:shd w:val="clear" w:color="auto" w:fill="auto"/>
            <w:noWrap/>
            <w:vAlign w:val="bottom"/>
            <w:hideMark/>
          </w:tcPr>
          <w:p w14:paraId="0D50A48D"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215" w:type="dxa"/>
            <w:gridSpan w:val="2"/>
            <w:tcBorders>
              <w:top w:val="nil"/>
              <w:left w:val="nil"/>
              <w:bottom w:val="single" w:sz="8" w:space="0" w:color="auto"/>
              <w:right w:val="nil"/>
            </w:tcBorders>
            <w:shd w:val="clear" w:color="auto" w:fill="auto"/>
            <w:noWrap/>
            <w:vAlign w:val="bottom"/>
            <w:hideMark/>
          </w:tcPr>
          <w:p w14:paraId="69C55D9B" w14:textId="77777777" w:rsidR="00043399" w:rsidRPr="00F96C18" w:rsidRDefault="00043399" w:rsidP="00E965BC">
            <w:pPr>
              <w:spacing w:line="240" w:lineRule="auto"/>
              <w:jc w:val="right"/>
              <w:rPr>
                <w:rFonts w:cs="Times New Roman"/>
                <w:color w:val="000000"/>
              </w:rPr>
            </w:pPr>
            <w:r w:rsidRPr="00F96C18">
              <w:rPr>
                <w:rFonts w:cs="Times New Roman"/>
                <w:color w:val="000000"/>
              </w:rPr>
              <w:t>0.0</w:t>
            </w:r>
          </w:p>
        </w:tc>
        <w:tc>
          <w:tcPr>
            <w:tcW w:w="222" w:type="dxa"/>
            <w:tcBorders>
              <w:top w:val="nil"/>
              <w:left w:val="nil"/>
              <w:bottom w:val="single" w:sz="8" w:space="0" w:color="auto"/>
              <w:right w:val="nil"/>
            </w:tcBorders>
            <w:shd w:val="clear" w:color="auto" w:fill="auto"/>
            <w:noWrap/>
            <w:vAlign w:val="bottom"/>
            <w:hideMark/>
          </w:tcPr>
          <w:p w14:paraId="53A4FFD7"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155" w:type="dxa"/>
            <w:gridSpan w:val="3"/>
            <w:tcBorders>
              <w:top w:val="nil"/>
              <w:left w:val="nil"/>
              <w:bottom w:val="single" w:sz="8" w:space="0" w:color="auto"/>
              <w:right w:val="nil"/>
            </w:tcBorders>
            <w:shd w:val="clear" w:color="000000" w:fill="D9D9D9"/>
            <w:noWrap/>
            <w:vAlign w:val="bottom"/>
            <w:hideMark/>
          </w:tcPr>
          <w:p w14:paraId="7BF7B098" w14:textId="77777777" w:rsidR="00043399" w:rsidRPr="00F96C18" w:rsidRDefault="00043399" w:rsidP="00E965BC">
            <w:pPr>
              <w:spacing w:line="240" w:lineRule="auto"/>
              <w:jc w:val="right"/>
              <w:rPr>
                <w:rFonts w:cs="Times New Roman"/>
                <w:b/>
                <w:bCs/>
              </w:rPr>
            </w:pPr>
            <w:r w:rsidRPr="00F96C18">
              <w:rPr>
                <w:rFonts w:cs="Times New Roman"/>
                <w:b/>
                <w:bCs/>
              </w:rPr>
              <w:t>1.5</w:t>
            </w:r>
          </w:p>
        </w:tc>
        <w:tc>
          <w:tcPr>
            <w:tcW w:w="222" w:type="dxa"/>
            <w:tcBorders>
              <w:top w:val="nil"/>
              <w:left w:val="nil"/>
              <w:bottom w:val="single" w:sz="8" w:space="0" w:color="auto"/>
              <w:right w:val="nil"/>
            </w:tcBorders>
            <w:shd w:val="clear" w:color="auto" w:fill="auto"/>
            <w:noWrap/>
            <w:vAlign w:val="bottom"/>
            <w:hideMark/>
          </w:tcPr>
          <w:p w14:paraId="683EC116"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155" w:type="dxa"/>
            <w:gridSpan w:val="2"/>
            <w:tcBorders>
              <w:top w:val="nil"/>
              <w:left w:val="nil"/>
              <w:bottom w:val="single" w:sz="8" w:space="0" w:color="auto"/>
              <w:right w:val="nil"/>
            </w:tcBorders>
            <w:shd w:val="clear" w:color="000000" w:fill="D9D9D9"/>
            <w:noWrap/>
            <w:vAlign w:val="bottom"/>
            <w:hideMark/>
          </w:tcPr>
          <w:p w14:paraId="4A824B39" w14:textId="77777777" w:rsidR="00043399" w:rsidRPr="00F96C18" w:rsidRDefault="00043399" w:rsidP="00E965BC">
            <w:pPr>
              <w:spacing w:line="240" w:lineRule="auto"/>
              <w:jc w:val="right"/>
              <w:rPr>
                <w:rFonts w:cs="Times New Roman"/>
                <w:b/>
                <w:bCs/>
              </w:rPr>
            </w:pPr>
            <w:r w:rsidRPr="00F96C18">
              <w:rPr>
                <w:rFonts w:cs="Times New Roman"/>
                <w:b/>
                <w:bCs/>
              </w:rPr>
              <w:t>0.5</w:t>
            </w:r>
          </w:p>
        </w:tc>
        <w:tc>
          <w:tcPr>
            <w:tcW w:w="222" w:type="dxa"/>
            <w:gridSpan w:val="2"/>
            <w:tcBorders>
              <w:top w:val="nil"/>
              <w:left w:val="nil"/>
              <w:bottom w:val="single" w:sz="8" w:space="0" w:color="auto"/>
              <w:right w:val="nil"/>
            </w:tcBorders>
            <w:shd w:val="clear" w:color="auto" w:fill="auto"/>
            <w:noWrap/>
            <w:vAlign w:val="bottom"/>
            <w:hideMark/>
          </w:tcPr>
          <w:p w14:paraId="038CA892"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c>
          <w:tcPr>
            <w:tcW w:w="1239" w:type="dxa"/>
            <w:gridSpan w:val="3"/>
            <w:tcBorders>
              <w:top w:val="nil"/>
              <w:left w:val="nil"/>
              <w:bottom w:val="single" w:sz="8" w:space="0" w:color="auto"/>
              <w:right w:val="nil"/>
            </w:tcBorders>
            <w:shd w:val="clear" w:color="000000" w:fill="D9D9D9"/>
            <w:noWrap/>
            <w:vAlign w:val="bottom"/>
            <w:hideMark/>
          </w:tcPr>
          <w:p w14:paraId="462B9ADE" w14:textId="77777777" w:rsidR="00043399" w:rsidRPr="00F96C18" w:rsidRDefault="00043399" w:rsidP="00E965BC">
            <w:pPr>
              <w:spacing w:line="240" w:lineRule="auto"/>
              <w:jc w:val="right"/>
              <w:rPr>
                <w:rFonts w:cs="Times New Roman"/>
                <w:b/>
                <w:bCs/>
              </w:rPr>
            </w:pPr>
            <w:r w:rsidRPr="00F96C18">
              <w:rPr>
                <w:rFonts w:cs="Times New Roman"/>
                <w:b/>
                <w:bCs/>
              </w:rPr>
              <w:t>0.7</w:t>
            </w:r>
          </w:p>
        </w:tc>
        <w:tc>
          <w:tcPr>
            <w:tcW w:w="222" w:type="dxa"/>
            <w:tcBorders>
              <w:top w:val="nil"/>
              <w:left w:val="nil"/>
              <w:bottom w:val="single" w:sz="8" w:space="0" w:color="auto"/>
              <w:right w:val="nil"/>
            </w:tcBorders>
            <w:shd w:val="clear" w:color="auto" w:fill="auto"/>
            <w:noWrap/>
            <w:vAlign w:val="bottom"/>
            <w:hideMark/>
          </w:tcPr>
          <w:p w14:paraId="11E10879" w14:textId="77777777" w:rsidR="00043399" w:rsidRPr="00F96C18" w:rsidRDefault="00043399" w:rsidP="00E965BC">
            <w:pPr>
              <w:spacing w:line="240" w:lineRule="auto"/>
              <w:rPr>
                <w:rFonts w:cs="Times New Roman"/>
                <w:color w:val="000000"/>
              </w:rPr>
            </w:pPr>
            <w:r w:rsidRPr="00F96C18">
              <w:rPr>
                <w:rFonts w:cs="Times New Roman"/>
                <w:color w:val="000000"/>
              </w:rPr>
              <w:t xml:space="preserve"> </w:t>
            </w:r>
          </w:p>
        </w:tc>
      </w:tr>
      <w:tr w:rsidR="00043399" w:rsidRPr="00F96C18" w14:paraId="1695B059" w14:textId="77777777" w:rsidTr="00E965BC">
        <w:trPr>
          <w:trHeight w:val="315"/>
        </w:trPr>
        <w:tc>
          <w:tcPr>
            <w:tcW w:w="9483" w:type="dxa"/>
            <w:gridSpan w:val="23"/>
            <w:tcBorders>
              <w:top w:val="nil"/>
              <w:left w:val="nil"/>
              <w:bottom w:val="nil"/>
              <w:right w:val="nil"/>
            </w:tcBorders>
            <w:shd w:val="clear" w:color="auto" w:fill="auto"/>
            <w:noWrap/>
            <w:vAlign w:val="bottom"/>
            <w:hideMark/>
          </w:tcPr>
          <w:p w14:paraId="2F8B85B8" w14:textId="0AF4CBFC" w:rsidR="00043399" w:rsidRPr="005B4275" w:rsidRDefault="00043399" w:rsidP="00E965BC">
            <w:pPr>
              <w:spacing w:line="240" w:lineRule="auto"/>
              <w:rPr>
                <w:rFonts w:cs="Times New Roman"/>
                <w:color w:val="000000"/>
                <w:vertAlign w:val="subscript"/>
              </w:rPr>
            </w:pPr>
            <w:r w:rsidRPr="005B4275">
              <w:rPr>
                <w:rFonts w:cs="Times New Roman"/>
                <w:color w:val="000000"/>
                <w:vertAlign w:val="subscript"/>
              </w:rPr>
              <w:t xml:space="preserve">* </w:t>
            </w:r>
            <w:r w:rsidR="00B7572A">
              <w:rPr>
                <w:rFonts w:cs="Times New Roman"/>
                <w:color w:val="000000"/>
                <w:vertAlign w:val="subscript"/>
              </w:rPr>
              <w:t xml:space="preserve">P </w:t>
            </w:r>
            <w:r w:rsidR="009021A8">
              <w:rPr>
                <w:rFonts w:cs="Times New Roman"/>
                <w:color w:val="000000"/>
                <w:vertAlign w:val="subscript"/>
              </w:rPr>
              <w:t xml:space="preserve">&lt; </w:t>
            </w:r>
            <w:r w:rsidRPr="005B4275">
              <w:rPr>
                <w:rFonts w:cs="Times New Roman"/>
                <w:color w:val="000000"/>
                <w:vertAlign w:val="subscript"/>
              </w:rPr>
              <w:t>0.05, **</w:t>
            </w:r>
            <w:r w:rsidR="00B7572A">
              <w:rPr>
                <w:rFonts w:cs="Times New Roman"/>
                <w:color w:val="000000"/>
                <w:vertAlign w:val="subscript"/>
              </w:rPr>
              <w:t xml:space="preserve">P </w:t>
            </w:r>
            <w:r w:rsidR="009021A8">
              <w:rPr>
                <w:rFonts w:cs="Times New Roman"/>
                <w:color w:val="000000"/>
                <w:vertAlign w:val="subscript"/>
              </w:rPr>
              <w:t xml:space="preserve">&lt; </w:t>
            </w:r>
            <w:r w:rsidRPr="005B4275">
              <w:rPr>
                <w:rFonts w:cs="Times New Roman"/>
                <w:color w:val="000000"/>
                <w:vertAlign w:val="subscript"/>
              </w:rPr>
              <w:t>0.01, ***</w:t>
            </w:r>
            <w:r w:rsidR="00B7572A">
              <w:rPr>
                <w:rFonts w:cs="Times New Roman"/>
                <w:color w:val="000000"/>
                <w:vertAlign w:val="subscript"/>
              </w:rPr>
              <w:t xml:space="preserve">P </w:t>
            </w:r>
            <w:r w:rsidR="009021A8">
              <w:rPr>
                <w:rFonts w:cs="Times New Roman"/>
                <w:color w:val="000000"/>
                <w:vertAlign w:val="subscript"/>
              </w:rPr>
              <w:t xml:space="preserve">&lt; </w:t>
            </w:r>
            <w:r w:rsidRPr="005B4275">
              <w:rPr>
                <w:rFonts w:cs="Times New Roman"/>
                <w:color w:val="000000"/>
                <w:vertAlign w:val="subscript"/>
              </w:rPr>
              <w:t>0.001 respectively</w:t>
            </w:r>
          </w:p>
        </w:tc>
      </w:tr>
    </w:tbl>
    <w:p w14:paraId="079B16C5" w14:textId="77777777" w:rsidR="003D2B24" w:rsidRDefault="00043399" w:rsidP="00043399">
      <w:pPr>
        <w:pStyle w:val="Caption"/>
        <w:sectPr w:rsidR="003D2B24" w:rsidSect="00794998">
          <w:pgSz w:w="12240" w:h="15840"/>
          <w:pgMar w:top="1440" w:right="1440" w:bottom="1440" w:left="1440" w:header="720" w:footer="720" w:gutter="0"/>
          <w:cols w:space="720"/>
          <w:docGrid w:linePitch="360"/>
        </w:sectPr>
      </w:pPr>
      <w:r>
        <w:br w:type="page"/>
      </w:r>
    </w:p>
    <w:p w14:paraId="462BCE81" w14:textId="77777777" w:rsidR="00E7669F" w:rsidRDefault="00E7669F" w:rsidP="00E7669F"/>
    <w:p w14:paraId="199DFE30" w14:textId="77777777" w:rsidR="00E7669F" w:rsidRDefault="00E7669F" w:rsidP="00E7669F"/>
    <w:p w14:paraId="5D2D2A50" w14:textId="77777777" w:rsidR="00E7669F" w:rsidRDefault="00E7669F" w:rsidP="00E7669F"/>
    <w:p w14:paraId="28BD25B7" w14:textId="77777777" w:rsidR="00E7669F" w:rsidRDefault="00E7669F" w:rsidP="00E7669F"/>
    <w:p w14:paraId="63C549E2" w14:textId="446D9404" w:rsidR="00E7669F" w:rsidRDefault="00043399" w:rsidP="00EC28CD">
      <w:pPr>
        <w:pStyle w:val="Heading4"/>
      </w:pPr>
      <w:bookmarkStart w:id="108" w:name="_Toc404070393"/>
      <w:r w:rsidRPr="00EC28CD">
        <w:t>Figure 3-</w:t>
      </w:r>
      <w:r w:rsidR="005B4275" w:rsidRPr="00EC28CD">
        <w:t>2</w:t>
      </w:r>
      <w:r w:rsidRPr="00EC28CD">
        <w:t>. Specific combining ability (SCA</w:t>
      </w:r>
      <w:r w:rsidR="00535312">
        <w:t>) values for biomass yield (A-D</w:t>
      </w:r>
      <w:r w:rsidRPr="00EC28CD">
        <w:t>) a</w:t>
      </w:r>
      <w:r w:rsidR="00535312">
        <w:t>nd predicted ethanol yield (E-H</w:t>
      </w:r>
      <w:r w:rsidRPr="00EC28CD">
        <w:t>) for space planted (HSP) and sward planted (HSW)</w:t>
      </w:r>
      <w:r w:rsidR="0015289A">
        <w:t xml:space="preserve"> F1 populations</w:t>
      </w:r>
      <w:r w:rsidRPr="00EC28CD">
        <w:t xml:space="preserve"> in 2012 and 2013. Each cross is listed on the y axis of the graph. A cross is the first occurrence of a parental combination. The SCA value for that cross is represented by a grey diamond. The reciprocal of that cross is represented by a black circle. The line connecting these two values shows the mean maternal effect, i.e. the mean difference in trait value between the cross and its reciprocal. Significant maternal effects are indicated by an asterisk to the left of the cross on the y axis</w:t>
      </w:r>
      <w:r w:rsidR="00954DB7">
        <w:t xml:space="preserve">. </w:t>
      </w:r>
      <w:r w:rsidRPr="00EC28CD">
        <w:t xml:space="preserve">Significant SCA values are indicated by an asterisk to right or left of the SCA data point (* </w:t>
      </w:r>
      <w:r w:rsidR="00B7572A" w:rsidRPr="00EC28CD">
        <w:t xml:space="preserve">P </w:t>
      </w:r>
      <w:r w:rsidR="009021A8" w:rsidRPr="00EC28CD">
        <w:t xml:space="preserve">&lt; </w:t>
      </w:r>
      <w:r w:rsidRPr="00EC28CD">
        <w:t>0.05, **</w:t>
      </w:r>
      <w:r w:rsidR="00B7572A" w:rsidRPr="00EC28CD">
        <w:t xml:space="preserve">P </w:t>
      </w:r>
      <w:r w:rsidR="009021A8" w:rsidRPr="00EC28CD">
        <w:t xml:space="preserve">&lt; </w:t>
      </w:r>
      <w:r w:rsidRPr="00EC28CD">
        <w:t>0.01, ***</w:t>
      </w:r>
      <w:r w:rsidR="00B7572A" w:rsidRPr="00EC28CD">
        <w:t xml:space="preserve">P </w:t>
      </w:r>
      <w:r w:rsidR="009021A8" w:rsidRPr="00EC28CD">
        <w:t xml:space="preserve">&lt; </w:t>
      </w:r>
      <w:r w:rsidRPr="00EC28CD">
        <w:t>0.001 respectively).</w:t>
      </w:r>
      <w:bookmarkEnd w:id="108"/>
    </w:p>
    <w:p w14:paraId="444B46F8" w14:textId="77777777" w:rsidR="00E7669F" w:rsidRDefault="00E7669F">
      <w:pPr>
        <w:spacing w:line="240" w:lineRule="auto"/>
        <w:rPr>
          <w:rFonts w:eastAsiaTheme="majorEastAsia" w:cstheme="majorBidi"/>
          <w:b/>
          <w:bCs/>
          <w:iCs/>
        </w:rPr>
      </w:pPr>
      <w:r>
        <w:br w:type="page"/>
      </w:r>
    </w:p>
    <w:p w14:paraId="2BBC2806" w14:textId="23DE7416" w:rsidR="00043399" w:rsidRDefault="00BC6B72" w:rsidP="003D2B24">
      <w:pPr>
        <w:jc w:val="center"/>
        <w:rPr>
          <w:noProof/>
        </w:rPr>
      </w:pPr>
      <w:r>
        <w:rPr>
          <w:noProof/>
        </w:rPr>
        <w:lastRenderedPageBreak/>
        <w:drawing>
          <wp:inline distT="0" distB="0" distL="0" distR="0" wp14:anchorId="61376833" wp14:editId="73C828A2">
            <wp:extent cx="4114800" cy="3633497"/>
            <wp:effectExtent l="0" t="0" r="0" b="5080"/>
            <wp:docPr id="2003" name="Picture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114800" cy="3633497"/>
                    </a:xfrm>
                    <a:prstGeom prst="rect">
                      <a:avLst/>
                    </a:prstGeom>
                  </pic:spPr>
                </pic:pic>
              </a:graphicData>
            </a:graphic>
          </wp:inline>
        </w:drawing>
      </w:r>
      <w:r>
        <w:rPr>
          <w:noProof/>
        </w:rPr>
        <w:drawing>
          <wp:inline distT="0" distB="0" distL="0" distR="0" wp14:anchorId="2818420A" wp14:editId="0DA5CA38">
            <wp:extent cx="4114800" cy="3741345"/>
            <wp:effectExtent l="0" t="0" r="0" b="0"/>
            <wp:docPr id="2004" name="Picture 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114800" cy="3741345"/>
                    </a:xfrm>
                    <a:prstGeom prst="rect">
                      <a:avLst/>
                    </a:prstGeom>
                  </pic:spPr>
                </pic:pic>
              </a:graphicData>
            </a:graphic>
          </wp:inline>
        </w:drawing>
      </w:r>
    </w:p>
    <w:p w14:paraId="6C583762" w14:textId="49C1B5F1" w:rsidR="003D2B24" w:rsidRDefault="003D2B24" w:rsidP="003D2B24">
      <w:pPr>
        <w:spacing w:line="240" w:lineRule="auto"/>
        <w:jc w:val="center"/>
      </w:pPr>
      <w:r>
        <w:t>Figure 3-2 A</w:t>
      </w:r>
      <w:r w:rsidR="00954DB7">
        <w:t xml:space="preserve">. </w:t>
      </w:r>
      <w:r>
        <w:t xml:space="preserve">                                                                          Figure 3-2 B.</w:t>
      </w:r>
    </w:p>
    <w:p w14:paraId="0F519634" w14:textId="77777777" w:rsidR="003D2B24" w:rsidRDefault="003D2B24" w:rsidP="001A3093"/>
    <w:p w14:paraId="47FBF612" w14:textId="77777777" w:rsidR="00043399" w:rsidRDefault="00043399" w:rsidP="00043399">
      <w:r>
        <w:br w:type="page"/>
      </w:r>
    </w:p>
    <w:p w14:paraId="281BFEAF" w14:textId="04D677F2" w:rsidR="00043399" w:rsidRDefault="00BC6B72" w:rsidP="003D2B24">
      <w:pPr>
        <w:jc w:val="center"/>
      </w:pPr>
      <w:r>
        <w:rPr>
          <w:noProof/>
        </w:rPr>
        <w:lastRenderedPageBreak/>
        <w:drawing>
          <wp:inline distT="0" distB="0" distL="0" distR="0" wp14:anchorId="74EA53DC" wp14:editId="5CA00738">
            <wp:extent cx="4114800" cy="3729671"/>
            <wp:effectExtent l="0" t="0" r="0" b="4445"/>
            <wp:docPr id="2002" name="Picture 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114800" cy="3729671"/>
                    </a:xfrm>
                    <a:prstGeom prst="rect">
                      <a:avLst/>
                    </a:prstGeom>
                  </pic:spPr>
                </pic:pic>
              </a:graphicData>
            </a:graphic>
          </wp:inline>
        </w:drawing>
      </w:r>
      <w:r>
        <w:rPr>
          <w:noProof/>
        </w:rPr>
        <w:drawing>
          <wp:inline distT="0" distB="0" distL="0" distR="0" wp14:anchorId="32C42D72" wp14:editId="2BD027FC">
            <wp:extent cx="4114800" cy="3703320"/>
            <wp:effectExtent l="0" t="0" r="0" b="0"/>
            <wp:docPr id="2005" name="Picture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114800" cy="3703320"/>
                    </a:xfrm>
                    <a:prstGeom prst="rect">
                      <a:avLst/>
                    </a:prstGeom>
                  </pic:spPr>
                </pic:pic>
              </a:graphicData>
            </a:graphic>
          </wp:inline>
        </w:drawing>
      </w:r>
    </w:p>
    <w:p w14:paraId="550659DD" w14:textId="37674494" w:rsidR="003D2B24" w:rsidRPr="00F058BD" w:rsidRDefault="003D2B24" w:rsidP="003D2B24">
      <w:pPr>
        <w:jc w:val="center"/>
      </w:pPr>
      <w:r>
        <w:t>Figure 3-2 C</w:t>
      </w:r>
      <w:r w:rsidR="00954DB7">
        <w:t xml:space="preserve">. </w:t>
      </w:r>
      <w:r>
        <w:t xml:space="preserve">                                                                          Figure 3-2 D.</w:t>
      </w:r>
    </w:p>
    <w:p w14:paraId="6FB24867" w14:textId="77777777" w:rsidR="00043399" w:rsidRDefault="00043399" w:rsidP="00043399">
      <w:pPr>
        <w:pStyle w:val="Caption"/>
      </w:pPr>
    </w:p>
    <w:p w14:paraId="25907E72" w14:textId="77777777" w:rsidR="00043399" w:rsidRDefault="00043399" w:rsidP="00043399"/>
    <w:p w14:paraId="1284E053" w14:textId="77777777" w:rsidR="00043399" w:rsidRDefault="00043399" w:rsidP="00043399">
      <w:pPr>
        <w:pStyle w:val="Caption"/>
        <w:rPr>
          <w:b w:val="0"/>
        </w:rPr>
      </w:pPr>
    </w:p>
    <w:p w14:paraId="0E9E8F78" w14:textId="77777777" w:rsidR="00043399" w:rsidRDefault="00043399" w:rsidP="00043399">
      <w:pPr>
        <w:pStyle w:val="Caption"/>
        <w:sectPr w:rsidR="00043399" w:rsidSect="003D2B24">
          <w:pgSz w:w="15840" w:h="12240" w:orient="landscape"/>
          <w:pgMar w:top="1440" w:right="1440" w:bottom="1440" w:left="1440" w:header="720" w:footer="720" w:gutter="0"/>
          <w:cols w:space="720"/>
          <w:docGrid w:linePitch="360"/>
        </w:sectPr>
      </w:pPr>
    </w:p>
    <w:p w14:paraId="73F2B4B9" w14:textId="1B063C38" w:rsidR="00043399" w:rsidRDefault="00D354BA" w:rsidP="003D2B24">
      <w:pPr>
        <w:jc w:val="center"/>
      </w:pPr>
      <w:r>
        <w:rPr>
          <w:noProof/>
        </w:rPr>
        <w:lastRenderedPageBreak/>
        <w:drawing>
          <wp:inline distT="0" distB="0" distL="0" distR="0" wp14:anchorId="30E32F42" wp14:editId="08EA5193">
            <wp:extent cx="4114800" cy="3616218"/>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114800" cy="3616218"/>
                    </a:xfrm>
                    <a:prstGeom prst="rect">
                      <a:avLst/>
                    </a:prstGeom>
                  </pic:spPr>
                </pic:pic>
              </a:graphicData>
            </a:graphic>
          </wp:inline>
        </w:drawing>
      </w:r>
      <w:r w:rsidRPr="00D354BA">
        <w:rPr>
          <w:noProof/>
        </w:rPr>
        <w:t xml:space="preserve"> </w:t>
      </w:r>
      <w:r>
        <w:rPr>
          <w:noProof/>
        </w:rPr>
        <w:t>3</w:t>
      </w:r>
      <w:r>
        <w:rPr>
          <w:noProof/>
        </w:rPr>
        <w:drawing>
          <wp:inline distT="0" distB="0" distL="0" distR="0" wp14:anchorId="68D8F0A5" wp14:editId="273B5317">
            <wp:extent cx="3931920" cy="3573386"/>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931920" cy="3573386"/>
                    </a:xfrm>
                    <a:prstGeom prst="rect">
                      <a:avLst/>
                    </a:prstGeom>
                  </pic:spPr>
                </pic:pic>
              </a:graphicData>
            </a:graphic>
          </wp:inline>
        </w:drawing>
      </w:r>
    </w:p>
    <w:p w14:paraId="410C1E02" w14:textId="221367C9" w:rsidR="003D2B24" w:rsidRDefault="003D2B24" w:rsidP="003D2B24">
      <w:pPr>
        <w:jc w:val="center"/>
      </w:pPr>
      <w:r>
        <w:t>Figure 3-2 E</w:t>
      </w:r>
      <w:r w:rsidR="00954DB7">
        <w:t xml:space="preserve">. </w:t>
      </w:r>
      <w:r>
        <w:t xml:space="preserve">                                                                          Figure 3-2 F.</w:t>
      </w:r>
    </w:p>
    <w:p w14:paraId="08E815DC" w14:textId="5F058E2A" w:rsidR="00043399" w:rsidRDefault="00D354BA" w:rsidP="003D2B24">
      <w:pPr>
        <w:jc w:val="center"/>
      </w:pPr>
      <w:r>
        <w:rPr>
          <w:noProof/>
        </w:rPr>
        <w:lastRenderedPageBreak/>
        <w:drawing>
          <wp:inline distT="0" distB="0" distL="0" distR="0" wp14:anchorId="29A2D486" wp14:editId="66BFE807">
            <wp:extent cx="3929449" cy="3618865"/>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r="4492"/>
                    <a:stretch/>
                  </pic:blipFill>
                  <pic:spPr bwMode="auto">
                    <a:xfrm>
                      <a:off x="0" y="0"/>
                      <a:ext cx="3929956" cy="3619332"/>
                    </a:xfrm>
                    <a:prstGeom prst="rect">
                      <a:avLst/>
                    </a:prstGeom>
                    <a:ln>
                      <a:noFill/>
                    </a:ln>
                    <a:extLst>
                      <a:ext uri="{53640926-AAD7-44D8-BBD7-CCE9431645EC}">
                        <a14:shadowObscured xmlns:a14="http://schemas.microsoft.com/office/drawing/2010/main"/>
                      </a:ext>
                    </a:extLst>
                  </pic:spPr>
                </pic:pic>
              </a:graphicData>
            </a:graphic>
          </wp:inline>
        </w:drawing>
      </w:r>
      <w:r w:rsidRPr="00D354BA">
        <w:rPr>
          <w:noProof/>
        </w:rPr>
        <w:t xml:space="preserve"> </w:t>
      </w:r>
      <w:r>
        <w:rPr>
          <w:noProof/>
        </w:rPr>
        <w:drawing>
          <wp:inline distT="0" distB="0" distL="0" distR="0" wp14:anchorId="21966018" wp14:editId="65F25D06">
            <wp:extent cx="4114800" cy="3631417"/>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114800" cy="3631417"/>
                    </a:xfrm>
                    <a:prstGeom prst="rect">
                      <a:avLst/>
                    </a:prstGeom>
                  </pic:spPr>
                </pic:pic>
              </a:graphicData>
            </a:graphic>
          </wp:inline>
        </w:drawing>
      </w:r>
    </w:p>
    <w:p w14:paraId="4A9B5850" w14:textId="45B5F98E" w:rsidR="003D2B24" w:rsidRDefault="003D2B24" w:rsidP="003D2B24">
      <w:pPr>
        <w:jc w:val="center"/>
        <w:sectPr w:rsidR="003D2B24" w:rsidSect="003D2B24">
          <w:pgSz w:w="15840" w:h="12240" w:orient="landscape"/>
          <w:pgMar w:top="1440" w:right="1440" w:bottom="1440" w:left="1440" w:header="720" w:footer="720" w:gutter="0"/>
          <w:cols w:space="720"/>
          <w:docGrid w:linePitch="360"/>
        </w:sectPr>
      </w:pPr>
      <w:r>
        <w:t>Figure 3-2 G</w:t>
      </w:r>
      <w:r w:rsidR="00954DB7">
        <w:t xml:space="preserve">. </w:t>
      </w:r>
      <w:r>
        <w:t xml:space="preserve">                                                                          Figure 3-2 H.</w:t>
      </w:r>
    </w:p>
    <w:p w14:paraId="056B40F6" w14:textId="77777777" w:rsidR="00E7669F" w:rsidRDefault="00E7669F" w:rsidP="00E7669F"/>
    <w:p w14:paraId="7EA7D6FC" w14:textId="77777777" w:rsidR="00E7669F" w:rsidRDefault="00E7669F" w:rsidP="00E7669F"/>
    <w:p w14:paraId="07EF758A" w14:textId="77777777" w:rsidR="00E7669F" w:rsidRDefault="00E7669F" w:rsidP="00E7669F"/>
    <w:p w14:paraId="087CE981" w14:textId="77777777" w:rsidR="00E7669F" w:rsidRDefault="00E7669F" w:rsidP="00E7669F"/>
    <w:p w14:paraId="4497C22A" w14:textId="0D88763F" w:rsidR="00E7669F" w:rsidRDefault="003D2B24" w:rsidP="00EC28CD">
      <w:pPr>
        <w:pStyle w:val="Heading4"/>
      </w:pPr>
      <w:bookmarkStart w:id="109" w:name="_Toc404070394"/>
      <w:r>
        <w:t>Figure 3-3</w:t>
      </w:r>
      <w:r w:rsidR="00954DB7">
        <w:t xml:space="preserve">. </w:t>
      </w:r>
      <w:r>
        <w:t xml:space="preserve">Box plots by year of F1 populations exhibiting high parent heterosis for </w:t>
      </w:r>
      <w:r w:rsidR="001D56BF">
        <w:t>biomass yield (A-D) and predicted ethanol yield (E-H) for space planted (HSP) and sward planted (HSW) nurseries in 2012 and 2013</w:t>
      </w:r>
      <w:r w:rsidR="00954DB7">
        <w:t xml:space="preserve">. </w:t>
      </w:r>
      <w:r w:rsidRPr="00872F01">
        <w:t xml:space="preserve">Whiskers indicate data within 1.5 times the inter-quartile range of the box edge. Mild outliers (data points within 1.5 and 3 times the inter-quartile range of the box edge) are indicated by a </w:t>
      </w:r>
      <w:r>
        <w:t xml:space="preserve">grey </w:t>
      </w:r>
      <w:r w:rsidRPr="00872F01">
        <w:t xml:space="preserve">circle and severe outliers (data points greater than 3 times the inter-quartile range of the box edge) are indicated by a </w:t>
      </w:r>
      <w:r>
        <w:t xml:space="preserve">black </w:t>
      </w:r>
      <w:r w:rsidRPr="00872F01">
        <w:t>diamond.</w:t>
      </w:r>
      <w:r>
        <w:t xml:space="preserve"> Populations not exhibiting high parent heterosis in either evaluation year are excluded from each figure. Populations exhibiting high parent heterosis only in one year are indicated as “NS” in the opposing year.</w:t>
      </w:r>
      <w:r w:rsidR="00A40F5B">
        <w:t xml:space="preserve"> Ethanol yield for the space planted nursery is excluded since no significant high parent heterosis was observed in either year</w:t>
      </w:r>
      <w:r w:rsidR="00954DB7">
        <w:t>.</w:t>
      </w:r>
      <w:bookmarkEnd w:id="109"/>
      <w:r w:rsidR="00954DB7">
        <w:t xml:space="preserve"> </w:t>
      </w:r>
      <w:r>
        <w:t xml:space="preserve"> </w:t>
      </w:r>
      <w:r w:rsidRPr="00872F01">
        <w:t xml:space="preserve">  </w:t>
      </w:r>
    </w:p>
    <w:p w14:paraId="1D8A7063" w14:textId="77777777" w:rsidR="00E7669F" w:rsidRDefault="00E7669F">
      <w:pPr>
        <w:spacing w:line="240" w:lineRule="auto"/>
        <w:rPr>
          <w:rFonts w:eastAsiaTheme="majorEastAsia" w:cstheme="majorBidi"/>
          <w:b/>
          <w:bCs/>
          <w:iCs/>
        </w:rPr>
      </w:pPr>
      <w:r>
        <w:br w:type="page"/>
      </w:r>
    </w:p>
    <w:p w14:paraId="6B5D39D4" w14:textId="13CB7989" w:rsidR="00043399" w:rsidRDefault="00432385" w:rsidP="00A40F5B">
      <w:pPr>
        <w:spacing w:line="240" w:lineRule="auto"/>
        <w:jc w:val="center"/>
      </w:pPr>
      <w:r>
        <w:rPr>
          <w:noProof/>
        </w:rPr>
        <w:lastRenderedPageBreak/>
        <w:drawing>
          <wp:inline distT="0" distB="0" distL="0" distR="0" wp14:anchorId="00023D10" wp14:editId="026D8F2E">
            <wp:extent cx="4114800" cy="3883794"/>
            <wp:effectExtent l="0" t="0" r="0" b="254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114800" cy="3883794"/>
                    </a:xfrm>
                    <a:prstGeom prst="rect">
                      <a:avLst/>
                    </a:prstGeom>
                  </pic:spPr>
                </pic:pic>
              </a:graphicData>
            </a:graphic>
          </wp:inline>
        </w:drawing>
      </w:r>
      <w:r w:rsidR="0071196D">
        <w:rPr>
          <w:noProof/>
        </w:rPr>
        <w:drawing>
          <wp:inline distT="0" distB="0" distL="0" distR="0" wp14:anchorId="7FF61CDB" wp14:editId="79B88EE2">
            <wp:extent cx="4023360" cy="375746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stretch>
                      <a:fillRect/>
                    </a:stretch>
                  </pic:blipFill>
                  <pic:spPr>
                    <a:xfrm>
                      <a:off x="0" y="0"/>
                      <a:ext cx="4023360" cy="3757468"/>
                    </a:xfrm>
                    <a:prstGeom prst="rect">
                      <a:avLst/>
                    </a:prstGeom>
                  </pic:spPr>
                </pic:pic>
              </a:graphicData>
            </a:graphic>
          </wp:inline>
        </w:drawing>
      </w:r>
    </w:p>
    <w:p w14:paraId="72807BA4" w14:textId="77777777" w:rsidR="00A40F5B" w:rsidRDefault="00A40F5B" w:rsidP="00A40F5B">
      <w:pPr>
        <w:spacing w:line="240" w:lineRule="auto"/>
        <w:jc w:val="center"/>
      </w:pPr>
    </w:p>
    <w:p w14:paraId="461425B5" w14:textId="2816350D" w:rsidR="00A40F5B" w:rsidRDefault="00A40F5B" w:rsidP="00A40F5B">
      <w:pPr>
        <w:jc w:val="center"/>
        <w:sectPr w:rsidR="00A40F5B" w:rsidSect="003D2B24">
          <w:pgSz w:w="15840" w:h="12240" w:orient="landscape"/>
          <w:pgMar w:top="1440" w:right="1440" w:bottom="1440" w:left="1440" w:header="720" w:footer="720" w:gutter="0"/>
          <w:cols w:space="720"/>
          <w:docGrid w:linePitch="360"/>
        </w:sectPr>
      </w:pPr>
      <w:r>
        <w:t>Figure 3-3 A</w:t>
      </w:r>
      <w:r w:rsidR="00954DB7">
        <w:t xml:space="preserve">. </w:t>
      </w:r>
      <w:r>
        <w:t xml:space="preserve">                                                                                 Figure 3-3 B.</w:t>
      </w:r>
    </w:p>
    <w:p w14:paraId="0DF77696" w14:textId="712281DF" w:rsidR="00A40F5B" w:rsidRPr="00A40F5B" w:rsidRDefault="0071196D" w:rsidP="00043399">
      <w:pPr>
        <w:spacing w:line="240" w:lineRule="auto"/>
        <w:rPr>
          <w:b/>
        </w:rPr>
      </w:pPr>
      <w:r>
        <w:rPr>
          <w:noProof/>
        </w:rPr>
        <w:lastRenderedPageBreak/>
        <w:drawing>
          <wp:inline distT="0" distB="0" distL="0" distR="0" wp14:anchorId="53DD2D77" wp14:editId="32B6AE46">
            <wp:extent cx="4114800" cy="3898989"/>
            <wp:effectExtent l="0" t="0" r="0" b="63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114800" cy="3898989"/>
                    </a:xfrm>
                    <a:prstGeom prst="rect">
                      <a:avLst/>
                    </a:prstGeom>
                  </pic:spPr>
                </pic:pic>
              </a:graphicData>
            </a:graphic>
          </wp:inline>
        </w:drawing>
      </w:r>
      <w:r>
        <w:rPr>
          <w:noProof/>
        </w:rPr>
        <w:drawing>
          <wp:inline distT="0" distB="0" distL="0" distR="0" wp14:anchorId="7F490A1B" wp14:editId="527AC1D7">
            <wp:extent cx="4114800" cy="3904713"/>
            <wp:effectExtent l="0" t="0" r="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114800" cy="3904713"/>
                    </a:xfrm>
                    <a:prstGeom prst="rect">
                      <a:avLst/>
                    </a:prstGeom>
                  </pic:spPr>
                </pic:pic>
              </a:graphicData>
            </a:graphic>
          </wp:inline>
        </w:drawing>
      </w:r>
    </w:p>
    <w:p w14:paraId="698D0632" w14:textId="77777777" w:rsidR="00A40F5B" w:rsidRDefault="00A40F5B" w:rsidP="00043399">
      <w:pPr>
        <w:spacing w:line="240" w:lineRule="auto"/>
      </w:pPr>
    </w:p>
    <w:p w14:paraId="6233A4B9" w14:textId="0616FBA4" w:rsidR="00A40F5B" w:rsidRDefault="00A40F5B" w:rsidP="00A40F5B">
      <w:pPr>
        <w:jc w:val="center"/>
        <w:sectPr w:rsidR="00A40F5B" w:rsidSect="003D2B24">
          <w:pgSz w:w="15840" w:h="12240" w:orient="landscape"/>
          <w:pgMar w:top="1440" w:right="1440" w:bottom="1440" w:left="1440" w:header="720" w:footer="720" w:gutter="0"/>
          <w:cols w:space="720"/>
          <w:docGrid w:linePitch="360"/>
        </w:sectPr>
      </w:pPr>
      <w:r>
        <w:t>Figure 3-3 C</w:t>
      </w:r>
      <w:r w:rsidR="00954DB7">
        <w:t xml:space="preserve">. </w:t>
      </w:r>
      <w:r>
        <w:t xml:space="preserve">                                                                                 Figure 3-3 D.</w:t>
      </w:r>
    </w:p>
    <w:p w14:paraId="72433102" w14:textId="77777777" w:rsidR="00A40F5B" w:rsidRDefault="00A40F5B" w:rsidP="00043399">
      <w:pPr>
        <w:spacing w:line="240" w:lineRule="auto"/>
      </w:pPr>
      <w:r w:rsidRPr="00A40F5B">
        <w:rPr>
          <w:b/>
          <w:noProof/>
        </w:rPr>
        <w:lastRenderedPageBreak/>
        <w:drawing>
          <wp:inline distT="0" distB="0" distL="0" distR="0" wp14:anchorId="6AFF2C92" wp14:editId="5A5DC03E">
            <wp:extent cx="4023360" cy="3845335"/>
            <wp:effectExtent l="0" t="0" r="0" b="3175"/>
            <wp:docPr id="2020" name="Picture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print"/>
                    <a:stretch>
                      <a:fillRect/>
                    </a:stretch>
                  </pic:blipFill>
                  <pic:spPr>
                    <a:xfrm>
                      <a:off x="0" y="0"/>
                      <a:ext cx="4023360" cy="3845335"/>
                    </a:xfrm>
                    <a:prstGeom prst="rect">
                      <a:avLst/>
                    </a:prstGeom>
                  </pic:spPr>
                </pic:pic>
              </a:graphicData>
            </a:graphic>
          </wp:inline>
        </w:drawing>
      </w:r>
      <w:r>
        <w:rPr>
          <w:noProof/>
        </w:rPr>
        <w:drawing>
          <wp:inline distT="0" distB="0" distL="0" distR="0" wp14:anchorId="59A4F73E" wp14:editId="28ADF4DE">
            <wp:extent cx="4023360" cy="3731510"/>
            <wp:effectExtent l="0" t="0" r="0" b="2540"/>
            <wp:docPr id="2021" name="Picture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print"/>
                    <a:stretch>
                      <a:fillRect/>
                    </a:stretch>
                  </pic:blipFill>
                  <pic:spPr>
                    <a:xfrm>
                      <a:off x="0" y="0"/>
                      <a:ext cx="4023360" cy="3731510"/>
                    </a:xfrm>
                    <a:prstGeom prst="rect">
                      <a:avLst/>
                    </a:prstGeom>
                  </pic:spPr>
                </pic:pic>
              </a:graphicData>
            </a:graphic>
          </wp:inline>
        </w:drawing>
      </w:r>
    </w:p>
    <w:p w14:paraId="16BC17D5" w14:textId="77777777" w:rsidR="00A40F5B" w:rsidRDefault="00A40F5B" w:rsidP="00043399">
      <w:pPr>
        <w:spacing w:line="240" w:lineRule="auto"/>
      </w:pPr>
    </w:p>
    <w:p w14:paraId="48EB14D4" w14:textId="069FF031" w:rsidR="00A40F5B" w:rsidRDefault="00A40F5B" w:rsidP="00A40F5B">
      <w:pPr>
        <w:jc w:val="center"/>
        <w:sectPr w:rsidR="00A40F5B" w:rsidSect="003D2B24">
          <w:pgSz w:w="15840" w:h="12240" w:orient="landscape"/>
          <w:pgMar w:top="1440" w:right="1440" w:bottom="1440" w:left="1440" w:header="720" w:footer="720" w:gutter="0"/>
          <w:cols w:space="720"/>
          <w:docGrid w:linePitch="360"/>
        </w:sectPr>
      </w:pPr>
      <w:r>
        <w:t>Figure 3-3 E</w:t>
      </w:r>
      <w:r w:rsidR="00954DB7">
        <w:t xml:space="preserve">. </w:t>
      </w:r>
      <w:r>
        <w:t xml:space="preserve">                                                                                 Figure 3-3 F.</w:t>
      </w:r>
    </w:p>
    <w:p w14:paraId="7D8AE9AB" w14:textId="77777777" w:rsidR="00440514" w:rsidRDefault="00440514">
      <w:pPr>
        <w:spacing w:line="240" w:lineRule="auto"/>
      </w:pPr>
    </w:p>
    <w:p w14:paraId="55335176" w14:textId="77777777" w:rsidR="00440514" w:rsidRPr="00EB143C" w:rsidRDefault="00440514" w:rsidP="00043399">
      <w:pPr>
        <w:spacing w:line="240" w:lineRule="auto"/>
      </w:pPr>
    </w:p>
    <w:p w14:paraId="2CC8FDF3" w14:textId="77777777" w:rsidR="00043399" w:rsidRPr="00323595" w:rsidRDefault="00043399" w:rsidP="00043399">
      <w:pPr>
        <w:jc w:val="center"/>
      </w:pPr>
      <w:r>
        <w:rPr>
          <w:noProof/>
        </w:rPr>
        <w:drawing>
          <wp:inline distT="0" distB="0" distL="0" distR="0" wp14:anchorId="3497BF57" wp14:editId="42933F34">
            <wp:extent cx="4572000" cy="329565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35C32433" w14:textId="7A4BAA90" w:rsidR="00043399" w:rsidRDefault="000A3CBE" w:rsidP="00EC28CD">
      <w:pPr>
        <w:pStyle w:val="Heading4"/>
      </w:pPr>
      <w:bookmarkStart w:id="110" w:name="_Toc404070395"/>
      <w:r>
        <w:t>Figure 3-4</w:t>
      </w:r>
      <w:r w:rsidR="00043399" w:rsidRPr="00BB185F">
        <w:t>:</w:t>
      </w:r>
      <w:r w:rsidR="00D60298">
        <w:t xml:space="preserve"> The top 3</w:t>
      </w:r>
      <w:r w:rsidR="00043399">
        <w:t>0% of progeny were selected within each nursery (space plante</w:t>
      </w:r>
      <w:r w:rsidR="00535312">
        <w:t>d (HSP) and sward planted (HSW))</w:t>
      </w:r>
      <w:r w:rsidR="00043399">
        <w:t xml:space="preserve"> and within each year (2012, 2013). Selections were then matched to the value from evaluation at maturity under sward planted conditions in 2013. The graphs below compare the mean of each set of selections at maturity for biomass yield (g plant</w:t>
      </w:r>
      <w:r w:rsidR="00043399">
        <w:softHyphen/>
      </w:r>
      <w:r w:rsidR="00043399">
        <w:rPr>
          <w:vertAlign w:val="superscript"/>
        </w:rPr>
        <w:t>-1</w:t>
      </w:r>
      <w:r w:rsidR="00043399">
        <w:t>) (dark grey bars) and predicted ethanol yield (mg g</w:t>
      </w:r>
      <w:r w:rsidR="00043399">
        <w:softHyphen/>
      </w:r>
      <w:r w:rsidR="00043399">
        <w:rPr>
          <w:vertAlign w:val="superscript"/>
        </w:rPr>
        <w:t>-1</w:t>
      </w:r>
      <w:r w:rsidR="00043399">
        <w:t xml:space="preserve">) (light grey bars). Both means and standard errors for each set of selections are indicated. Means were separated using Tukey’s HSD. </w:t>
      </w:r>
      <w:r w:rsidR="007124CD">
        <w:t>Within a t</w:t>
      </w:r>
      <w:r w:rsidR="0015289A">
        <w:t>rait</w:t>
      </w:r>
      <w:r w:rsidR="007124CD">
        <w:t>, m</w:t>
      </w:r>
      <w:r w:rsidR="00043399">
        <w:t>eans</w:t>
      </w:r>
      <w:r w:rsidR="003F5FD1">
        <w:t xml:space="preserve"> </w:t>
      </w:r>
      <w:r w:rsidR="00043399">
        <w:t>followed by the same letter do not differ at an alpha level of 0.05.</w:t>
      </w:r>
      <w:bookmarkEnd w:id="110"/>
    </w:p>
    <w:p w14:paraId="1A5098F6" w14:textId="77777777" w:rsidR="00043399" w:rsidRPr="00903462" w:rsidRDefault="00043399" w:rsidP="00043399">
      <w:pPr>
        <w:spacing w:line="240" w:lineRule="auto"/>
      </w:pPr>
    </w:p>
    <w:p w14:paraId="2108E671" w14:textId="77777777" w:rsidR="004E14EB" w:rsidRDefault="004E14EB" w:rsidP="004E14EB">
      <w:pPr>
        <w:rPr>
          <w:rFonts w:eastAsiaTheme="minorHAnsi"/>
        </w:rPr>
      </w:pPr>
    </w:p>
    <w:p w14:paraId="6D7D450E" w14:textId="77777777" w:rsidR="004E14EB" w:rsidRDefault="004E14EB">
      <w:pPr>
        <w:spacing w:line="240" w:lineRule="auto"/>
        <w:rPr>
          <w:rFonts w:eastAsiaTheme="minorHAnsi"/>
        </w:rPr>
      </w:pPr>
      <w:r>
        <w:rPr>
          <w:rFonts w:eastAsiaTheme="minorHAnsi"/>
        </w:rPr>
        <w:br w:type="page"/>
      </w:r>
    </w:p>
    <w:p w14:paraId="79CF1947" w14:textId="77777777" w:rsidR="0099190A" w:rsidRDefault="0099190A" w:rsidP="004E14EB">
      <w:pPr>
        <w:pStyle w:val="Heading1"/>
      </w:pPr>
      <w:bookmarkStart w:id="111" w:name="_Toc404069865"/>
      <w:r>
        <w:lastRenderedPageBreak/>
        <w:t>CONCLUSION</w:t>
      </w:r>
      <w:bookmarkEnd w:id="111"/>
    </w:p>
    <w:p w14:paraId="1909A7EA" w14:textId="7366E7CE" w:rsidR="0099190A" w:rsidRDefault="0099190A" w:rsidP="004E14EB">
      <w:pPr>
        <w:ind w:firstLine="720"/>
      </w:pPr>
      <w:r w:rsidRPr="00BC2AA1">
        <w:t xml:space="preserve">Switchgrass is </w:t>
      </w:r>
      <w:r>
        <w:t>an</w:t>
      </w:r>
      <w:r w:rsidRPr="00BC2AA1">
        <w:t xml:space="preserve"> important </w:t>
      </w:r>
      <w:r>
        <w:t xml:space="preserve">crop, </w:t>
      </w:r>
      <w:r w:rsidRPr="00BC2AA1">
        <w:t xml:space="preserve">both as a </w:t>
      </w:r>
      <w:r>
        <w:t>forage crop and</w:t>
      </w:r>
      <w:r w:rsidRPr="00BC2AA1">
        <w:t xml:space="preserve"> as a </w:t>
      </w:r>
      <w:r>
        <w:t xml:space="preserve">potential </w:t>
      </w:r>
      <w:r w:rsidRPr="00BC2AA1">
        <w:t>biofuel crop</w:t>
      </w:r>
      <w:r w:rsidR="00954DB7">
        <w:t xml:space="preserve">. </w:t>
      </w:r>
      <w:r w:rsidRPr="00BC2AA1">
        <w:t>While progress has been made on breeding switchgrass as a forage crop, the ideal composition of traits for switchgrass used as a biofuel crop, the genetic parameters associated with those traits, and the inter-relationships between traits when evaluated at different maturity levels or under different planting conditions are still undefined.</w:t>
      </w:r>
      <w:r>
        <w:t xml:space="preserve"> The objective of this study was to provide a more thorough understanding of these areas. To do so, three studies were performed: </w:t>
      </w:r>
      <w:proofErr w:type="spellStart"/>
      <w:r>
        <w:t>i</w:t>
      </w:r>
      <w:proofErr w:type="spellEnd"/>
      <w:r>
        <w:t xml:space="preserve">.) Reduction of </w:t>
      </w:r>
      <w:r w:rsidR="0095454C">
        <w:t>predicted ethanol yield</w:t>
      </w:r>
      <w:r>
        <w:t xml:space="preserve"> from switchgrass infected with </w:t>
      </w:r>
      <w:r>
        <w:rPr>
          <w:i/>
        </w:rPr>
        <w:t>Puccinia emaculata</w:t>
      </w:r>
      <w:r>
        <w:t xml:space="preserve">, ii.) </w:t>
      </w:r>
      <w:r w:rsidRPr="00765222">
        <w:t>Diallel analysis to assess quantitative genetic of biofuel production traits in switchgrass</w:t>
      </w:r>
      <w:r>
        <w:t xml:space="preserve">, and ii.) Comparison of space and sward planted switchgrass for </w:t>
      </w:r>
      <w:r w:rsidR="006F7A2F">
        <w:t>estimates</w:t>
      </w:r>
      <w:r>
        <w:t xml:space="preserve"> of genetic parameters and ranking of biomass and </w:t>
      </w:r>
      <w:r w:rsidR="0095454C">
        <w:t>predicted ethanol yield</w:t>
      </w:r>
      <w:r>
        <w:t xml:space="preserve">. </w:t>
      </w:r>
    </w:p>
    <w:p w14:paraId="227B7DDF" w14:textId="5BEC21DB" w:rsidR="0099190A" w:rsidRPr="009846FA" w:rsidRDefault="0099190A" w:rsidP="0099190A">
      <w:pPr>
        <w:pStyle w:val="Heading3"/>
      </w:pPr>
      <w:bookmarkStart w:id="112" w:name="_Toc404069866"/>
      <w:r>
        <w:t xml:space="preserve">Reduction of </w:t>
      </w:r>
      <w:r w:rsidR="00182A8D">
        <w:t>Predicted E</w:t>
      </w:r>
      <w:r w:rsidR="0095454C">
        <w:t>than</w:t>
      </w:r>
      <w:r w:rsidR="00182A8D">
        <w:t>ol Y</w:t>
      </w:r>
      <w:r w:rsidR="0095454C">
        <w:t>ield</w:t>
      </w:r>
      <w:r w:rsidR="00182A8D">
        <w:t xml:space="preserve"> from Switchgrass Infected with P</w:t>
      </w:r>
      <w:r>
        <w:t>uccinia emaculata</w:t>
      </w:r>
      <w:bookmarkEnd w:id="112"/>
    </w:p>
    <w:p w14:paraId="7698A0E3" w14:textId="7682CB92" w:rsidR="0099190A" w:rsidRDefault="0099190A" w:rsidP="0099190A">
      <w:pPr>
        <w:ind w:firstLine="720"/>
        <w:rPr>
          <w:rFonts w:cs="Times New Roman"/>
        </w:rPr>
      </w:pPr>
      <w:r w:rsidRPr="000E7D9F">
        <w:rPr>
          <w:rFonts w:cs="Times New Roman"/>
        </w:rPr>
        <w:t xml:space="preserve">While few reports of switchgrass disease exist prior to the advent of its use as a biofuel crop, concern over potentially significant disease problems resulting from increased acreage and production in monoculture have led to further examination of switchgrass pathogen susceptibility and the impact of that susceptibility on </w:t>
      </w:r>
      <w:r>
        <w:rPr>
          <w:rFonts w:cs="Times New Roman"/>
        </w:rPr>
        <w:t xml:space="preserve">biomass </w:t>
      </w:r>
      <w:r w:rsidRPr="000E7D9F">
        <w:rPr>
          <w:rFonts w:cs="Times New Roman"/>
        </w:rPr>
        <w:t>yield</w:t>
      </w:r>
      <w:r>
        <w:rPr>
          <w:rFonts w:cs="Times New Roman"/>
        </w:rPr>
        <w:t xml:space="preserve"> and </w:t>
      </w:r>
      <w:r w:rsidR="0095454C">
        <w:rPr>
          <w:rFonts w:cs="Times New Roman"/>
        </w:rPr>
        <w:t>predicted ethanol yield</w:t>
      </w:r>
      <w:r w:rsidRPr="000E7D9F">
        <w:rPr>
          <w:rFonts w:cs="Times New Roman"/>
        </w:rPr>
        <w:t>.</w:t>
      </w:r>
      <w:r>
        <w:rPr>
          <w:rFonts w:cs="Times New Roman"/>
        </w:rPr>
        <w:t xml:space="preserve"> The </w:t>
      </w:r>
      <w:r w:rsidR="00412B11">
        <w:rPr>
          <w:rFonts w:cs="Times New Roman"/>
        </w:rPr>
        <w:t>objective of this research is</w:t>
      </w:r>
      <w:r>
        <w:rPr>
          <w:rFonts w:cs="Times New Roman"/>
        </w:rPr>
        <w:t xml:space="preserve"> to examine the impact of </w:t>
      </w:r>
      <w:r w:rsidR="009C1A48">
        <w:rPr>
          <w:rFonts w:cs="Times New Roman"/>
        </w:rPr>
        <w:t>rust severity</w:t>
      </w:r>
      <w:r>
        <w:rPr>
          <w:rFonts w:cs="Times New Roman"/>
        </w:rPr>
        <w:t xml:space="preserve"> infection on </w:t>
      </w:r>
      <w:r w:rsidR="0095454C">
        <w:rPr>
          <w:rFonts w:cs="Times New Roman"/>
        </w:rPr>
        <w:t>predicted ethanol yield</w:t>
      </w:r>
      <w:r>
        <w:rPr>
          <w:rFonts w:cs="Times New Roman"/>
        </w:rPr>
        <w:t xml:space="preserve"> in </w:t>
      </w:r>
      <w:r w:rsidRPr="00E51637">
        <w:rPr>
          <w:rFonts w:cs="Times New Roman"/>
        </w:rPr>
        <w:t xml:space="preserve">switchgrass. </w:t>
      </w:r>
    </w:p>
    <w:p w14:paraId="58610C3D" w14:textId="5FB67D82" w:rsidR="0099190A" w:rsidRPr="001D4B2F" w:rsidRDefault="0099190A" w:rsidP="0099190A">
      <w:pPr>
        <w:ind w:firstLine="720"/>
        <w:rPr>
          <w:rFonts w:cs="Times New Roman"/>
        </w:rPr>
      </w:pPr>
      <w:r>
        <w:rPr>
          <w:rFonts w:cs="Times New Roman"/>
        </w:rPr>
        <w:t>In 2010 and 2012, n</w:t>
      </w:r>
      <w:r w:rsidRPr="00E51637">
        <w:rPr>
          <w:rFonts w:cs="Times New Roman"/>
        </w:rPr>
        <w:t xml:space="preserve">aturally infected leaves from field-grown </w:t>
      </w:r>
      <w:r w:rsidR="0014339F">
        <w:rPr>
          <w:rFonts w:cs="Times New Roman"/>
        </w:rPr>
        <w:t>‘</w:t>
      </w:r>
      <w:r w:rsidRPr="00E51637">
        <w:rPr>
          <w:rFonts w:cs="Times New Roman"/>
        </w:rPr>
        <w:t>Alamo</w:t>
      </w:r>
      <w:r w:rsidR="0014339F">
        <w:rPr>
          <w:rFonts w:cs="Times New Roman"/>
        </w:rPr>
        <w:t>’</w:t>
      </w:r>
      <w:r w:rsidRPr="00E51637">
        <w:rPr>
          <w:rFonts w:cs="Times New Roman"/>
        </w:rPr>
        <w:t xml:space="preserve"> and </w:t>
      </w:r>
      <w:r w:rsidR="0014339F">
        <w:rPr>
          <w:rFonts w:cs="Times New Roman"/>
        </w:rPr>
        <w:t>‘</w:t>
      </w:r>
      <w:r w:rsidRPr="00E51637">
        <w:rPr>
          <w:rFonts w:cs="Times New Roman"/>
        </w:rPr>
        <w:t>Kanlow</w:t>
      </w:r>
      <w:r w:rsidR="0014339F">
        <w:rPr>
          <w:rFonts w:cs="Times New Roman"/>
        </w:rPr>
        <w:t>’</w:t>
      </w:r>
      <w:r w:rsidRPr="00E51637">
        <w:rPr>
          <w:rFonts w:cs="Times New Roman"/>
        </w:rPr>
        <w:t xml:space="preserve"> in Knoxville, TN</w:t>
      </w:r>
      <w:r>
        <w:rPr>
          <w:rFonts w:cs="Times New Roman"/>
        </w:rPr>
        <w:t xml:space="preserve"> (2010, 2012) and Crossville, TN (2012)</w:t>
      </w:r>
      <w:r w:rsidRPr="00E51637">
        <w:rPr>
          <w:rFonts w:cs="Times New Roman"/>
        </w:rPr>
        <w:t xml:space="preserve"> were </w:t>
      </w:r>
      <w:r>
        <w:rPr>
          <w:rFonts w:cs="Times New Roman"/>
        </w:rPr>
        <w:t>visually categorized as low, medium, or high</w:t>
      </w:r>
      <w:r w:rsidRPr="00E51637">
        <w:rPr>
          <w:rFonts w:cs="Times New Roman"/>
        </w:rPr>
        <w:t xml:space="preserve"> disease based on degree of chlorosis, necrosis, and sporulation. </w:t>
      </w:r>
      <w:r w:rsidR="009C1A48">
        <w:rPr>
          <w:rFonts w:cs="Times New Roman"/>
        </w:rPr>
        <w:t>Rust severity</w:t>
      </w:r>
      <w:r w:rsidRPr="00E51637">
        <w:rPr>
          <w:rFonts w:cs="Times New Roman"/>
        </w:rPr>
        <w:t xml:space="preserve"> was isolated from </w:t>
      </w:r>
      <w:r>
        <w:rPr>
          <w:rFonts w:cs="Times New Roman"/>
        </w:rPr>
        <w:t>each disease range</w:t>
      </w:r>
      <w:r w:rsidRPr="00E51637">
        <w:rPr>
          <w:rFonts w:cs="Times New Roman"/>
        </w:rPr>
        <w:t xml:space="preserve"> to confirm infection.</w:t>
      </w:r>
      <w:r>
        <w:rPr>
          <w:rFonts w:cs="Times New Roman"/>
        </w:rPr>
        <w:t xml:space="preserve"> Samples from 2010 were acid/heat </w:t>
      </w:r>
      <w:r>
        <w:rPr>
          <w:rFonts w:cs="Times New Roman"/>
        </w:rPr>
        <w:lastRenderedPageBreak/>
        <w:t>pretreated and</w:t>
      </w:r>
      <w:r w:rsidRPr="00E51637">
        <w:rPr>
          <w:rFonts w:cs="Times New Roman"/>
        </w:rPr>
        <w:t xml:space="preserve"> subjected to </w:t>
      </w:r>
      <w:r>
        <w:rPr>
          <w:rFonts w:cs="Times New Roman"/>
        </w:rPr>
        <w:t xml:space="preserve">two runs of </w:t>
      </w:r>
      <w:r w:rsidRPr="00E51637">
        <w:rPr>
          <w:rFonts w:cs="Times New Roman"/>
        </w:rPr>
        <w:t xml:space="preserve">simultaneous saccharification and fermentation with </w:t>
      </w:r>
      <w:r w:rsidRPr="00E51637">
        <w:rPr>
          <w:rFonts w:cs="Times New Roman"/>
          <w:i/>
          <w:iCs/>
        </w:rPr>
        <w:t>Saccharomyces</w:t>
      </w:r>
      <w:r w:rsidRPr="00E51637">
        <w:rPr>
          <w:rFonts w:cs="Times New Roman"/>
        </w:rPr>
        <w:t xml:space="preserve"> </w:t>
      </w:r>
      <w:r w:rsidRPr="00E51637">
        <w:rPr>
          <w:rFonts w:cs="Times New Roman"/>
          <w:i/>
          <w:iCs/>
        </w:rPr>
        <w:t xml:space="preserve">cerevisiae </w:t>
      </w:r>
      <w:r w:rsidRPr="00E51637">
        <w:rPr>
          <w:rFonts w:cs="Times New Roman"/>
        </w:rPr>
        <w:t>D</w:t>
      </w:r>
      <w:r w:rsidRPr="00E51637">
        <w:rPr>
          <w:rFonts w:cs="Times New Roman"/>
          <w:vertAlign w:val="subscript"/>
        </w:rPr>
        <w:t>5</w:t>
      </w:r>
      <w:r>
        <w:rPr>
          <w:rFonts w:cs="Times New Roman"/>
        </w:rPr>
        <w:t xml:space="preserve">A (SSF) to measure </w:t>
      </w:r>
      <w:r w:rsidR="0095454C">
        <w:rPr>
          <w:rFonts w:cs="Times New Roman"/>
        </w:rPr>
        <w:t>predicted ethanol yield</w:t>
      </w:r>
      <w:r>
        <w:rPr>
          <w:rFonts w:cs="Times New Roman"/>
        </w:rPr>
        <w:t>. NIRS was used to estimate ethanol yield for 2012 samples. SSF and NIRS data were analyzed separately using ANOVA in SAS 9.3.</w:t>
      </w:r>
    </w:p>
    <w:p w14:paraId="1E1F7008" w14:textId="5414FFE2" w:rsidR="0099190A" w:rsidRDefault="0099190A" w:rsidP="00D46994">
      <w:pPr>
        <w:ind w:firstLine="720"/>
        <w:rPr>
          <w:shd w:val="clear" w:color="auto" w:fill="FFFFFF"/>
        </w:rPr>
      </w:pPr>
      <w:r>
        <w:rPr>
          <w:shd w:val="clear" w:color="auto" w:fill="FFFFFF"/>
        </w:rPr>
        <w:t xml:space="preserve">A very clear trend of reduced </w:t>
      </w:r>
      <w:r w:rsidR="0095454C">
        <w:rPr>
          <w:shd w:val="clear" w:color="auto" w:fill="FFFFFF"/>
        </w:rPr>
        <w:t>predicted ethanol yield</w:t>
      </w:r>
      <w:r>
        <w:rPr>
          <w:shd w:val="clear" w:color="auto" w:fill="FFFFFF"/>
        </w:rPr>
        <w:t xml:space="preserve"> in </w:t>
      </w:r>
      <w:r w:rsidR="009C1A48">
        <w:rPr>
          <w:shd w:val="clear" w:color="auto" w:fill="FFFFFF"/>
        </w:rPr>
        <w:t>rust severity</w:t>
      </w:r>
      <w:r>
        <w:rPr>
          <w:shd w:val="clear" w:color="auto" w:fill="FFFFFF"/>
        </w:rPr>
        <w:t xml:space="preserve"> infected switchgrass was observed with reductions of 10-34% in plants with medium disease and reductions of 21-52% in plants with high disease. No other studies to date have examined the effect of pathogen infection on </w:t>
      </w:r>
      <w:r w:rsidR="0095454C">
        <w:rPr>
          <w:shd w:val="clear" w:color="auto" w:fill="FFFFFF"/>
        </w:rPr>
        <w:t>predicted ethanol yield</w:t>
      </w:r>
      <w:r>
        <w:rPr>
          <w:shd w:val="clear" w:color="auto" w:fill="FFFFFF"/>
        </w:rPr>
        <w:t xml:space="preserve"> in switchgrass; however, these results are similar to reductions in digestibility observed in forage crops infected with </w:t>
      </w:r>
      <w:r>
        <w:rPr>
          <w:i/>
          <w:shd w:val="clear" w:color="auto" w:fill="FFFFFF"/>
        </w:rPr>
        <w:t>Puccinia</w:t>
      </w:r>
      <w:r>
        <w:rPr>
          <w:shd w:val="clear" w:color="auto" w:fill="FFFFFF"/>
        </w:rPr>
        <w:t xml:space="preserve"> spp</w:t>
      </w:r>
      <w:r w:rsidR="00954DB7">
        <w:rPr>
          <w:shd w:val="clear" w:color="auto" w:fill="FFFFFF"/>
        </w:rPr>
        <w:t xml:space="preserve">. </w:t>
      </w:r>
      <w:r w:rsidRPr="00BD4B8F">
        <w:rPr>
          <w:shd w:val="clear" w:color="auto" w:fill="FFFFFF"/>
        </w:rPr>
        <w:t>While the exact</w:t>
      </w:r>
      <w:r>
        <w:rPr>
          <w:shd w:val="clear" w:color="auto" w:fill="FFFFFF"/>
        </w:rPr>
        <w:t xml:space="preserve"> mechanisms by which </w:t>
      </w:r>
      <w:r w:rsidR="009C1A48">
        <w:rPr>
          <w:shd w:val="clear" w:color="auto" w:fill="FFFFFF"/>
        </w:rPr>
        <w:t>rust severity</w:t>
      </w:r>
      <w:r>
        <w:rPr>
          <w:shd w:val="clear" w:color="auto" w:fill="FFFFFF"/>
        </w:rPr>
        <w:t xml:space="preserve"> reduces </w:t>
      </w:r>
      <w:r w:rsidR="0095454C">
        <w:rPr>
          <w:shd w:val="clear" w:color="auto" w:fill="FFFFFF"/>
        </w:rPr>
        <w:t>predicted ethanol yield</w:t>
      </w:r>
      <w:r>
        <w:rPr>
          <w:shd w:val="clear" w:color="auto" w:fill="FFFFFF"/>
        </w:rPr>
        <w:t xml:space="preserve"> are still speculative, the altered cell wall composition and cellular components within infected switchgrass suggest losses may be due to a reduction in available digestible material and/or a reduction in the digestibility of that material. Results from this study suggest that biofuel production facilities may incur a hidden loss in ethanol yield when purchasing sw</w:t>
      </w:r>
      <w:r w:rsidR="00E43057">
        <w:rPr>
          <w:shd w:val="clear" w:color="auto" w:fill="FFFFFF"/>
        </w:rPr>
        <w:t>itchgrass that exhibiting rust symptoms</w:t>
      </w:r>
      <w:r>
        <w:rPr>
          <w:shd w:val="clear" w:color="auto" w:fill="FFFFFF"/>
        </w:rPr>
        <w:t xml:space="preserve">. Further studies of biomass yield loss associated with </w:t>
      </w:r>
      <w:r w:rsidR="009C1A48">
        <w:rPr>
          <w:shd w:val="clear" w:color="auto" w:fill="FFFFFF"/>
        </w:rPr>
        <w:t>rust severity</w:t>
      </w:r>
      <w:r>
        <w:rPr>
          <w:shd w:val="clear" w:color="auto" w:fill="FFFFFF"/>
        </w:rPr>
        <w:t>, the cost and effectiveness of disease control measures, and breeding efforts to produce cultivars with reduced disease susceptibility would provide producers with more information and options for effectively managing this potentially important disease.</w:t>
      </w:r>
    </w:p>
    <w:p w14:paraId="37199DA7" w14:textId="51B4C5FB" w:rsidR="0099190A" w:rsidRDefault="00182A8D" w:rsidP="0099190A">
      <w:pPr>
        <w:pStyle w:val="Heading3"/>
      </w:pPr>
      <w:bookmarkStart w:id="113" w:name="_Toc404069867"/>
      <w:r>
        <w:rPr>
          <w:shd w:val="clear" w:color="auto" w:fill="FFFFFF"/>
        </w:rPr>
        <w:t>Diallel Analysis to Assess Quantitative G</w:t>
      </w:r>
      <w:r w:rsidR="0099190A">
        <w:rPr>
          <w:shd w:val="clear" w:color="auto" w:fill="FFFFFF"/>
        </w:rPr>
        <w:t>enetic</w:t>
      </w:r>
      <w:r w:rsidR="003F5FD1">
        <w:rPr>
          <w:shd w:val="clear" w:color="auto" w:fill="FFFFFF"/>
        </w:rPr>
        <w:t>s</w:t>
      </w:r>
      <w:r>
        <w:rPr>
          <w:shd w:val="clear" w:color="auto" w:fill="FFFFFF"/>
        </w:rPr>
        <w:t xml:space="preserve"> of Biofuel Production Traits in S</w:t>
      </w:r>
      <w:r w:rsidR="0099190A">
        <w:rPr>
          <w:shd w:val="clear" w:color="auto" w:fill="FFFFFF"/>
        </w:rPr>
        <w:t>witchgrass</w:t>
      </w:r>
      <w:bookmarkEnd w:id="113"/>
    </w:p>
    <w:p w14:paraId="6CC1D2BA" w14:textId="77777777" w:rsidR="0099190A" w:rsidRPr="00BC2AA1" w:rsidRDefault="0099190A" w:rsidP="0099190A">
      <w:pPr>
        <w:ind w:firstLine="720"/>
        <w:rPr>
          <w:rFonts w:cs="Times New Roman"/>
        </w:rPr>
      </w:pPr>
      <w:r w:rsidRPr="00BC2AA1">
        <w:rPr>
          <w:rFonts w:cs="Times New Roman"/>
        </w:rPr>
        <w:t xml:space="preserve">In both forage switchgrass and biofuel switchgrass, total yield consists of two components. In forage switchgrass, these are forage yield and quality. In biofuel switchgrass, these components are biomass yield and ethanol yield. While numerous studies have examined the inter-relationship of morphological traits with biomass yield or quality, the inter-relationship </w:t>
      </w:r>
      <w:r w:rsidRPr="00BC2AA1">
        <w:rPr>
          <w:rFonts w:cs="Times New Roman"/>
        </w:rPr>
        <w:lastRenderedPageBreak/>
        <w:t>of these traits with ethanol yield has not yet been examined. Establishing a high ethanol yielding ideotype could greatly enhance the efficacy of the selection process when breeding biofuel switchgrass.</w:t>
      </w:r>
      <w:r>
        <w:rPr>
          <w:rFonts w:cs="Times New Roman"/>
        </w:rPr>
        <w:t xml:space="preserve"> In addition to knowing the relationship between various traits, a more thorough understanding of the underlying genetic variance components and heritability of those traits and the potential presence of </w:t>
      </w:r>
      <w:r w:rsidRPr="00BC2AA1">
        <w:rPr>
          <w:rFonts w:cs="Times New Roman"/>
        </w:rPr>
        <w:t>heterotic</w:t>
      </w:r>
      <w:r>
        <w:rPr>
          <w:rFonts w:cs="Times New Roman"/>
        </w:rPr>
        <w:t xml:space="preserve"> or maternal effects could further aid breeders in developing more efficient and effective methods of breeding improved cultivars. </w:t>
      </w:r>
    </w:p>
    <w:p w14:paraId="62BE1936" w14:textId="3498D797" w:rsidR="0099190A" w:rsidRPr="00AE3443" w:rsidRDefault="0099190A" w:rsidP="0099190A">
      <w:pPr>
        <w:ind w:firstLine="720"/>
        <w:rPr>
          <w:rFonts w:cs="Times New Roman"/>
        </w:rPr>
      </w:pPr>
      <w:r w:rsidRPr="00BC2AA1">
        <w:rPr>
          <w:rFonts w:cs="Times New Roman"/>
        </w:rPr>
        <w:t xml:space="preserve">Examination of the relationship between morphological traits in plants at different maturity levels </w:t>
      </w:r>
      <w:r>
        <w:rPr>
          <w:rFonts w:cs="Times New Roman"/>
        </w:rPr>
        <w:t>could</w:t>
      </w:r>
      <w:r w:rsidRPr="00BC2AA1">
        <w:rPr>
          <w:rFonts w:cs="Times New Roman"/>
        </w:rPr>
        <w:t xml:space="preserve"> </w:t>
      </w:r>
      <w:r>
        <w:rPr>
          <w:rFonts w:cs="Times New Roman"/>
        </w:rPr>
        <w:t>also</w:t>
      </w:r>
      <w:r w:rsidRPr="00BC2AA1">
        <w:rPr>
          <w:rFonts w:cs="Times New Roman"/>
        </w:rPr>
        <w:t xml:space="preserve"> enhance the efficacy of selection. Switchgrass plants are large, can be difficult to establish, and take approximately 3 years to reach maximum yield capacity</w:t>
      </w:r>
      <w:r>
        <w:rPr>
          <w:rFonts w:cs="Times New Roman"/>
        </w:rPr>
        <w:t xml:space="preserve"> </w:t>
      </w:r>
      <w:r w:rsidRPr="00BC2AA1">
        <w:rPr>
          <w:rFonts w:cs="Times New Roman"/>
        </w:rPr>
        <w:t>Examining the relationship between morphological and yield traits through different maturity stages could provide a basis for a high throughput screening process, through juvenile selection in the greenhouse</w:t>
      </w:r>
      <w:r>
        <w:rPr>
          <w:rFonts w:cs="Times New Roman"/>
        </w:rPr>
        <w:t>,</w:t>
      </w:r>
      <w:r w:rsidRPr="00BC2AA1">
        <w:rPr>
          <w:rFonts w:cs="Times New Roman"/>
        </w:rPr>
        <w:t xml:space="preserve"> selection prior to reproductive maturity</w:t>
      </w:r>
      <w:r>
        <w:rPr>
          <w:rFonts w:cs="Times New Roman"/>
        </w:rPr>
        <w:t>, or selection prior to reaching full biomass potential</w:t>
      </w:r>
      <w:r w:rsidRPr="00BC2AA1">
        <w:rPr>
          <w:rFonts w:cs="Times New Roman"/>
        </w:rPr>
        <w:t xml:space="preserve">. </w:t>
      </w:r>
      <w:r w:rsidRPr="00BA3F3D">
        <w:rPr>
          <w:rFonts w:eastAsiaTheme="minorHAnsi" w:cs="Times New Roman"/>
          <w:szCs w:val="22"/>
        </w:rPr>
        <w:t xml:space="preserve">The </w:t>
      </w:r>
      <w:r w:rsidR="00412B11">
        <w:rPr>
          <w:rFonts w:eastAsiaTheme="minorHAnsi" w:cs="Times New Roman"/>
          <w:szCs w:val="22"/>
        </w:rPr>
        <w:t>objective of this research is</w:t>
      </w:r>
      <w:r w:rsidRPr="00BA3F3D">
        <w:rPr>
          <w:rFonts w:eastAsiaTheme="minorHAnsi" w:cs="Times New Roman"/>
          <w:szCs w:val="22"/>
        </w:rPr>
        <w:t xml:space="preserve"> to </w:t>
      </w:r>
      <w:r>
        <w:rPr>
          <w:rFonts w:eastAsiaTheme="minorHAnsi" w:cs="Times New Roman"/>
          <w:szCs w:val="22"/>
        </w:rPr>
        <w:t>evaluate</w:t>
      </w:r>
      <w:r w:rsidRPr="00BA3F3D">
        <w:rPr>
          <w:rFonts w:eastAsiaTheme="minorHAnsi" w:cs="Times New Roman"/>
          <w:szCs w:val="22"/>
        </w:rPr>
        <w:t xml:space="preserve"> trait correlations, </w:t>
      </w:r>
      <w:r>
        <w:rPr>
          <w:rFonts w:eastAsiaTheme="minorHAnsi" w:cs="Times New Roman"/>
          <w:szCs w:val="22"/>
        </w:rPr>
        <w:t xml:space="preserve">additive and dominance genetic variance components, heritability, general and specific combining ability, maternal effects, heterosis, and early selection potential of </w:t>
      </w:r>
      <w:r w:rsidRPr="00BA3F3D">
        <w:rPr>
          <w:rFonts w:eastAsiaTheme="minorHAnsi" w:cs="Times New Roman"/>
          <w:szCs w:val="22"/>
        </w:rPr>
        <w:t>morphological and compositional traits in lowland switchgrass.</w:t>
      </w:r>
    </w:p>
    <w:p w14:paraId="31DA1F55" w14:textId="477D3612" w:rsidR="0099190A" w:rsidRDefault="0099190A" w:rsidP="0099190A">
      <w:pPr>
        <w:ind w:firstLine="720"/>
        <w:rPr>
          <w:rFonts w:cs="Times New Roman"/>
        </w:rPr>
      </w:pPr>
      <w:r w:rsidRPr="004A209F">
        <w:t xml:space="preserve">Eight parents, representative of the varieties </w:t>
      </w:r>
      <w:r w:rsidR="0014339F">
        <w:t>‘</w:t>
      </w:r>
      <w:r w:rsidRPr="0014339F">
        <w:t>Kanlow</w:t>
      </w:r>
      <w:r w:rsidR="0014339F">
        <w:t>’</w:t>
      </w:r>
      <w:r w:rsidRPr="0014339F">
        <w:t xml:space="preserve">, </w:t>
      </w:r>
      <w:r w:rsidR="0014339F">
        <w:t>‘</w:t>
      </w:r>
      <w:r w:rsidRPr="0014339F">
        <w:t>Alamo</w:t>
      </w:r>
      <w:r w:rsidR="0014339F">
        <w:t>’</w:t>
      </w:r>
      <w:r w:rsidRPr="0014339F">
        <w:t xml:space="preserve">, and </w:t>
      </w:r>
      <w:r w:rsidR="0014339F">
        <w:t>‘</w:t>
      </w:r>
      <w:r w:rsidRPr="0014339F">
        <w:t>Miami</w:t>
      </w:r>
      <w:r w:rsidR="0014339F">
        <w:t>’</w:t>
      </w:r>
      <w:r w:rsidRPr="0014339F">
        <w:t>,</w:t>
      </w:r>
      <w:r w:rsidRPr="004A209F">
        <w:t xml:space="preserve"> were crossed in a </w:t>
      </w:r>
      <w:r>
        <w:t xml:space="preserve">full </w:t>
      </w:r>
      <w:r w:rsidRPr="004A209F">
        <w:t>diallel design</w:t>
      </w:r>
      <w:r>
        <w:t xml:space="preserve"> including reciprocals but excluding </w:t>
      </w:r>
      <w:proofErr w:type="spellStart"/>
      <w:r>
        <w:t>selfs</w:t>
      </w:r>
      <w:proofErr w:type="spellEnd"/>
      <w:r w:rsidRPr="004A209F">
        <w:t xml:space="preserve">. </w:t>
      </w:r>
      <w:r>
        <w:t xml:space="preserve">Selections included two </w:t>
      </w:r>
      <w:r w:rsidRPr="0014339F">
        <w:t>Kanlow</w:t>
      </w:r>
      <w:r>
        <w:rPr>
          <w:i/>
        </w:rPr>
        <w:t xml:space="preserve"> </w:t>
      </w:r>
      <w:r>
        <w:t xml:space="preserve">genotypes (K2, K3), five </w:t>
      </w:r>
      <w:r w:rsidRPr="0014339F">
        <w:t>Alamo</w:t>
      </w:r>
      <w:r>
        <w:t xml:space="preserve"> </w:t>
      </w:r>
      <w:r w:rsidR="000B7ED3">
        <w:t>genotypes</w:t>
      </w:r>
      <w:r>
        <w:t xml:space="preserve"> (A1, A10, AS, T1, T4), and one </w:t>
      </w:r>
      <w:r w:rsidRPr="0014339F">
        <w:t>Miami</w:t>
      </w:r>
      <w:r>
        <w:t xml:space="preserve"> genotype (M). Greenhouse</w:t>
      </w:r>
      <w:r w:rsidRPr="004A209F">
        <w:t xml:space="preserve"> started seedlings were planted at Knoxville, TN and Crossville, TN in single plant plots in a </w:t>
      </w:r>
      <w:r>
        <w:t>RCB</w:t>
      </w:r>
      <w:r w:rsidRPr="004A209F">
        <w:t xml:space="preserve"> design with four blocks and twenty replications per cross. </w:t>
      </w:r>
      <w:r>
        <w:t xml:space="preserve">Plants were spaced on 1 m squares. </w:t>
      </w:r>
      <w:r w:rsidRPr="004A209F">
        <w:t xml:space="preserve">Plants were evaluated for biomass at 8 weeks post-emergence. After transfer to the field, plants were evaluated for </w:t>
      </w:r>
      <w:r>
        <w:t xml:space="preserve">height, </w:t>
      </w:r>
      <w:r w:rsidR="009C1A48">
        <w:t>rust severity</w:t>
      </w:r>
      <w:r>
        <w:t xml:space="preserve">, </w:t>
      </w:r>
      <w:r w:rsidRPr="004A209F">
        <w:t>biomass</w:t>
      </w:r>
      <w:r>
        <w:t xml:space="preserve">, </w:t>
      </w:r>
      <w:r w:rsidRPr="004A209F">
        <w:t xml:space="preserve">and ethanol in </w:t>
      </w:r>
      <w:r w:rsidRPr="004A209F">
        <w:lastRenderedPageBreak/>
        <w:t>the fall of the first and second year</w:t>
      </w:r>
      <w:r>
        <w:t xml:space="preserve"> and for height, tiller number, tiller diameter, </w:t>
      </w:r>
      <w:r w:rsidR="00B8390A">
        <w:t>leaf width</w:t>
      </w:r>
      <w:r>
        <w:t xml:space="preserve">, </w:t>
      </w:r>
      <w:r w:rsidR="00DB61CB">
        <w:t>plant color</w:t>
      </w:r>
      <w:r>
        <w:t xml:space="preserve">, and </w:t>
      </w:r>
      <w:r w:rsidR="00DA675F">
        <w:t>canopy density</w:t>
      </w:r>
      <w:r>
        <w:t xml:space="preserve"> in the spring of the second and third year</w:t>
      </w:r>
      <w:r w:rsidRPr="004A209F">
        <w:t>.</w:t>
      </w:r>
      <w:r>
        <w:t xml:space="preserve"> Calculated values included correlations between morphological traits and biomass and </w:t>
      </w:r>
      <w:r w:rsidR="0095454C">
        <w:t>predicted ethanol yield</w:t>
      </w:r>
      <w:r>
        <w:t xml:space="preserve">, </w:t>
      </w:r>
      <w:r>
        <w:rPr>
          <w:rFonts w:eastAsiaTheme="minorHAnsi"/>
          <w:szCs w:val="22"/>
        </w:rPr>
        <w:t>estimates of</w:t>
      </w:r>
      <w:r w:rsidRPr="00BA3F3D">
        <w:rPr>
          <w:rFonts w:eastAsiaTheme="minorHAnsi"/>
          <w:szCs w:val="22"/>
        </w:rPr>
        <w:t xml:space="preserve"> </w:t>
      </w:r>
      <w:r>
        <w:rPr>
          <w:rFonts w:eastAsiaTheme="minorHAnsi"/>
          <w:szCs w:val="22"/>
        </w:rPr>
        <w:t xml:space="preserve">additive and dominance genetic variance components, heritability, general and specific combining ability, maternal effects, and heterosis, and evaluation of early selection potential for biomass and </w:t>
      </w:r>
      <w:r w:rsidR="0095454C">
        <w:rPr>
          <w:rFonts w:eastAsiaTheme="minorHAnsi"/>
          <w:szCs w:val="22"/>
        </w:rPr>
        <w:t>predicted ethanol yield</w:t>
      </w:r>
      <w:r w:rsidRPr="00BA3F3D">
        <w:rPr>
          <w:rFonts w:eastAsiaTheme="minorHAnsi"/>
          <w:szCs w:val="22"/>
        </w:rPr>
        <w:t xml:space="preserve"> in lowland switchgrass.</w:t>
      </w:r>
    </w:p>
    <w:p w14:paraId="17F0DD3E" w14:textId="05BC16B8" w:rsidR="0099190A" w:rsidRDefault="0099190A" w:rsidP="0099190A">
      <w:pPr>
        <w:ind w:firstLine="720"/>
        <w:rPr>
          <w:rFonts w:cs="Times New Roman"/>
        </w:rPr>
      </w:pPr>
      <w:r w:rsidRPr="00ED44DE">
        <w:rPr>
          <w:rFonts w:cs="Times New Roman"/>
        </w:rPr>
        <w:t>Correlations of morphological traits to biomass yield indicate</w:t>
      </w:r>
      <w:r>
        <w:rPr>
          <w:rFonts w:cs="Times New Roman"/>
        </w:rPr>
        <w:t>d</w:t>
      </w:r>
      <w:r w:rsidRPr="00ED44DE">
        <w:rPr>
          <w:rFonts w:cs="Times New Roman"/>
        </w:rPr>
        <w:t xml:space="preserve"> an ideal ideotype of a tall plant with a high number of thick tillers, wide leaves, and an open </w:t>
      </w:r>
      <w:r w:rsidR="00DA675F">
        <w:rPr>
          <w:rFonts w:cs="Times New Roman"/>
        </w:rPr>
        <w:t>canopy density</w:t>
      </w:r>
      <w:r w:rsidRPr="00ED44DE">
        <w:rPr>
          <w:rFonts w:cs="Times New Roman"/>
        </w:rPr>
        <w:t xml:space="preserve">. Traits with the highest correlations to biomass year in the second year included fall height and biomass yield in the establishment year and tiller number and height in the </w:t>
      </w:r>
      <w:r>
        <w:rPr>
          <w:rFonts w:cs="Times New Roman"/>
        </w:rPr>
        <w:t xml:space="preserve">spring of the </w:t>
      </w:r>
      <w:r w:rsidRPr="00ED44DE">
        <w:rPr>
          <w:rFonts w:cs="Times New Roman"/>
        </w:rPr>
        <w:t xml:space="preserve">second year. These results indicate early selection would be effective. Morphological traits that had high positive correlations to biomass yield had weak negative correlations to </w:t>
      </w:r>
      <w:r w:rsidR="0095454C">
        <w:rPr>
          <w:rFonts w:cs="Times New Roman"/>
        </w:rPr>
        <w:t>predicted ethanol yield</w:t>
      </w:r>
      <w:r w:rsidRPr="00ED44DE">
        <w:rPr>
          <w:rFonts w:cs="Times New Roman"/>
        </w:rPr>
        <w:t xml:space="preserve">, indicating </w:t>
      </w:r>
      <w:r w:rsidR="00563591">
        <w:rPr>
          <w:rFonts w:cs="Times New Roman"/>
        </w:rPr>
        <w:t>i</w:t>
      </w:r>
      <w:r w:rsidRPr="00ED44DE">
        <w:rPr>
          <w:rFonts w:cs="Times New Roman"/>
        </w:rPr>
        <w:t>mprove</w:t>
      </w:r>
      <w:r w:rsidR="00563591">
        <w:rPr>
          <w:rFonts w:cs="Times New Roman"/>
        </w:rPr>
        <w:t>ment of</w:t>
      </w:r>
      <w:r w:rsidRPr="00ED44DE">
        <w:rPr>
          <w:rFonts w:cs="Times New Roman"/>
        </w:rPr>
        <w:t xml:space="preserve"> both traits simultaneously</w:t>
      </w:r>
      <w:r w:rsidR="00563591">
        <w:rPr>
          <w:rFonts w:cs="Times New Roman"/>
        </w:rPr>
        <w:t xml:space="preserve"> may be difficult</w:t>
      </w:r>
      <w:r w:rsidRPr="00ED44DE">
        <w:rPr>
          <w:rFonts w:cs="Times New Roman"/>
        </w:rPr>
        <w:t xml:space="preserve">. </w:t>
      </w:r>
    </w:p>
    <w:p w14:paraId="0E645371" w14:textId="094AD6A0" w:rsidR="0099190A" w:rsidRDefault="0099190A" w:rsidP="0099190A">
      <w:pPr>
        <w:ind w:firstLine="720"/>
        <w:rPr>
          <w:rFonts w:cs="Times New Roman"/>
        </w:rPr>
      </w:pPr>
      <w:r w:rsidRPr="00ED44DE">
        <w:rPr>
          <w:rFonts w:cs="Times New Roman"/>
        </w:rPr>
        <w:t xml:space="preserve">In the variance component model, GCA was not significant for biomass yield, </w:t>
      </w:r>
      <w:r w:rsidR="0095454C">
        <w:rPr>
          <w:rFonts w:cs="Times New Roman"/>
        </w:rPr>
        <w:t>predicted ethanol yield</w:t>
      </w:r>
      <w:r w:rsidRPr="00ED44DE">
        <w:rPr>
          <w:rFonts w:cs="Times New Roman"/>
        </w:rPr>
        <w:t xml:space="preserve">, fall height, tiller number, </w:t>
      </w:r>
      <w:r w:rsidR="00B8390A">
        <w:rPr>
          <w:rFonts w:cs="Times New Roman"/>
        </w:rPr>
        <w:t>leaf width</w:t>
      </w:r>
      <w:r w:rsidRPr="00ED44DE">
        <w:rPr>
          <w:rFonts w:cs="Times New Roman"/>
        </w:rPr>
        <w:t xml:space="preserve">, or </w:t>
      </w:r>
      <w:r w:rsidR="00DA675F">
        <w:rPr>
          <w:rFonts w:cs="Times New Roman"/>
        </w:rPr>
        <w:t>canopy density</w:t>
      </w:r>
      <w:r w:rsidRPr="00ED44DE">
        <w:rPr>
          <w:rFonts w:cs="Times New Roman"/>
        </w:rPr>
        <w:t xml:space="preserve">, but SCA was significant, indicating a high amount of dominance variation relative to additive variation for the genes controlling these traits. This indicates hybrid development may be more effective at improving these traits as opposed to current breeding methods of recurrent selection to develop improved open-pollinated populations and synthetics. Significant GCA and SCA effects were shown for spring height, </w:t>
      </w:r>
      <w:r w:rsidR="00DB61CB">
        <w:rPr>
          <w:rFonts w:cs="Times New Roman"/>
        </w:rPr>
        <w:t>plant color</w:t>
      </w:r>
      <w:r w:rsidRPr="00ED44DE">
        <w:rPr>
          <w:rFonts w:cs="Times New Roman"/>
        </w:rPr>
        <w:t xml:space="preserve">, leaf angle, and tiller diameter. For these traits, additive variation accounted for a larger proportion of the total genetic variation, indicating current methods of cultivar development </w:t>
      </w:r>
      <w:r w:rsidR="00563591">
        <w:rPr>
          <w:rFonts w:cs="Times New Roman"/>
        </w:rPr>
        <w:t>should</w:t>
      </w:r>
      <w:r w:rsidRPr="00ED44DE">
        <w:rPr>
          <w:rFonts w:cs="Times New Roman"/>
        </w:rPr>
        <w:t xml:space="preserve"> be effective. The significant amount of dominance genetic variation for these traits indicates hybrid development would also be effective. Narrow sense heritability </w:t>
      </w:r>
      <w:r w:rsidRPr="00ED44DE">
        <w:rPr>
          <w:rFonts w:cs="Times New Roman"/>
        </w:rPr>
        <w:lastRenderedPageBreak/>
        <w:t>values for biomass yield</w:t>
      </w:r>
      <w:r w:rsidR="00563591">
        <w:rPr>
          <w:rFonts w:cs="Times New Roman"/>
        </w:rPr>
        <w:t xml:space="preserve"> were low</w:t>
      </w:r>
      <w:r w:rsidRPr="00ED44DE">
        <w:rPr>
          <w:rFonts w:cs="Times New Roman"/>
        </w:rPr>
        <w:t xml:space="preserve">, which was expected based on results from previous studies. For traits where dominance variation accounted </w:t>
      </w:r>
      <w:r w:rsidRPr="00ED44DE">
        <w:rPr>
          <w:rFonts w:eastAsiaTheme="minorHAnsi" w:cs="Times New Roman"/>
        </w:rPr>
        <w:t xml:space="preserve">for a greater portion of the total genetic variation, including </w:t>
      </w:r>
      <w:r w:rsidR="0095454C">
        <w:rPr>
          <w:rFonts w:cs="Times New Roman"/>
        </w:rPr>
        <w:t>predicted ethanol yield</w:t>
      </w:r>
      <w:r w:rsidRPr="00ED44DE">
        <w:rPr>
          <w:rFonts w:cs="Times New Roman"/>
        </w:rPr>
        <w:t>, f</w:t>
      </w:r>
      <w:r w:rsidRPr="00ED44DE">
        <w:rPr>
          <w:rFonts w:eastAsiaTheme="minorHAnsi" w:cs="Times New Roman"/>
        </w:rPr>
        <w:t xml:space="preserve">all </w:t>
      </w:r>
      <w:r w:rsidRPr="00ED44DE">
        <w:rPr>
          <w:rFonts w:cs="Times New Roman"/>
        </w:rPr>
        <w:t>h</w:t>
      </w:r>
      <w:r w:rsidRPr="00ED44DE">
        <w:rPr>
          <w:rFonts w:eastAsiaTheme="minorHAnsi" w:cs="Times New Roman"/>
        </w:rPr>
        <w:t>eight</w:t>
      </w:r>
      <w:r w:rsidRPr="00ED44DE">
        <w:rPr>
          <w:rFonts w:cs="Times New Roman"/>
        </w:rPr>
        <w:t xml:space="preserve">, </w:t>
      </w:r>
      <w:r w:rsidR="00DA675F">
        <w:rPr>
          <w:rFonts w:cs="Times New Roman"/>
        </w:rPr>
        <w:t>canopy density</w:t>
      </w:r>
      <w:r w:rsidRPr="00ED44DE">
        <w:rPr>
          <w:rFonts w:cs="Times New Roman"/>
        </w:rPr>
        <w:t xml:space="preserve">, and tiller number, narrow sense heritability values were low, ranging from 0.13 to 0.21. For traits </w:t>
      </w:r>
      <w:r w:rsidRPr="00ED44DE">
        <w:rPr>
          <w:rFonts w:eastAsiaTheme="minorHAnsi" w:cs="Times New Roman"/>
        </w:rPr>
        <w:t xml:space="preserve">where additive variation accounted for a greater portion of the total genetic variation, including </w:t>
      </w:r>
      <w:r w:rsidRPr="00ED44DE">
        <w:rPr>
          <w:rFonts w:cs="Times New Roman"/>
        </w:rPr>
        <w:t>s</w:t>
      </w:r>
      <w:r w:rsidRPr="00ED44DE">
        <w:rPr>
          <w:rFonts w:eastAsiaTheme="minorHAnsi" w:cs="Times New Roman"/>
        </w:rPr>
        <w:t xml:space="preserve">pring </w:t>
      </w:r>
      <w:r w:rsidRPr="00ED44DE">
        <w:rPr>
          <w:rFonts w:cs="Times New Roman"/>
        </w:rPr>
        <w:t>h</w:t>
      </w:r>
      <w:r w:rsidRPr="00ED44DE">
        <w:rPr>
          <w:rFonts w:eastAsiaTheme="minorHAnsi" w:cs="Times New Roman"/>
        </w:rPr>
        <w:t xml:space="preserve">eight, </w:t>
      </w:r>
      <w:r w:rsidR="00DB61CB">
        <w:rPr>
          <w:rFonts w:cs="Times New Roman"/>
        </w:rPr>
        <w:t>plant color</w:t>
      </w:r>
      <w:r w:rsidRPr="00ED44DE">
        <w:rPr>
          <w:rFonts w:eastAsiaTheme="minorHAnsi" w:cs="Times New Roman"/>
        </w:rPr>
        <w:t xml:space="preserve">, </w:t>
      </w:r>
      <w:r w:rsidRPr="00ED44DE">
        <w:rPr>
          <w:rFonts w:cs="Times New Roman"/>
        </w:rPr>
        <w:t>l</w:t>
      </w:r>
      <w:r w:rsidRPr="00ED44DE">
        <w:rPr>
          <w:rFonts w:eastAsiaTheme="minorHAnsi" w:cs="Times New Roman"/>
        </w:rPr>
        <w:t xml:space="preserve">eaf </w:t>
      </w:r>
      <w:r w:rsidRPr="00ED44DE">
        <w:rPr>
          <w:rFonts w:cs="Times New Roman"/>
        </w:rPr>
        <w:t>a</w:t>
      </w:r>
      <w:r w:rsidRPr="00ED44DE">
        <w:rPr>
          <w:rFonts w:eastAsiaTheme="minorHAnsi" w:cs="Times New Roman"/>
        </w:rPr>
        <w:t xml:space="preserve">ngle, </w:t>
      </w:r>
      <w:r w:rsidR="009C1A48">
        <w:rPr>
          <w:rFonts w:cs="Times New Roman"/>
        </w:rPr>
        <w:t>rust severity</w:t>
      </w:r>
      <w:r w:rsidRPr="00ED44DE">
        <w:rPr>
          <w:rFonts w:cs="Times New Roman"/>
        </w:rPr>
        <w:t xml:space="preserve"> Aug., </w:t>
      </w:r>
      <w:r w:rsidR="009C1A48">
        <w:rPr>
          <w:rFonts w:cs="Times New Roman"/>
        </w:rPr>
        <w:t>rust severity</w:t>
      </w:r>
      <w:r w:rsidRPr="00ED44DE">
        <w:rPr>
          <w:rFonts w:cs="Times New Roman"/>
        </w:rPr>
        <w:t xml:space="preserve"> Oct., and tiller d</w:t>
      </w:r>
      <w:r w:rsidRPr="00ED44DE">
        <w:rPr>
          <w:rFonts w:eastAsiaTheme="minorHAnsi" w:cs="Times New Roman"/>
        </w:rPr>
        <w:t>iameter</w:t>
      </w:r>
      <w:r w:rsidRPr="00ED44DE">
        <w:rPr>
          <w:rFonts w:cs="Times New Roman"/>
        </w:rPr>
        <w:t xml:space="preserve">, narrow sense heritability values were higher, ranging from 0.22 to 0.50. </w:t>
      </w:r>
    </w:p>
    <w:p w14:paraId="39E1C734" w14:textId="4993A989" w:rsidR="0099190A" w:rsidRDefault="0099190A" w:rsidP="0099190A">
      <w:pPr>
        <w:ind w:firstLine="720"/>
        <w:rPr>
          <w:rFonts w:cs="Times New Roman"/>
        </w:rPr>
      </w:pPr>
      <w:r>
        <w:rPr>
          <w:rFonts w:cs="Times New Roman"/>
        </w:rPr>
        <w:t>Based on results for GCA values, a</w:t>
      </w:r>
      <w:r w:rsidRPr="00ED44DE">
        <w:rPr>
          <w:rFonts w:eastAsiaTheme="minorHAnsi" w:cs="Times New Roman"/>
        </w:rPr>
        <w:t>cross traits, the A1 and A10 lines</w:t>
      </w:r>
      <w:r>
        <w:rPr>
          <w:rFonts w:eastAsiaTheme="minorHAnsi" w:cs="Times New Roman"/>
        </w:rPr>
        <w:t>, both derived from Alamo genotypes,</w:t>
      </w:r>
      <w:r w:rsidRPr="00ED44DE">
        <w:rPr>
          <w:rFonts w:eastAsiaTheme="minorHAnsi" w:cs="Times New Roman"/>
        </w:rPr>
        <w:t xml:space="preserve"> were the most promising, with A1 exhibiting positive GCA values for biomass yield, fall height, spring height, tiller number, tiller diameter, and </w:t>
      </w:r>
      <w:r w:rsidR="00B8390A">
        <w:rPr>
          <w:rFonts w:eastAsiaTheme="minorHAnsi" w:cs="Times New Roman"/>
        </w:rPr>
        <w:t>leaf width</w:t>
      </w:r>
      <w:r w:rsidRPr="00ED44DE">
        <w:rPr>
          <w:rFonts w:eastAsiaTheme="minorHAnsi" w:cs="Times New Roman"/>
        </w:rPr>
        <w:t xml:space="preserve"> and negative GCA values for </w:t>
      </w:r>
      <w:r w:rsidR="009C1A48">
        <w:rPr>
          <w:rFonts w:eastAsiaTheme="minorHAnsi" w:cs="Times New Roman"/>
        </w:rPr>
        <w:t>rust severity</w:t>
      </w:r>
      <w:r w:rsidRPr="00ED44DE">
        <w:rPr>
          <w:rFonts w:eastAsiaTheme="minorHAnsi" w:cs="Times New Roman"/>
        </w:rPr>
        <w:t xml:space="preserve">. This line did have a negative GCA value for </w:t>
      </w:r>
      <w:r w:rsidR="0095454C">
        <w:rPr>
          <w:rFonts w:eastAsiaTheme="minorHAnsi" w:cs="Times New Roman"/>
        </w:rPr>
        <w:t>predicted ethanol yield</w:t>
      </w:r>
      <w:r w:rsidRPr="00ED44DE">
        <w:rPr>
          <w:rFonts w:eastAsiaTheme="minorHAnsi" w:cs="Times New Roman"/>
        </w:rPr>
        <w:t xml:space="preserve">. The A10 line also had positive GCA values for biomass yield, fall height, spring height, tiller number, </w:t>
      </w:r>
      <w:r w:rsidR="00B8390A">
        <w:rPr>
          <w:rFonts w:eastAsiaTheme="minorHAnsi" w:cs="Times New Roman"/>
        </w:rPr>
        <w:t>leaf width</w:t>
      </w:r>
      <w:r w:rsidRPr="00ED44DE">
        <w:rPr>
          <w:rFonts w:eastAsiaTheme="minorHAnsi" w:cs="Times New Roman"/>
        </w:rPr>
        <w:t xml:space="preserve">, and </w:t>
      </w:r>
      <w:r w:rsidR="00DA675F">
        <w:rPr>
          <w:rFonts w:eastAsiaTheme="minorHAnsi" w:cs="Times New Roman"/>
        </w:rPr>
        <w:t>canopy density</w:t>
      </w:r>
      <w:r w:rsidRPr="00ED44DE">
        <w:rPr>
          <w:rFonts w:eastAsiaTheme="minorHAnsi" w:cs="Times New Roman"/>
        </w:rPr>
        <w:t xml:space="preserve">. While it had a GCA value of 0 for </w:t>
      </w:r>
      <w:r w:rsidR="0095454C">
        <w:rPr>
          <w:rFonts w:eastAsiaTheme="minorHAnsi" w:cs="Times New Roman"/>
        </w:rPr>
        <w:t>predicted ethanol yield</w:t>
      </w:r>
      <w:r w:rsidRPr="00ED44DE">
        <w:rPr>
          <w:rFonts w:eastAsiaTheme="minorHAnsi" w:cs="Times New Roman"/>
        </w:rPr>
        <w:t xml:space="preserve">, it did have positive GCA values for </w:t>
      </w:r>
      <w:r w:rsidR="009C1A48">
        <w:rPr>
          <w:rFonts w:eastAsiaTheme="minorHAnsi" w:cs="Times New Roman"/>
        </w:rPr>
        <w:t>rust severity</w:t>
      </w:r>
      <w:r w:rsidRPr="00ED44DE">
        <w:rPr>
          <w:rFonts w:eastAsiaTheme="minorHAnsi" w:cs="Times New Roman"/>
        </w:rPr>
        <w:t xml:space="preserve">, indicating higher than average </w:t>
      </w:r>
      <w:r w:rsidR="009C1A48">
        <w:rPr>
          <w:rFonts w:eastAsiaTheme="minorHAnsi" w:cs="Times New Roman"/>
        </w:rPr>
        <w:t>rust severity</w:t>
      </w:r>
      <w:r w:rsidRPr="00ED44DE">
        <w:rPr>
          <w:rFonts w:eastAsiaTheme="minorHAnsi" w:cs="Times New Roman"/>
        </w:rPr>
        <w:t xml:space="preserve"> on progeny within this line. The Alamo line, T4, also showed promise </w:t>
      </w:r>
      <w:r w:rsidR="00563591">
        <w:rPr>
          <w:rFonts w:eastAsiaTheme="minorHAnsi" w:cs="Times New Roman"/>
        </w:rPr>
        <w:t>exhibiting</w:t>
      </w:r>
      <w:r w:rsidRPr="00ED44DE">
        <w:rPr>
          <w:rFonts w:eastAsiaTheme="minorHAnsi" w:cs="Times New Roman"/>
        </w:rPr>
        <w:t xml:space="preserve"> positive GCA values for biomass yield, fall height, tiller number and </w:t>
      </w:r>
      <w:r w:rsidR="00DA675F">
        <w:rPr>
          <w:rFonts w:eastAsiaTheme="minorHAnsi" w:cs="Times New Roman"/>
        </w:rPr>
        <w:t>canopy density</w:t>
      </w:r>
      <w:r w:rsidRPr="00ED44DE">
        <w:rPr>
          <w:rFonts w:eastAsiaTheme="minorHAnsi" w:cs="Times New Roman"/>
        </w:rPr>
        <w:t xml:space="preserve">. </w:t>
      </w:r>
      <w:r w:rsidR="0095454C">
        <w:rPr>
          <w:rFonts w:eastAsiaTheme="minorHAnsi" w:cs="Times New Roman"/>
        </w:rPr>
        <w:t>Predicted ethanol yield</w:t>
      </w:r>
      <w:r w:rsidRPr="00ED44DE">
        <w:rPr>
          <w:rFonts w:eastAsiaTheme="minorHAnsi" w:cs="Times New Roman"/>
        </w:rPr>
        <w:t xml:space="preserve"> was not evaluated for this line.</w:t>
      </w:r>
      <w:r>
        <w:rPr>
          <w:rFonts w:cs="Times New Roman"/>
        </w:rPr>
        <w:t xml:space="preserve"> Significant positive SCA values were identified for each trait evaluated, except </w:t>
      </w:r>
      <w:r w:rsidR="0095454C">
        <w:rPr>
          <w:rFonts w:cs="Times New Roman"/>
        </w:rPr>
        <w:t>predicted ethanol yield</w:t>
      </w:r>
      <w:r>
        <w:rPr>
          <w:rFonts w:cs="Times New Roman"/>
        </w:rPr>
        <w:t xml:space="preserve">, for which only a </w:t>
      </w:r>
      <w:r w:rsidR="00563591">
        <w:rPr>
          <w:rFonts w:cs="Times New Roman"/>
        </w:rPr>
        <w:t xml:space="preserve">significant </w:t>
      </w:r>
      <w:r>
        <w:rPr>
          <w:rFonts w:cs="Times New Roman"/>
        </w:rPr>
        <w:t xml:space="preserve">negative SCA value was identified. Significant maternal effects were also identified. </w:t>
      </w:r>
      <w:r w:rsidRPr="00ED44DE">
        <w:rPr>
          <w:rFonts w:cs="Times New Roman"/>
        </w:rPr>
        <w:t>For biomass y</w:t>
      </w:r>
      <w:r w:rsidR="00563591">
        <w:rPr>
          <w:rFonts w:cs="Times New Roman"/>
        </w:rPr>
        <w:t>ield and height, the crosses T1xM, K2xT1, A10xM, and A10x</w:t>
      </w:r>
      <w:r w:rsidRPr="00ED44DE">
        <w:rPr>
          <w:rFonts w:cs="Times New Roman"/>
        </w:rPr>
        <w:t>AS all had significant maternal effects and significant positive SCA values. Across all traits</w:t>
      </w:r>
      <w:r w:rsidR="00563591">
        <w:rPr>
          <w:rFonts w:cs="Times New Roman"/>
        </w:rPr>
        <w:t>,</w:t>
      </w:r>
      <w:r w:rsidRPr="00ED44DE">
        <w:rPr>
          <w:rFonts w:cs="Times New Roman"/>
        </w:rPr>
        <w:t xml:space="preserve"> except </w:t>
      </w:r>
      <w:r w:rsidR="0095454C">
        <w:rPr>
          <w:rFonts w:cs="Times New Roman"/>
        </w:rPr>
        <w:t>predicted ethanol yield</w:t>
      </w:r>
      <w:r w:rsidR="00563591">
        <w:rPr>
          <w:rFonts w:cs="Times New Roman"/>
        </w:rPr>
        <w:t>, the cross T1x</w:t>
      </w:r>
      <w:r w:rsidRPr="00ED44DE">
        <w:rPr>
          <w:rFonts w:cs="Times New Roman"/>
        </w:rPr>
        <w:t xml:space="preserve">M had a significant positive SCA value and </w:t>
      </w:r>
      <w:r w:rsidR="00563591">
        <w:rPr>
          <w:rFonts w:cs="Times New Roman"/>
        </w:rPr>
        <w:t>exhibited</w:t>
      </w:r>
      <w:r w:rsidRPr="00ED44DE">
        <w:rPr>
          <w:rFonts w:cs="Times New Roman"/>
        </w:rPr>
        <w:t xml:space="preserve"> a significant maternal effect. Although not exhibiting a significant positive SCA value, this cross did have a positive SCA </w:t>
      </w:r>
      <w:r w:rsidRPr="00ED44DE">
        <w:rPr>
          <w:rFonts w:cs="Times New Roman"/>
        </w:rPr>
        <w:lastRenderedPageBreak/>
        <w:t xml:space="preserve">value for </w:t>
      </w:r>
      <w:r w:rsidR="0095454C">
        <w:rPr>
          <w:rFonts w:cs="Times New Roman"/>
        </w:rPr>
        <w:t>predicted ethanol yield</w:t>
      </w:r>
      <w:r w:rsidRPr="00ED44DE">
        <w:rPr>
          <w:rFonts w:cs="Times New Roman"/>
        </w:rPr>
        <w:t xml:space="preserve"> as well.</w:t>
      </w:r>
      <w:r>
        <w:rPr>
          <w:rFonts w:cs="Times New Roman"/>
        </w:rPr>
        <w:t xml:space="preserve"> These results are important for identifying favorable nuclear genes and parents ideal for seed production. </w:t>
      </w:r>
    </w:p>
    <w:p w14:paraId="25A3F5BA" w14:textId="346F236B" w:rsidR="0099190A" w:rsidRDefault="0099190A" w:rsidP="0099190A">
      <w:pPr>
        <w:ind w:firstLine="720"/>
        <w:rPr>
          <w:rFonts w:cs="Times New Roman"/>
        </w:rPr>
      </w:pPr>
      <w:r>
        <w:rPr>
          <w:rFonts w:cs="Times New Roman"/>
        </w:rPr>
        <w:t xml:space="preserve">Within each trait evaluated, crosses were identified exhibiting high parent heterosis. Crosses exhibiting high parent heterosis across both years of evaluations included 25 crosses for biomass yield, 18 crosses for fall height, six crosses for spring height, three crosses for tiller diameter, 36 crosses for tiller number, and one cross for </w:t>
      </w:r>
      <w:r w:rsidR="00B8390A">
        <w:rPr>
          <w:rFonts w:cs="Times New Roman"/>
        </w:rPr>
        <w:t>leaf width</w:t>
      </w:r>
      <w:r>
        <w:rPr>
          <w:rFonts w:cs="Times New Roman"/>
        </w:rPr>
        <w:t xml:space="preserve">. </w:t>
      </w:r>
      <w:r w:rsidRPr="00435EE8">
        <w:rPr>
          <w:rFonts w:cs="Times New Roman"/>
        </w:rPr>
        <w:t>For the majority of traits analyzed, in proportion to the number of each combination evaluated, Alamo by Alamo, Alamo by Kanlow, and Alamo by Miami combinations had the most crosses exhibiting high parent heterosis.</w:t>
      </w:r>
      <w:r>
        <w:rPr>
          <w:rFonts w:cs="Times New Roman"/>
        </w:rPr>
        <w:t xml:space="preserve"> These results suggest that the diversity within the cultivar Alamo and between the cultivars Alamo and Kanlow and Alamo and Miami may be sufficient to exploit in developing high </w:t>
      </w:r>
      <w:r w:rsidR="002A3CD7">
        <w:rPr>
          <w:rFonts w:cs="Times New Roman"/>
        </w:rPr>
        <w:t xml:space="preserve">biomass </w:t>
      </w:r>
      <w:r>
        <w:rPr>
          <w:rFonts w:cs="Times New Roman"/>
        </w:rPr>
        <w:t xml:space="preserve">yielding hybrid cultivars. </w:t>
      </w:r>
    </w:p>
    <w:p w14:paraId="1E16A043" w14:textId="07F33780" w:rsidR="0099190A" w:rsidRDefault="0099190A" w:rsidP="0099190A">
      <w:pPr>
        <w:ind w:firstLine="720"/>
        <w:rPr>
          <w:rFonts w:cs="Times New Roman"/>
        </w:rPr>
      </w:pPr>
      <w:r>
        <w:rPr>
          <w:rFonts w:cs="Times New Roman"/>
        </w:rPr>
        <w:t xml:space="preserve">Examination of early selection potential for biomass yield and </w:t>
      </w:r>
      <w:r w:rsidR="0095454C">
        <w:rPr>
          <w:rFonts w:cs="Times New Roman"/>
        </w:rPr>
        <w:t>predicted ethanol yield</w:t>
      </w:r>
      <w:r>
        <w:rPr>
          <w:rFonts w:cs="Times New Roman"/>
        </w:rPr>
        <w:t xml:space="preserve"> indicated juvenile selection at 8 weeks was not effective at selecting high biomass </w:t>
      </w:r>
      <w:r w:rsidR="00DB2487">
        <w:rPr>
          <w:rFonts w:cs="Times New Roman"/>
        </w:rPr>
        <w:t>F1 populations</w:t>
      </w:r>
      <w:r>
        <w:rPr>
          <w:rFonts w:cs="Times New Roman"/>
        </w:rPr>
        <w:t xml:space="preserve"> or crosses</w:t>
      </w:r>
      <w:r w:rsidR="002A3CD7">
        <w:rPr>
          <w:rFonts w:cs="Times New Roman"/>
        </w:rPr>
        <w:t>;</w:t>
      </w:r>
      <w:r>
        <w:rPr>
          <w:rFonts w:cs="Times New Roman"/>
        </w:rPr>
        <w:t xml:space="preserve"> however, selection in 2012, the establishment year</w:t>
      </w:r>
      <w:r w:rsidR="002A3CD7">
        <w:rPr>
          <w:rFonts w:cs="Times New Roman"/>
        </w:rPr>
        <w:t>,</w:t>
      </w:r>
      <w:r>
        <w:rPr>
          <w:rFonts w:cs="Times New Roman"/>
        </w:rPr>
        <w:t xml:space="preserve"> was effective at selecting high biomass and high </w:t>
      </w:r>
      <w:r w:rsidR="0095454C">
        <w:rPr>
          <w:rFonts w:cs="Times New Roman"/>
        </w:rPr>
        <w:t>predicted ethanol yield</w:t>
      </w:r>
      <w:r>
        <w:rPr>
          <w:rFonts w:cs="Times New Roman"/>
        </w:rPr>
        <w:t xml:space="preserve">ing </w:t>
      </w:r>
      <w:r w:rsidR="00DB2487">
        <w:rPr>
          <w:rFonts w:cs="Times New Roman"/>
        </w:rPr>
        <w:t>F1 populations</w:t>
      </w:r>
      <w:r w:rsidR="002A3CD7">
        <w:rPr>
          <w:rFonts w:cs="Times New Roman"/>
        </w:rPr>
        <w:t>. C</w:t>
      </w:r>
      <w:r>
        <w:rPr>
          <w:rFonts w:cs="Times New Roman"/>
        </w:rPr>
        <w:t xml:space="preserve">rosses selected in the establishment year did not differ significantly in second year yield from crosses selected in the second year. </w:t>
      </w:r>
      <w:r w:rsidRPr="00435EE8">
        <w:rPr>
          <w:rFonts w:cs="Times New Roman"/>
        </w:rPr>
        <w:t xml:space="preserve">Results from this study suggest that selections for biomass yield and </w:t>
      </w:r>
      <w:r w:rsidR="0095454C">
        <w:rPr>
          <w:rFonts w:cs="Times New Roman"/>
        </w:rPr>
        <w:t>predicted ethanol yield</w:t>
      </w:r>
      <w:r w:rsidRPr="00435EE8">
        <w:rPr>
          <w:rFonts w:cs="Times New Roman"/>
        </w:rPr>
        <w:t xml:space="preserve"> could be made in the establishment year resulting in savings of time, labor, and space in switchgrass breeding endeavors</w:t>
      </w:r>
      <w:r w:rsidR="00954DB7">
        <w:rPr>
          <w:rFonts w:cs="Times New Roman"/>
        </w:rPr>
        <w:t xml:space="preserve">. </w:t>
      </w:r>
      <w:r w:rsidRPr="00435EE8">
        <w:rPr>
          <w:rFonts w:cs="Times New Roman"/>
        </w:rPr>
        <w:t xml:space="preserve">    </w:t>
      </w:r>
    </w:p>
    <w:p w14:paraId="650EECF3" w14:textId="7C6C0BD6" w:rsidR="0099190A" w:rsidRDefault="0099190A" w:rsidP="0099190A">
      <w:pPr>
        <w:ind w:firstLine="720"/>
        <w:rPr>
          <w:rFonts w:cs="Times New Roman"/>
        </w:rPr>
      </w:pPr>
      <w:r>
        <w:rPr>
          <w:rFonts w:cs="Times New Roman"/>
        </w:rPr>
        <w:t xml:space="preserve">Overall, the results from this study provide switchgrass breeders with information that can make breeding efforts more efficient by identifying traits that are highly correlated to the primary traits of interest, biomass yield and </w:t>
      </w:r>
      <w:r w:rsidR="0095454C">
        <w:rPr>
          <w:rFonts w:cs="Times New Roman"/>
        </w:rPr>
        <w:t>predicted ethanol yield</w:t>
      </w:r>
      <w:r>
        <w:rPr>
          <w:rFonts w:cs="Times New Roman"/>
        </w:rPr>
        <w:t xml:space="preserve">, by calculating the proportion of additive and dominance variation for various traits so that breeders can identify the method of </w:t>
      </w:r>
      <w:r>
        <w:rPr>
          <w:rFonts w:cs="Times New Roman"/>
        </w:rPr>
        <w:lastRenderedPageBreak/>
        <w:t>cultivar development that will be most effectively exploit the predominant type of genetic variation for that trait, by identifying parents with high general combining ability, crosses with high specific combining ability, and crosses for which maternal effects or heterosis might be exploited, and, finally, by identifying the efficacy of early selection in order to save breeders time, labor, and space when developing improved switchgrass cultivars</w:t>
      </w:r>
      <w:r w:rsidR="00954DB7">
        <w:rPr>
          <w:rFonts w:cs="Times New Roman"/>
        </w:rPr>
        <w:t xml:space="preserve">. </w:t>
      </w:r>
      <w:r>
        <w:rPr>
          <w:rFonts w:cs="Times New Roman"/>
        </w:rPr>
        <w:t xml:space="preserve"> </w:t>
      </w:r>
      <w:r w:rsidRPr="00435EE8">
        <w:rPr>
          <w:rFonts w:cs="Times New Roman"/>
        </w:rPr>
        <w:t xml:space="preserve"> </w:t>
      </w:r>
      <w:r>
        <w:rPr>
          <w:rFonts w:cs="Times New Roman"/>
        </w:rPr>
        <w:t xml:space="preserve">  </w:t>
      </w:r>
    </w:p>
    <w:p w14:paraId="08A5127A" w14:textId="6AE7701F" w:rsidR="00FE774E" w:rsidRDefault="00182A8D" w:rsidP="00FE774E">
      <w:pPr>
        <w:pStyle w:val="Heading3"/>
        <w:rPr>
          <w:rFonts w:eastAsiaTheme="minorHAnsi"/>
        </w:rPr>
      </w:pPr>
      <w:bookmarkStart w:id="114" w:name="_Toc404069868"/>
      <w:r>
        <w:t>Comparison of Space and Sward Planted Switchgrass for Estimates of G</w:t>
      </w:r>
      <w:r w:rsidR="00FE774E">
        <w:t>enetic</w:t>
      </w:r>
      <w:r>
        <w:t xml:space="preserve"> Parameters and Ranking of B</w:t>
      </w:r>
      <w:r w:rsidR="00FE774E">
        <w:t xml:space="preserve">iomass and </w:t>
      </w:r>
      <w:r>
        <w:t>Predicted Ethanol Y</w:t>
      </w:r>
      <w:r w:rsidR="0095454C">
        <w:t>ield</w:t>
      </w:r>
      <w:bookmarkEnd w:id="114"/>
      <w:r w:rsidR="00FE774E">
        <w:t xml:space="preserve"> </w:t>
      </w:r>
    </w:p>
    <w:p w14:paraId="3FC290E3" w14:textId="54BA0B02" w:rsidR="00D46994" w:rsidRDefault="00D46994" w:rsidP="00D46994">
      <w:pPr>
        <w:ind w:firstLine="720"/>
        <w:rPr>
          <w:rFonts w:cs="Times New Roman"/>
        </w:rPr>
      </w:pPr>
      <w:r w:rsidRPr="00374367">
        <w:rPr>
          <w:rFonts w:cs="Times New Roman"/>
        </w:rPr>
        <w:t xml:space="preserve">Switchgrass breeding nurseries are typically space-planted; however, production is in dense swards. This disconnect may impact selection. The </w:t>
      </w:r>
      <w:r w:rsidR="00412B11">
        <w:rPr>
          <w:rFonts w:cs="Times New Roman"/>
        </w:rPr>
        <w:t>objectives of this research are</w:t>
      </w:r>
      <w:r w:rsidRPr="00374367">
        <w:rPr>
          <w:rFonts w:cs="Times New Roman"/>
        </w:rPr>
        <w:t xml:space="preserve"> to compare space- and sward-planted switchgrass biomass and </w:t>
      </w:r>
      <w:r>
        <w:rPr>
          <w:rFonts w:cs="Times New Roman"/>
        </w:rPr>
        <w:t>predicted ethanol yield</w:t>
      </w:r>
      <w:r w:rsidRPr="00374367">
        <w:rPr>
          <w:rFonts w:cs="Times New Roman"/>
        </w:rPr>
        <w:t xml:space="preserve"> for </w:t>
      </w:r>
      <w:proofErr w:type="spellStart"/>
      <w:r w:rsidRPr="00374367">
        <w:rPr>
          <w:rFonts w:cs="Times New Roman"/>
        </w:rPr>
        <w:t>i</w:t>
      </w:r>
      <w:proofErr w:type="spellEnd"/>
      <w:r w:rsidRPr="00374367">
        <w:rPr>
          <w:rFonts w:cs="Times New Roman"/>
        </w:rPr>
        <w:t xml:space="preserve">.) </w:t>
      </w:r>
      <w:proofErr w:type="gramStart"/>
      <w:r w:rsidRPr="00374367">
        <w:rPr>
          <w:rFonts w:cs="Times New Roman"/>
        </w:rPr>
        <w:t>correlations</w:t>
      </w:r>
      <w:proofErr w:type="gramEnd"/>
      <w:r w:rsidRPr="00374367">
        <w:rPr>
          <w:rFonts w:cs="Times New Roman"/>
        </w:rPr>
        <w:t xml:space="preserve"> between morphological traits, ii.) </w:t>
      </w:r>
      <w:proofErr w:type="gramStart"/>
      <w:r w:rsidRPr="00374367">
        <w:rPr>
          <w:rFonts w:cs="Times New Roman"/>
        </w:rPr>
        <w:t>estimates</w:t>
      </w:r>
      <w:proofErr w:type="gramEnd"/>
      <w:r w:rsidRPr="00374367">
        <w:rPr>
          <w:rFonts w:cs="Times New Roman"/>
        </w:rPr>
        <w:t xml:space="preserve"> of general and specific combining ability (GCA, SCA) and heritability, and iii.) </w:t>
      </w:r>
      <w:proofErr w:type="gramStart"/>
      <w:r w:rsidRPr="00374367">
        <w:rPr>
          <w:rFonts w:cs="Times New Roman"/>
        </w:rPr>
        <w:t>rankings</w:t>
      </w:r>
      <w:proofErr w:type="gramEnd"/>
      <w:r w:rsidRPr="00374367">
        <w:rPr>
          <w:rFonts w:cs="Times New Roman"/>
        </w:rPr>
        <w:t xml:space="preserve"> among crosses. </w:t>
      </w:r>
    </w:p>
    <w:p w14:paraId="263D21A5" w14:textId="14308515" w:rsidR="00D46994" w:rsidRPr="00374367" w:rsidRDefault="00D46994" w:rsidP="00D46994">
      <w:pPr>
        <w:ind w:firstLine="720"/>
        <w:rPr>
          <w:rFonts w:cs="Times New Roman"/>
        </w:rPr>
      </w:pPr>
      <w:r w:rsidRPr="00374367">
        <w:rPr>
          <w:rFonts w:cs="Times New Roman"/>
        </w:rPr>
        <w:t xml:space="preserve">Eight parents selected from the varieties </w:t>
      </w:r>
      <w:r w:rsidR="0014339F">
        <w:rPr>
          <w:rFonts w:cs="Times New Roman"/>
        </w:rPr>
        <w:t>‘</w:t>
      </w:r>
      <w:r w:rsidRPr="002A32E7">
        <w:rPr>
          <w:rFonts w:cs="Times New Roman"/>
        </w:rPr>
        <w:t>Kanlow</w:t>
      </w:r>
      <w:r w:rsidR="0014339F">
        <w:rPr>
          <w:rFonts w:cs="Times New Roman"/>
        </w:rPr>
        <w:t>’</w:t>
      </w:r>
      <w:r w:rsidRPr="00374367">
        <w:rPr>
          <w:rFonts w:cs="Times New Roman"/>
        </w:rPr>
        <w:t xml:space="preserve"> (2 selections), </w:t>
      </w:r>
      <w:r w:rsidR="0014339F">
        <w:rPr>
          <w:rFonts w:cs="Times New Roman"/>
        </w:rPr>
        <w:t>‘</w:t>
      </w:r>
      <w:r w:rsidRPr="002A32E7">
        <w:rPr>
          <w:rFonts w:cs="Times New Roman"/>
        </w:rPr>
        <w:t>Alamo</w:t>
      </w:r>
      <w:r w:rsidR="0014339F">
        <w:rPr>
          <w:rFonts w:cs="Times New Roman"/>
        </w:rPr>
        <w:t>’</w:t>
      </w:r>
      <w:r w:rsidRPr="00374367">
        <w:rPr>
          <w:rFonts w:cs="Times New Roman"/>
        </w:rPr>
        <w:t xml:space="preserve"> (4 selections) and </w:t>
      </w:r>
      <w:r w:rsidR="0014339F">
        <w:rPr>
          <w:rFonts w:cs="Times New Roman"/>
        </w:rPr>
        <w:t>‘</w:t>
      </w:r>
      <w:r w:rsidRPr="002A32E7">
        <w:rPr>
          <w:rFonts w:cs="Times New Roman"/>
        </w:rPr>
        <w:t>Miami</w:t>
      </w:r>
      <w:r w:rsidR="0014339F">
        <w:rPr>
          <w:rFonts w:cs="Times New Roman"/>
        </w:rPr>
        <w:t>’</w:t>
      </w:r>
      <w:r w:rsidRPr="00374367">
        <w:rPr>
          <w:rFonts w:cs="Times New Roman"/>
        </w:rPr>
        <w:t xml:space="preserve"> (1 selection) were crossed in a complete diallel design. In 2012, </w:t>
      </w:r>
      <w:r>
        <w:rPr>
          <w:rFonts w:cs="Times New Roman"/>
        </w:rPr>
        <w:t>F1 populations</w:t>
      </w:r>
      <w:r w:rsidRPr="00374367">
        <w:rPr>
          <w:rFonts w:cs="Times New Roman"/>
        </w:rPr>
        <w:t xml:space="preserve"> were divided into two clonal propagules and planted in adjacent nurseries in Knoxville, TN. </w:t>
      </w:r>
      <w:r>
        <w:rPr>
          <w:rFonts w:cs="Times New Roman"/>
        </w:rPr>
        <w:t xml:space="preserve">Clonal propagules of each parent line were also placed in both nurseries. </w:t>
      </w:r>
      <w:r w:rsidRPr="00374367">
        <w:rPr>
          <w:rFonts w:cs="Times New Roman"/>
        </w:rPr>
        <w:t xml:space="preserve">Each nursery was arranged in a randomized complete block design containing twenty replications of each cross. The space-planted nursery (HSP) </w:t>
      </w:r>
      <w:r>
        <w:rPr>
          <w:rFonts w:cs="Times New Roman"/>
        </w:rPr>
        <w:t>consisted of</w:t>
      </w:r>
      <w:r w:rsidRPr="00374367">
        <w:rPr>
          <w:rFonts w:cs="Times New Roman"/>
        </w:rPr>
        <w:t xml:space="preserve"> single-plant plots on 1 m centers. The sward-planted nursery (HSW) </w:t>
      </w:r>
      <w:r>
        <w:rPr>
          <w:rFonts w:cs="Times New Roman"/>
        </w:rPr>
        <w:t>consisted of</w:t>
      </w:r>
      <w:r w:rsidRPr="00374367">
        <w:rPr>
          <w:rFonts w:cs="Times New Roman"/>
        </w:rPr>
        <w:t xml:space="preserve"> plots of 4x7 plants on </w:t>
      </w:r>
      <w:r w:rsidR="0014339F">
        <w:rPr>
          <w:rFonts w:cs="Times New Roman"/>
        </w:rPr>
        <w:t>0</w:t>
      </w:r>
      <w:r w:rsidRPr="00374367">
        <w:rPr>
          <w:rFonts w:cs="Times New Roman"/>
        </w:rPr>
        <w:t xml:space="preserve">.33 m centers with 1 m alleys. Spring evaluations (2013) included height, tiller number, tiller diameter, </w:t>
      </w:r>
      <w:r w:rsidR="00B8390A">
        <w:rPr>
          <w:rFonts w:cs="Times New Roman"/>
        </w:rPr>
        <w:t>leaf width</w:t>
      </w:r>
      <w:r w:rsidRPr="00374367">
        <w:rPr>
          <w:rFonts w:cs="Times New Roman"/>
        </w:rPr>
        <w:t xml:space="preserve">, leaf angle, and </w:t>
      </w:r>
      <w:r>
        <w:rPr>
          <w:rFonts w:cs="Times New Roman"/>
        </w:rPr>
        <w:t>plant color</w:t>
      </w:r>
      <w:r w:rsidRPr="00374367">
        <w:rPr>
          <w:rFonts w:cs="Times New Roman"/>
        </w:rPr>
        <w:t xml:space="preserve">. Fall evaluations (2012, 2013) included </w:t>
      </w:r>
      <w:r>
        <w:rPr>
          <w:rFonts w:cs="Times New Roman"/>
        </w:rPr>
        <w:t>rust severity</w:t>
      </w:r>
      <w:r w:rsidRPr="00374367">
        <w:rPr>
          <w:rFonts w:cs="Times New Roman"/>
        </w:rPr>
        <w:t xml:space="preserve">, height and biomass yield. </w:t>
      </w:r>
      <w:r>
        <w:rPr>
          <w:rFonts w:cs="Times New Roman"/>
        </w:rPr>
        <w:t>Predicted ethanol yield</w:t>
      </w:r>
      <w:r w:rsidRPr="00374367">
        <w:rPr>
          <w:rFonts w:cs="Times New Roman"/>
        </w:rPr>
        <w:t xml:space="preserve"> (2013) was evaluated using NIR. Data were analyzed in SAS. </w:t>
      </w:r>
    </w:p>
    <w:p w14:paraId="12406DDE" w14:textId="77777777" w:rsidR="00D46994" w:rsidRDefault="00D46994" w:rsidP="00FE774E">
      <w:pPr>
        <w:ind w:firstLine="720"/>
        <w:rPr>
          <w:rFonts w:eastAsiaTheme="minorHAnsi"/>
        </w:rPr>
      </w:pPr>
    </w:p>
    <w:p w14:paraId="4CC39698" w14:textId="54DBE7BB" w:rsidR="00FE774E" w:rsidRDefault="00FE774E" w:rsidP="00FE774E">
      <w:pPr>
        <w:ind w:firstLine="720"/>
        <w:rPr>
          <w:rFonts w:eastAsiaTheme="minorHAnsi"/>
        </w:rPr>
      </w:pPr>
      <w:r>
        <w:rPr>
          <w:rFonts w:eastAsiaTheme="minorHAnsi"/>
        </w:rPr>
        <w:lastRenderedPageBreak/>
        <w:t xml:space="preserve">Mean biomass yield and morphological traits correlated to biomass, including tiller number, tiller diameter, and </w:t>
      </w:r>
      <w:r w:rsidR="00B8390A">
        <w:rPr>
          <w:rFonts w:eastAsiaTheme="minorHAnsi"/>
        </w:rPr>
        <w:t>leaf width</w:t>
      </w:r>
      <w:r>
        <w:rPr>
          <w:rFonts w:eastAsiaTheme="minorHAnsi"/>
        </w:rPr>
        <w:t>, were lower in the sward planted nursery compared to the space planted nursery, likely due to the increased competition in the swards compared to space planted conditions</w:t>
      </w:r>
      <w:r w:rsidR="00954DB7">
        <w:rPr>
          <w:rFonts w:eastAsiaTheme="minorHAnsi"/>
        </w:rPr>
        <w:t xml:space="preserve">. </w:t>
      </w:r>
      <w:r>
        <w:rPr>
          <w:rFonts w:eastAsiaTheme="minorHAnsi"/>
        </w:rPr>
        <w:t xml:space="preserve">For biomass yield, in terms of ranking, three of the top four </w:t>
      </w:r>
      <w:r w:rsidR="00DB2487">
        <w:rPr>
          <w:rFonts w:eastAsiaTheme="minorHAnsi"/>
        </w:rPr>
        <w:t>F1 populations</w:t>
      </w:r>
      <w:r>
        <w:rPr>
          <w:rFonts w:eastAsiaTheme="minorHAnsi"/>
        </w:rPr>
        <w:t xml:space="preserve"> selected for mean biomass yield did not differ between nurseries in the establishment year, 2012. As plants increased in size and competition increased in the sward planted nursery, rankings differed to a larger extent, with three of the top four </w:t>
      </w:r>
      <w:r w:rsidR="00DB2487">
        <w:rPr>
          <w:rFonts w:eastAsiaTheme="minorHAnsi"/>
        </w:rPr>
        <w:t>F1 populations</w:t>
      </w:r>
      <w:r>
        <w:rPr>
          <w:rFonts w:eastAsiaTheme="minorHAnsi"/>
        </w:rPr>
        <w:t xml:space="preserve"> selected for biomass yield from the sward planted nursery corresponding to three of the lowest biomass yielding </w:t>
      </w:r>
      <w:r w:rsidR="00DB2487">
        <w:rPr>
          <w:rFonts w:eastAsiaTheme="minorHAnsi"/>
        </w:rPr>
        <w:t>F1 populations</w:t>
      </w:r>
      <w:r>
        <w:rPr>
          <w:rFonts w:eastAsiaTheme="minorHAnsi"/>
        </w:rPr>
        <w:t xml:space="preserve"> in the space planted nursery. Mean </w:t>
      </w:r>
      <w:r w:rsidR="0095454C">
        <w:rPr>
          <w:rFonts w:eastAsiaTheme="minorHAnsi"/>
        </w:rPr>
        <w:t>predicted ethanol yield</w:t>
      </w:r>
      <w:r>
        <w:rPr>
          <w:rFonts w:eastAsiaTheme="minorHAnsi"/>
        </w:rPr>
        <w:t xml:space="preserve"> also differed significantly between space and sward planted nurseries; however, rankings were more similar between the two nurseries. These results indicate that as competition increases, performance and ranking for biomass yield will likely differ between space planted evaluation conditions and actual production conditions. This could result in selection of plants that have superior performance under space planted evaluation conditions, but which do poorly under production conditions. Since switchgrass takes three years to reach maximum yields, a third year of evaluation would help to better evaluate these results. Performance and ranking of </w:t>
      </w:r>
      <w:r w:rsidR="0095454C">
        <w:rPr>
          <w:rFonts w:eastAsiaTheme="minorHAnsi"/>
        </w:rPr>
        <w:t>predicted ethanol yield</w:t>
      </w:r>
      <w:r>
        <w:rPr>
          <w:rFonts w:eastAsiaTheme="minorHAnsi"/>
        </w:rPr>
        <w:t xml:space="preserve"> for </w:t>
      </w:r>
      <w:r w:rsidR="00DB2487">
        <w:rPr>
          <w:rFonts w:eastAsiaTheme="minorHAnsi"/>
        </w:rPr>
        <w:t>F1 populations</w:t>
      </w:r>
      <w:r>
        <w:rPr>
          <w:rFonts w:eastAsiaTheme="minorHAnsi"/>
        </w:rPr>
        <w:t xml:space="preserve"> were similar across both nurseries, indicating this trait may be evaluated under either condition; however, this could be due to a lack of variability in </w:t>
      </w:r>
      <w:r w:rsidR="0095454C">
        <w:rPr>
          <w:rFonts w:eastAsiaTheme="minorHAnsi"/>
        </w:rPr>
        <w:t>predicted ethanol yield</w:t>
      </w:r>
      <w:r>
        <w:rPr>
          <w:rFonts w:eastAsiaTheme="minorHAnsi"/>
        </w:rPr>
        <w:t xml:space="preserve"> within the populations examined. </w:t>
      </w:r>
    </w:p>
    <w:p w14:paraId="067520DC" w14:textId="54EF8A8D" w:rsidR="00FE774E" w:rsidRDefault="00FE774E" w:rsidP="00FE774E">
      <w:pPr>
        <w:ind w:firstLine="720"/>
        <w:rPr>
          <w:rFonts w:eastAsiaTheme="minorHAnsi"/>
        </w:rPr>
      </w:pPr>
      <w:r>
        <w:rPr>
          <w:rFonts w:eastAsiaTheme="minorHAnsi"/>
        </w:rPr>
        <w:t>Correlations of evaluated traits between space and sward planted nurseries were moderate to high, ranging from r = 0.39 to r = 0.72</w:t>
      </w:r>
      <w:r w:rsidR="00954DB7">
        <w:rPr>
          <w:rFonts w:eastAsiaTheme="minorHAnsi"/>
        </w:rPr>
        <w:t xml:space="preserve">. </w:t>
      </w:r>
      <w:r w:rsidR="0095454C">
        <w:rPr>
          <w:rFonts w:eastAsiaTheme="minorHAnsi"/>
        </w:rPr>
        <w:t>Predicted ethanol yield</w:t>
      </w:r>
      <w:r>
        <w:rPr>
          <w:rFonts w:eastAsiaTheme="minorHAnsi"/>
        </w:rPr>
        <w:t xml:space="preserve"> showed a consistently high </w:t>
      </w:r>
      <w:r w:rsidRPr="00564EA9">
        <w:rPr>
          <w:rFonts w:eastAsiaTheme="minorHAnsi"/>
        </w:rPr>
        <w:t>correlation</w:t>
      </w:r>
      <w:r>
        <w:rPr>
          <w:rFonts w:eastAsiaTheme="minorHAnsi"/>
        </w:rPr>
        <w:t xml:space="preserve"> between the two nurseries in both 2012 (r = 0.71) and in 2013 (r = 0.72). Biomass yield had a moderately high</w:t>
      </w:r>
      <w:r w:rsidR="002A32E7">
        <w:rPr>
          <w:rFonts w:eastAsiaTheme="minorHAnsi"/>
        </w:rPr>
        <w:t xml:space="preserve"> correlation in 2012 (r = 0.58),</w:t>
      </w:r>
      <w:r>
        <w:rPr>
          <w:rFonts w:eastAsiaTheme="minorHAnsi"/>
        </w:rPr>
        <w:t xml:space="preserve"> however, that correlation decreased in </w:t>
      </w:r>
      <w:r w:rsidR="00564EA9">
        <w:rPr>
          <w:rFonts w:eastAsiaTheme="minorHAnsi"/>
        </w:rPr>
        <w:lastRenderedPageBreak/>
        <w:t>2013 (r</w:t>
      </w:r>
      <w:r>
        <w:rPr>
          <w:rFonts w:eastAsiaTheme="minorHAnsi"/>
        </w:rPr>
        <w:t xml:space="preserve"> = 0.39), likely due to the increasing difference in competition between the two nurseries. Of the traits evaluated in both nurseries, including tiller diameter, tiller number, and </w:t>
      </w:r>
      <w:r w:rsidR="00B8390A">
        <w:rPr>
          <w:rFonts w:eastAsiaTheme="minorHAnsi"/>
        </w:rPr>
        <w:t>leaf width</w:t>
      </w:r>
      <w:r>
        <w:rPr>
          <w:rFonts w:eastAsiaTheme="minorHAnsi"/>
        </w:rPr>
        <w:t xml:space="preserve">, correlations of these traits to biomass yield and to </w:t>
      </w:r>
      <w:r w:rsidR="0095454C">
        <w:rPr>
          <w:rFonts w:eastAsiaTheme="minorHAnsi"/>
        </w:rPr>
        <w:t>predicted ethanol yield</w:t>
      </w:r>
      <w:r>
        <w:rPr>
          <w:rFonts w:eastAsiaTheme="minorHAnsi"/>
        </w:rPr>
        <w:t xml:space="preserve"> were similar, although correlations tended to be lower in sward p</w:t>
      </w:r>
      <w:r w:rsidR="0014339F">
        <w:rPr>
          <w:rFonts w:eastAsiaTheme="minorHAnsi"/>
        </w:rPr>
        <w:t>lanted evaluations. Correlation</w:t>
      </w:r>
      <w:r>
        <w:rPr>
          <w:rFonts w:eastAsiaTheme="minorHAnsi"/>
        </w:rPr>
        <w:t xml:space="preserve"> coefficients of evaluated traits to biomass yield were similar to those observed in other studies of lowland switchgrass, indicating these traits are useful as indirect selectors fo</w:t>
      </w:r>
      <w:r w:rsidR="0014339F">
        <w:rPr>
          <w:rFonts w:eastAsiaTheme="minorHAnsi"/>
        </w:rPr>
        <w:t>r biomass yield. Significant c</w:t>
      </w:r>
      <w:r>
        <w:rPr>
          <w:rFonts w:eastAsiaTheme="minorHAnsi"/>
        </w:rPr>
        <w:t xml:space="preserve">orrelations between evaluated traits and </w:t>
      </w:r>
      <w:r w:rsidR="0095454C">
        <w:rPr>
          <w:rFonts w:eastAsiaTheme="minorHAnsi"/>
        </w:rPr>
        <w:t>predicted ethanol yield</w:t>
      </w:r>
      <w:r>
        <w:rPr>
          <w:rFonts w:eastAsiaTheme="minorHAnsi"/>
        </w:rPr>
        <w:t xml:space="preserve"> were low to moderate and negative. This may indicate potential difficulties in breeding plants with high biomass yield and high </w:t>
      </w:r>
      <w:r w:rsidR="0095454C">
        <w:rPr>
          <w:rFonts w:eastAsiaTheme="minorHAnsi"/>
        </w:rPr>
        <w:t>predicted ethanol yield</w:t>
      </w:r>
      <w:r>
        <w:rPr>
          <w:rFonts w:eastAsiaTheme="minorHAnsi"/>
        </w:rPr>
        <w:t xml:space="preserve">. Because of the difficulty in accessing individual plants in the sward planted nursery, other potential traits of interest that were shown to be moderately to highly correlated with biomass yield in the space planted nursery, including fall height, spring height, and </w:t>
      </w:r>
      <w:r w:rsidR="00DA675F">
        <w:rPr>
          <w:rFonts w:eastAsiaTheme="minorHAnsi"/>
        </w:rPr>
        <w:t>canopy density</w:t>
      </w:r>
      <w:r>
        <w:rPr>
          <w:rFonts w:eastAsiaTheme="minorHAnsi"/>
        </w:rPr>
        <w:t xml:space="preserve">, could not be evaluated in the sward planted nursery. The inability to evaluate these traits and other important traits, such as disease susceptibility, are drawbacks to evaluations under sward planted conditions. </w:t>
      </w:r>
    </w:p>
    <w:p w14:paraId="567A5104" w14:textId="6A7905E8" w:rsidR="00FE774E" w:rsidRDefault="00FE774E" w:rsidP="00FE774E">
      <w:pPr>
        <w:ind w:firstLine="720"/>
        <w:rPr>
          <w:rFonts w:eastAsiaTheme="minorHAnsi"/>
        </w:rPr>
      </w:pPr>
      <w:r>
        <w:rPr>
          <w:rFonts w:eastAsiaTheme="minorHAnsi"/>
        </w:rPr>
        <w:t xml:space="preserve">Estimates of additive and dominance variance and narrow and broad sense heritability for biomass yield were similar between space and sward planted evaluations. However, space planted nurseries under-estimated additive variation in </w:t>
      </w:r>
      <w:r w:rsidR="0095454C">
        <w:rPr>
          <w:rFonts w:eastAsiaTheme="minorHAnsi"/>
        </w:rPr>
        <w:t>predicted ethanol yield</w:t>
      </w:r>
      <w:r>
        <w:rPr>
          <w:rFonts w:eastAsiaTheme="minorHAnsi"/>
        </w:rPr>
        <w:t xml:space="preserve">. For this reason, heritability values, both broad and narrow sense, were underestimated in space planted evaluations for </w:t>
      </w:r>
      <w:r w:rsidR="0095454C">
        <w:rPr>
          <w:rFonts w:eastAsiaTheme="minorHAnsi"/>
        </w:rPr>
        <w:t>predicted ethanol yield</w:t>
      </w:r>
      <w:r>
        <w:rPr>
          <w:rFonts w:eastAsiaTheme="minorHAnsi"/>
        </w:rPr>
        <w:t xml:space="preserve">. Under-estimation of additive variation when evaluating </w:t>
      </w:r>
      <w:r w:rsidR="0095454C">
        <w:rPr>
          <w:rFonts w:eastAsiaTheme="minorHAnsi"/>
        </w:rPr>
        <w:t>predicted ethanol yield</w:t>
      </w:r>
      <w:r>
        <w:rPr>
          <w:rFonts w:eastAsiaTheme="minorHAnsi"/>
        </w:rPr>
        <w:t xml:space="preserve"> in space planted nurseries could hurt breeding efforts by providing breeders with incorrect information when developing breeding methods for improving ethanol yield in switchgrass</w:t>
      </w:r>
      <w:r w:rsidR="00954DB7">
        <w:rPr>
          <w:rFonts w:eastAsiaTheme="minorHAnsi"/>
        </w:rPr>
        <w:t xml:space="preserve">. </w:t>
      </w:r>
    </w:p>
    <w:p w14:paraId="2D82F007" w14:textId="6E884CE0" w:rsidR="00FE774E" w:rsidRDefault="00FE774E" w:rsidP="00FE774E">
      <w:pPr>
        <w:ind w:firstLine="720"/>
        <w:rPr>
          <w:rFonts w:eastAsiaTheme="minorHAnsi"/>
        </w:rPr>
      </w:pPr>
      <w:r>
        <w:rPr>
          <w:rFonts w:eastAsiaTheme="minorHAnsi"/>
        </w:rPr>
        <w:lastRenderedPageBreak/>
        <w:t>General combining ability was not significant in either nursery or either year</w:t>
      </w:r>
      <w:r w:rsidR="00954DB7">
        <w:rPr>
          <w:rFonts w:eastAsiaTheme="minorHAnsi"/>
        </w:rPr>
        <w:t xml:space="preserve">. </w:t>
      </w:r>
      <w:r>
        <w:rPr>
          <w:rFonts w:eastAsiaTheme="minorHAnsi"/>
        </w:rPr>
        <w:t xml:space="preserve">Specific combining ability was significant for biomass yield in the sward planted nursery and for </w:t>
      </w:r>
      <w:r w:rsidR="0095454C">
        <w:rPr>
          <w:rFonts w:eastAsiaTheme="minorHAnsi"/>
        </w:rPr>
        <w:t>predicted ethanol yield</w:t>
      </w:r>
      <w:r>
        <w:rPr>
          <w:rFonts w:eastAsiaTheme="minorHAnsi"/>
        </w:rPr>
        <w:t xml:space="preserve"> in the space planted nursery. General combining ability of space planted </w:t>
      </w:r>
      <w:r w:rsidR="00DB2487">
        <w:rPr>
          <w:rFonts w:eastAsiaTheme="minorHAnsi"/>
        </w:rPr>
        <w:t>F1 populations</w:t>
      </w:r>
      <w:r>
        <w:rPr>
          <w:rFonts w:eastAsiaTheme="minorHAnsi"/>
        </w:rPr>
        <w:t xml:space="preserve"> were consistent in terms of direction across both years, with exception to the progeny line M. The sward planted </w:t>
      </w:r>
      <w:r w:rsidR="00DB2487">
        <w:rPr>
          <w:rFonts w:eastAsiaTheme="minorHAnsi"/>
        </w:rPr>
        <w:t>F1 populations</w:t>
      </w:r>
      <w:r>
        <w:rPr>
          <w:rFonts w:eastAsiaTheme="minorHAnsi"/>
        </w:rPr>
        <w:t xml:space="preserve"> did not exhibit any var</w:t>
      </w:r>
      <w:r w:rsidR="002A32E7">
        <w:rPr>
          <w:rFonts w:eastAsiaTheme="minorHAnsi"/>
        </w:rPr>
        <w:t>iation in GCA in the first year;</w:t>
      </w:r>
      <w:r>
        <w:rPr>
          <w:rFonts w:eastAsiaTheme="minorHAnsi"/>
        </w:rPr>
        <w:t xml:space="preserve"> however, in the second year </w:t>
      </w:r>
      <w:r w:rsidR="00DB2487">
        <w:rPr>
          <w:rFonts w:eastAsiaTheme="minorHAnsi"/>
        </w:rPr>
        <w:t>F1 populations</w:t>
      </w:r>
      <w:r>
        <w:rPr>
          <w:rFonts w:eastAsiaTheme="minorHAnsi"/>
        </w:rPr>
        <w:t xml:space="preserve"> with positive GCA values were </w:t>
      </w:r>
      <w:r w:rsidR="00DB2487">
        <w:rPr>
          <w:rFonts w:eastAsiaTheme="minorHAnsi"/>
        </w:rPr>
        <w:t>F1 populations</w:t>
      </w:r>
      <w:r>
        <w:rPr>
          <w:rFonts w:eastAsiaTheme="minorHAnsi"/>
        </w:rPr>
        <w:t xml:space="preserve"> that had negative GCA values in the space planted nursery. These results indicate the high biomass yielding lines selected from a space planted nursery </w:t>
      </w:r>
      <w:r w:rsidR="00192790">
        <w:rPr>
          <w:rFonts w:eastAsiaTheme="minorHAnsi"/>
        </w:rPr>
        <w:t>may</w:t>
      </w:r>
      <w:r>
        <w:rPr>
          <w:rFonts w:eastAsiaTheme="minorHAnsi"/>
        </w:rPr>
        <w:t xml:space="preserve"> not </w:t>
      </w:r>
      <w:r w:rsidR="00192790">
        <w:rPr>
          <w:rFonts w:eastAsiaTheme="minorHAnsi"/>
        </w:rPr>
        <w:t>be the</w:t>
      </w:r>
      <w:r>
        <w:rPr>
          <w:rFonts w:eastAsiaTheme="minorHAnsi"/>
        </w:rPr>
        <w:t xml:space="preserve"> same as those that would produce the highest biomass under production conditions.</w:t>
      </w:r>
      <w:r w:rsidR="002A32E7">
        <w:rPr>
          <w:rFonts w:eastAsiaTheme="minorHAnsi"/>
        </w:rPr>
        <w:t xml:space="preserve"> S</w:t>
      </w:r>
      <w:r w:rsidR="00192790">
        <w:rPr>
          <w:rFonts w:eastAsiaTheme="minorHAnsi"/>
        </w:rPr>
        <w:t xml:space="preserve">ince GCA values were not significantly different from zero, further analysis would be required to better clarify this. </w:t>
      </w:r>
      <w:r>
        <w:rPr>
          <w:rFonts w:eastAsiaTheme="minorHAnsi"/>
        </w:rPr>
        <w:t xml:space="preserve">Ethanol GCA values for the space planted nursery tended to vary more across years compared to sward planted values. Two out of four </w:t>
      </w:r>
      <w:r w:rsidR="00DB2487">
        <w:rPr>
          <w:rFonts w:eastAsiaTheme="minorHAnsi"/>
        </w:rPr>
        <w:t>F1 populations</w:t>
      </w:r>
      <w:r>
        <w:rPr>
          <w:rFonts w:eastAsiaTheme="minorHAnsi"/>
        </w:rPr>
        <w:t xml:space="preserve"> had positive GCA values in both nurseries. As with biomass yield, this could indicate a possible hindrance in cultivar improvement as some </w:t>
      </w:r>
      <w:r w:rsidR="002A32E7">
        <w:rPr>
          <w:rFonts w:eastAsiaTheme="minorHAnsi"/>
        </w:rPr>
        <w:t xml:space="preserve">of the </w:t>
      </w:r>
      <w:r w:rsidR="00DB2487">
        <w:rPr>
          <w:rFonts w:eastAsiaTheme="minorHAnsi"/>
        </w:rPr>
        <w:t>F1 populations</w:t>
      </w:r>
      <w:r>
        <w:rPr>
          <w:rFonts w:eastAsiaTheme="minorHAnsi"/>
        </w:rPr>
        <w:t xml:space="preserve"> </w:t>
      </w:r>
      <w:r w:rsidR="002A32E7">
        <w:rPr>
          <w:rFonts w:eastAsiaTheme="minorHAnsi"/>
        </w:rPr>
        <w:t>that had</w:t>
      </w:r>
      <w:r>
        <w:rPr>
          <w:rFonts w:eastAsiaTheme="minorHAnsi"/>
        </w:rPr>
        <w:t xml:space="preserve"> positive GCA values under simulated production conditions were rejected in the space planted evaluation, while other lines that had negative GCA values under simulated production conditions were selected as superior in the space planted evaluation. Specific combining ability also showed variation in direction between the space and sward planted evaluations. Although SCA selections appear to be more consistent across years within the space planted nurseries, these results, along with the results observed for direction of GCA effects, indicate the selections identified as high yielding for biomass yield in the space planted nurseries may not be the highest yielding selections under production conditions</w:t>
      </w:r>
      <w:r w:rsidR="00954DB7">
        <w:rPr>
          <w:rFonts w:eastAsiaTheme="minorHAnsi"/>
        </w:rPr>
        <w:t xml:space="preserve">. </w:t>
      </w:r>
    </w:p>
    <w:p w14:paraId="133F13C3" w14:textId="04827E18" w:rsidR="00FE774E" w:rsidRDefault="00FE774E" w:rsidP="00FE774E">
      <w:pPr>
        <w:rPr>
          <w:rFonts w:eastAsiaTheme="minorHAnsi"/>
        </w:rPr>
      </w:pPr>
      <w:r>
        <w:rPr>
          <w:rFonts w:eastAsiaTheme="minorHAnsi"/>
        </w:rPr>
        <w:tab/>
        <w:t xml:space="preserve">Space planted nurseries also identified maternal effects and heterosis for </w:t>
      </w:r>
      <w:r w:rsidR="0095454C">
        <w:rPr>
          <w:rFonts w:eastAsiaTheme="minorHAnsi"/>
        </w:rPr>
        <w:t>predicted ethanol yield</w:t>
      </w:r>
      <w:r>
        <w:rPr>
          <w:rFonts w:eastAsiaTheme="minorHAnsi"/>
        </w:rPr>
        <w:t xml:space="preserve">, which </w:t>
      </w:r>
      <w:r w:rsidR="002A32E7">
        <w:rPr>
          <w:rFonts w:eastAsiaTheme="minorHAnsi"/>
        </w:rPr>
        <w:t>was not identified</w:t>
      </w:r>
      <w:r>
        <w:rPr>
          <w:rFonts w:eastAsiaTheme="minorHAnsi"/>
        </w:rPr>
        <w:t xml:space="preserve"> in sward planted nurseries, and </w:t>
      </w:r>
      <w:r w:rsidR="002A32E7">
        <w:rPr>
          <w:rFonts w:eastAsiaTheme="minorHAnsi"/>
        </w:rPr>
        <w:t xml:space="preserve">also </w:t>
      </w:r>
      <w:r>
        <w:rPr>
          <w:rFonts w:eastAsiaTheme="minorHAnsi"/>
        </w:rPr>
        <w:t xml:space="preserve">identified a much </w:t>
      </w:r>
      <w:r>
        <w:rPr>
          <w:rFonts w:eastAsiaTheme="minorHAnsi"/>
        </w:rPr>
        <w:lastRenderedPageBreak/>
        <w:t>larger number of crosses exhibiting high parent heterosis for biomass yield compare</w:t>
      </w:r>
      <w:r w:rsidR="002A32E7">
        <w:rPr>
          <w:rFonts w:eastAsiaTheme="minorHAnsi"/>
        </w:rPr>
        <w:t>d</w:t>
      </w:r>
      <w:r>
        <w:rPr>
          <w:rFonts w:eastAsiaTheme="minorHAnsi"/>
        </w:rPr>
        <w:t xml:space="preserve"> </w:t>
      </w:r>
      <w:r w:rsidR="002A32E7">
        <w:rPr>
          <w:rFonts w:eastAsiaTheme="minorHAnsi"/>
        </w:rPr>
        <w:t>to</w:t>
      </w:r>
      <w:r>
        <w:rPr>
          <w:rFonts w:eastAsiaTheme="minorHAnsi"/>
        </w:rPr>
        <w:t xml:space="preserve"> the number of crosses identified in the sward planted nursery. These differences could cause problems when breeders try to exploit potential maternal effects and heterosis </w:t>
      </w:r>
      <w:r w:rsidR="002A32E7">
        <w:rPr>
          <w:rFonts w:eastAsiaTheme="minorHAnsi"/>
        </w:rPr>
        <w:t>as these</w:t>
      </w:r>
      <w:r>
        <w:rPr>
          <w:rFonts w:eastAsiaTheme="minorHAnsi"/>
        </w:rPr>
        <w:t xml:space="preserve"> may exist only under evaluations conditions and not under actual production conditions. </w:t>
      </w:r>
    </w:p>
    <w:p w14:paraId="75E5E3CC" w14:textId="014B38BB" w:rsidR="00FE774E" w:rsidRDefault="00FE774E" w:rsidP="00FE774E">
      <w:pPr>
        <w:rPr>
          <w:rFonts w:eastAsiaTheme="minorHAnsi"/>
        </w:rPr>
      </w:pPr>
      <w:r>
        <w:rPr>
          <w:rFonts w:eastAsiaTheme="minorHAnsi"/>
        </w:rPr>
        <w:tab/>
        <w:t>Finally, comparing selections under space planted evaluation conditions and simulated production, or sward planted</w:t>
      </w:r>
      <w:r w:rsidR="002A32E7">
        <w:rPr>
          <w:rFonts w:eastAsiaTheme="minorHAnsi"/>
        </w:rPr>
        <w:t>,</w:t>
      </w:r>
      <w:r w:rsidR="0014339F">
        <w:rPr>
          <w:rFonts w:eastAsiaTheme="minorHAnsi"/>
        </w:rPr>
        <w:t xml:space="preserve"> conditions</w:t>
      </w:r>
      <w:r>
        <w:rPr>
          <w:rFonts w:eastAsiaTheme="minorHAnsi"/>
        </w:rPr>
        <w:t xml:space="preserve"> identifies a possible loss in potential biomass yield gained through selection. Selections did not differ for mean predicted production biomass yield between 2013 space planted selections, 2012 sward planted selections, and 2013 sward planted selections. These results indicate that, while selection of specific crosses or </w:t>
      </w:r>
      <w:r w:rsidR="00DB2487">
        <w:rPr>
          <w:rFonts w:eastAsiaTheme="minorHAnsi"/>
        </w:rPr>
        <w:t>F1 populations</w:t>
      </w:r>
      <w:r>
        <w:rPr>
          <w:rFonts w:eastAsiaTheme="minorHAnsi"/>
        </w:rPr>
        <w:t xml:space="preserve"> may differ between the two nurseries, the mean predicted production biomass yield does not differ. Thus, selection in second year evaluation nurseries for biomass yield or in first year selections from sward planted evaluation nurseries for biomass yield may be effective. While mean predicted production biomass yield did not differ significantly, selections from space planted nurseries could still result in loss of potential yield. Assuming a good stand of approximately one plant per 0.3 m</w:t>
      </w:r>
      <w:r>
        <w:rPr>
          <w:rFonts w:eastAsiaTheme="minorHAnsi"/>
          <w:vertAlign w:val="superscript"/>
        </w:rPr>
        <w:t>2</w:t>
      </w:r>
      <w:r>
        <w:rPr>
          <w:rFonts w:eastAsiaTheme="minorHAnsi"/>
        </w:rPr>
        <w:t>, compared to sward planted selections in the second year, 2013, losses would amount to 6,243 kg ha</w:t>
      </w:r>
      <w:r>
        <w:rPr>
          <w:rFonts w:eastAsiaTheme="minorHAnsi"/>
          <w:vertAlign w:val="superscript"/>
        </w:rPr>
        <w:t>-1</w:t>
      </w:r>
      <w:r>
        <w:rPr>
          <w:rFonts w:eastAsiaTheme="minorHAnsi"/>
        </w:rPr>
        <w:t xml:space="preserve"> in 2012 sward planted selections, 14,639 kg ha</w:t>
      </w:r>
      <w:r>
        <w:rPr>
          <w:rFonts w:eastAsiaTheme="minorHAnsi"/>
          <w:vertAlign w:val="superscript"/>
        </w:rPr>
        <w:t>-1</w:t>
      </w:r>
      <w:r>
        <w:rPr>
          <w:rFonts w:eastAsiaTheme="minorHAnsi"/>
        </w:rPr>
        <w:t xml:space="preserve"> in 2013 space planted selections, and 22,389 kg ha</w:t>
      </w:r>
      <w:r>
        <w:rPr>
          <w:rFonts w:eastAsiaTheme="minorHAnsi"/>
          <w:vertAlign w:val="superscript"/>
        </w:rPr>
        <w:t>-1</w:t>
      </w:r>
      <w:r>
        <w:rPr>
          <w:rFonts w:eastAsiaTheme="minorHAnsi"/>
        </w:rPr>
        <w:t xml:space="preserve"> in 2012 space planted selections. Such losses may be deemed too high by breeders trying to produce improved switchgrass cultivars and by producers trying to maximize biomass yield in production fields. Unlike biomass yield, </w:t>
      </w:r>
      <w:r w:rsidR="0095454C">
        <w:rPr>
          <w:rFonts w:eastAsiaTheme="minorHAnsi"/>
        </w:rPr>
        <w:t>predicted ethanol yield</w:t>
      </w:r>
      <w:r>
        <w:rPr>
          <w:rFonts w:eastAsiaTheme="minorHAnsi"/>
        </w:rPr>
        <w:t xml:space="preserve"> selections did not differ significantly by nursery or by year indicating early selection and selection under either condition would be effective</w:t>
      </w:r>
      <w:r w:rsidR="00954DB7">
        <w:rPr>
          <w:rFonts w:eastAsiaTheme="minorHAnsi"/>
        </w:rPr>
        <w:t xml:space="preserve">. </w:t>
      </w:r>
      <w:r>
        <w:rPr>
          <w:rFonts w:eastAsiaTheme="minorHAnsi"/>
        </w:rPr>
        <w:t xml:space="preserve"> </w:t>
      </w:r>
    </w:p>
    <w:p w14:paraId="0F60FFA6" w14:textId="77777777" w:rsidR="00D46994" w:rsidRDefault="00FE774E" w:rsidP="00D46994">
      <w:pPr>
        <w:ind w:firstLine="720"/>
        <w:rPr>
          <w:rFonts w:eastAsiaTheme="minorHAnsi"/>
        </w:rPr>
        <w:sectPr w:rsidR="00D46994" w:rsidSect="00D46994">
          <w:pgSz w:w="12240" w:h="15840"/>
          <w:pgMar w:top="1440" w:right="1440" w:bottom="1440" w:left="1440" w:header="720" w:footer="720" w:gutter="0"/>
          <w:cols w:space="720"/>
          <w:docGrid w:linePitch="360"/>
        </w:sectPr>
      </w:pPr>
      <w:r>
        <w:rPr>
          <w:rFonts w:eastAsiaTheme="minorHAnsi"/>
        </w:rPr>
        <w:t xml:space="preserve">  </w:t>
      </w:r>
      <w:r w:rsidR="00D46994">
        <w:rPr>
          <w:rFonts w:eastAsiaTheme="minorHAnsi"/>
        </w:rPr>
        <w:t xml:space="preserve">Overall, results from this study suggest evaluation under simulated production, or sward, conditions differ from evaluation under space planted conditions for estimates of mean </w:t>
      </w:r>
      <w:r w:rsidR="00D46994">
        <w:rPr>
          <w:rFonts w:eastAsiaTheme="minorHAnsi"/>
        </w:rPr>
        <w:lastRenderedPageBreak/>
        <w:t>production performance and characterization of morphological traits, estimates of genetic parameters, identification of high GCA and SCA in populations, and identification of potential maternal effects or high parent heterosis. If sward conditions are more representative of potential production conditions, evaluation under space planted conditions could lead to inaccurate assessment of plant performance, parental line and F1 population selection, and estimation of genetic parameters. In terms of selection, mean predicted production biomass yield and predicted ethanol yield did not differ significantly in selections from second year space planted populations from either first year or second year sward planted populations. This indicates selection under these conditions may be as effective at improving both biomass and predicted ethanol yield as selection under sward planted conditions. Although these means did not differ, less than 18% of selections for biomass yield and only 44% of selections for predicted ethanol yield were the same between the space and sward planted nurseries. If sward conditions are more representative of how plants will perform under production conditions, evaluations under space planted conditions could cause breeders to discard potentially valuable material. Correlations between space and sward planted nurseries were significant and ranged from moderate to high, however, additional traits that can serve as indirect selector for yield were more easily assessed under space planted conditions, including height and canopy density. Although no significant difference was seen in the mean predicted production biomass yield in space planted selections in the second year, selection under these conditions did result in lower mean predicted production biomass yield of approximately 14,639 kg ha</w:t>
      </w:r>
      <w:r w:rsidR="00D46994">
        <w:rPr>
          <w:rFonts w:eastAsiaTheme="minorHAnsi"/>
          <w:vertAlign w:val="superscript"/>
        </w:rPr>
        <w:t>-1</w:t>
      </w:r>
      <w:r w:rsidR="00D46994">
        <w:rPr>
          <w:rFonts w:eastAsiaTheme="minorHAnsi"/>
        </w:rPr>
        <w:t>. The extent of these losses may not be something breeders or producers will tolerate.</w:t>
      </w:r>
    </w:p>
    <w:p w14:paraId="173C4492" w14:textId="77777777" w:rsidR="00FE774E" w:rsidRPr="00FE774E" w:rsidRDefault="00FE774E" w:rsidP="00D46994">
      <w:pPr>
        <w:rPr>
          <w:rFonts w:eastAsiaTheme="minorHAnsi"/>
        </w:rPr>
      </w:pPr>
    </w:p>
    <w:p w14:paraId="7E1F5087" w14:textId="77777777" w:rsidR="0099190A" w:rsidRDefault="0099190A">
      <w:pPr>
        <w:spacing w:line="240" w:lineRule="auto"/>
        <w:rPr>
          <w:b/>
          <w:bCs/>
          <w:caps/>
          <w:sz w:val="28"/>
        </w:rPr>
      </w:pPr>
    </w:p>
    <w:p w14:paraId="3AD832E4" w14:textId="75252622" w:rsidR="00FE774E" w:rsidRDefault="00D77796" w:rsidP="00E7669F">
      <w:pPr>
        <w:pStyle w:val="Heading1"/>
      </w:pPr>
      <w:bookmarkStart w:id="115" w:name="_Toc404069869"/>
      <w:r>
        <w:t>REFERENCES</w:t>
      </w:r>
      <w:bookmarkEnd w:id="115"/>
    </w:p>
    <w:p w14:paraId="140C0CD7" w14:textId="552A75A1" w:rsidR="00F57B43" w:rsidRPr="004466E9" w:rsidRDefault="00FE774E" w:rsidP="004466E9">
      <w:pPr>
        <w:spacing w:line="240" w:lineRule="auto"/>
        <w:rPr>
          <w:b/>
          <w:bCs/>
          <w:caps/>
          <w:sz w:val="28"/>
        </w:rPr>
      </w:pPr>
      <w:r>
        <w:br w:type="page"/>
      </w:r>
    </w:p>
    <w:p w14:paraId="316A1BFF" w14:textId="77777777" w:rsidR="00FB5014" w:rsidRPr="00FB5014" w:rsidRDefault="00301182" w:rsidP="00FB5014">
      <w:pPr>
        <w:pStyle w:val="EndNoteBibliography"/>
        <w:ind w:left="720" w:hanging="720"/>
      </w:pPr>
      <w:r>
        <w:lastRenderedPageBreak/>
        <w:fldChar w:fldCharType="begin"/>
      </w:r>
      <w:r w:rsidR="00F57B43">
        <w:instrText xml:space="preserve"> ADDIN EN.REFLIST </w:instrText>
      </w:r>
      <w:r>
        <w:fldChar w:fldCharType="separate"/>
      </w:r>
      <w:bookmarkStart w:id="116" w:name="_ENREF_1"/>
      <w:r w:rsidR="00FB5014" w:rsidRPr="00FB5014">
        <w:t>SAS 9.3 TS Level 1M2.  SAS Inst., Cary, NC.</w:t>
      </w:r>
      <w:bookmarkEnd w:id="116"/>
    </w:p>
    <w:p w14:paraId="54564A84" w14:textId="77777777" w:rsidR="00FB5014" w:rsidRPr="00FB5014" w:rsidRDefault="00FB5014" w:rsidP="00FB5014">
      <w:pPr>
        <w:pStyle w:val="EndNoteBibliography"/>
        <w:ind w:left="720" w:hanging="720"/>
      </w:pPr>
      <w:bookmarkStart w:id="117" w:name="_ENREF_2"/>
      <w:r w:rsidRPr="00FB5014">
        <w:t xml:space="preserve">Ahlgren, H.L., D.C. Smith and E.L. Nielsen. 1945. Behavior of various selections of Kentucky bluegrass, </w:t>
      </w:r>
      <w:r w:rsidRPr="00FB5014">
        <w:rPr>
          <w:i/>
        </w:rPr>
        <w:t>Poa pratensis</w:t>
      </w:r>
      <w:r w:rsidRPr="00FB5014">
        <w:t xml:space="preserve"> L. when grown as spaced plants and in mass seedings. Agron. J. 37: 268-281.</w:t>
      </w:r>
      <w:bookmarkEnd w:id="117"/>
    </w:p>
    <w:p w14:paraId="04CCB56B" w14:textId="77777777" w:rsidR="00FB5014" w:rsidRPr="00FB5014" w:rsidRDefault="00FB5014" w:rsidP="00FB5014">
      <w:pPr>
        <w:pStyle w:val="EndNoteBibliography"/>
        <w:ind w:left="720" w:hanging="720"/>
      </w:pPr>
      <w:bookmarkStart w:id="118" w:name="_ENREF_3"/>
      <w:r w:rsidRPr="00FB5014">
        <w:t>Anderson, W.F. and D.E. Akin. 2008. Structural and chemical properties of grass lignocelluloses related to conversion for biofuels. J. Ind. Microbiol. Biotechnol. 35: 355-366.</w:t>
      </w:r>
      <w:bookmarkEnd w:id="118"/>
    </w:p>
    <w:p w14:paraId="5471CD5F" w14:textId="77777777" w:rsidR="00FB5014" w:rsidRPr="00FB5014" w:rsidRDefault="00FB5014" w:rsidP="00FB5014">
      <w:pPr>
        <w:pStyle w:val="EndNoteBibliography"/>
        <w:ind w:left="720" w:hanging="720"/>
      </w:pPr>
      <w:bookmarkStart w:id="119" w:name="_ENREF_4"/>
      <w:r w:rsidRPr="00FB5014">
        <w:t>Annicchiarico, P. 2006. Prediction of indirect selection for seed and forage yield of lucerne based on evaluation under spaced planting. Plant Breed. 125: 641-643.</w:t>
      </w:r>
      <w:bookmarkEnd w:id="119"/>
    </w:p>
    <w:p w14:paraId="3F219345" w14:textId="77777777" w:rsidR="00FB5014" w:rsidRPr="00FB5014" w:rsidRDefault="00FB5014" w:rsidP="00FB5014">
      <w:pPr>
        <w:pStyle w:val="EndNoteBibliography"/>
        <w:ind w:left="720" w:hanging="720"/>
      </w:pPr>
      <w:bookmarkStart w:id="120" w:name="_ENREF_5"/>
      <w:r w:rsidRPr="00FB5014">
        <w:t>Arthur, J.C. 1934. Manual of rusts in United States and CanadaThe Science Press Printing Co., Lancaster, PA.</w:t>
      </w:r>
      <w:bookmarkEnd w:id="120"/>
    </w:p>
    <w:p w14:paraId="78124064" w14:textId="77777777" w:rsidR="00FB5014" w:rsidRPr="00FB5014" w:rsidRDefault="00FB5014" w:rsidP="00FB5014">
      <w:pPr>
        <w:pStyle w:val="EndNoteBibliography"/>
        <w:ind w:left="720" w:hanging="720"/>
      </w:pPr>
      <w:bookmarkStart w:id="121" w:name="_ENREF_6"/>
      <w:r w:rsidRPr="00FB5014">
        <w:t>Assay, K.H. and D.A. Johnson. 1997. Genotype by competition level interactions in crested wheatgrass (</w:t>
      </w:r>
      <w:r w:rsidRPr="00FB5014">
        <w:rPr>
          <w:i/>
        </w:rPr>
        <w:t>Agropyron desertorum Poaceae</w:t>
      </w:r>
      <w:r w:rsidRPr="00FB5014">
        <w:t>: Triticeae). . Int. J. Plant Sci. 158: 851-855.</w:t>
      </w:r>
      <w:bookmarkEnd w:id="121"/>
    </w:p>
    <w:p w14:paraId="6148365A" w14:textId="77777777" w:rsidR="00FB5014" w:rsidRPr="00FB5014" w:rsidRDefault="00FB5014" w:rsidP="00FB5014">
      <w:pPr>
        <w:pStyle w:val="EndNoteBibliography"/>
        <w:ind w:left="720" w:hanging="720"/>
      </w:pPr>
      <w:bookmarkStart w:id="122" w:name="_ENREF_7"/>
      <w:r w:rsidRPr="00FB5014">
        <w:t>Assay, K.H., D.A. Johnson and M.D. Rumbaugh. 1999. Genotype by competition level interactions in alfalfa (</w:t>
      </w:r>
      <w:r w:rsidRPr="00FB5014">
        <w:rPr>
          <w:i/>
        </w:rPr>
        <w:t xml:space="preserve">Medicago sativa </w:t>
      </w:r>
      <w:r w:rsidRPr="00FB5014">
        <w:t>L.). Int. J. Plant Sci. 160: 129-134.</w:t>
      </w:r>
      <w:bookmarkEnd w:id="122"/>
    </w:p>
    <w:p w14:paraId="59688D88" w14:textId="77777777" w:rsidR="00FB5014" w:rsidRPr="00FB5014" w:rsidRDefault="00FB5014" w:rsidP="00FB5014">
      <w:pPr>
        <w:pStyle w:val="EndNoteBibliography"/>
        <w:ind w:left="720" w:hanging="720"/>
      </w:pPr>
      <w:bookmarkStart w:id="123" w:name="_ENREF_8"/>
      <w:r w:rsidRPr="00FB5014">
        <w:t>Atwood, S.S. and R.J. Garber. 1942. The evaluation of individual plants of white clover for yielding ability in association with bluegrass. Agron. J. 34: 1-6.</w:t>
      </w:r>
      <w:bookmarkEnd w:id="123"/>
    </w:p>
    <w:p w14:paraId="420F8BEF" w14:textId="77777777" w:rsidR="00FB5014" w:rsidRPr="00FB5014" w:rsidRDefault="00FB5014" w:rsidP="00FB5014">
      <w:pPr>
        <w:pStyle w:val="EndNoteBibliography"/>
        <w:ind w:left="720" w:hanging="720"/>
      </w:pPr>
      <w:bookmarkStart w:id="124" w:name="_ENREF_9"/>
      <w:r w:rsidRPr="00FB5014">
        <w:t xml:space="preserve">Barnett, F.L. and R.F. Carver. 1967. Meiosis and pollen stainability in switchgrass, </w:t>
      </w:r>
      <w:r w:rsidRPr="00FB5014">
        <w:rPr>
          <w:i/>
        </w:rPr>
        <w:t>Panicum virgatum</w:t>
      </w:r>
      <w:r w:rsidRPr="00FB5014">
        <w:t xml:space="preserve"> L. . Crop Science 7: 301-304.</w:t>
      </w:r>
      <w:bookmarkEnd w:id="124"/>
    </w:p>
    <w:p w14:paraId="3F764C5D" w14:textId="77777777" w:rsidR="00FB5014" w:rsidRPr="00FB5014" w:rsidRDefault="00FB5014" w:rsidP="00FB5014">
      <w:pPr>
        <w:pStyle w:val="EndNoteBibliography"/>
        <w:ind w:left="720" w:hanging="720"/>
      </w:pPr>
      <w:bookmarkStart w:id="125" w:name="_ENREF_10"/>
      <w:r w:rsidRPr="00FB5014">
        <w:t>Bartnicki-Garcia, S. 1968. Cell wall chemistry, morphogenesis, and taxonomy of fungi. Annu. Rev. Microbiol. 22: 87-108.</w:t>
      </w:r>
      <w:bookmarkEnd w:id="125"/>
    </w:p>
    <w:p w14:paraId="76BC00C8" w14:textId="77777777" w:rsidR="00FB5014" w:rsidRPr="00FB5014" w:rsidRDefault="00FB5014" w:rsidP="00FB5014">
      <w:pPr>
        <w:pStyle w:val="EndNoteBibliography"/>
        <w:ind w:left="720" w:hanging="720"/>
      </w:pPr>
      <w:bookmarkStart w:id="126" w:name="_ENREF_11"/>
      <w:r w:rsidRPr="00FB5014">
        <w:t>Bhandari, H.S., M.C. Saha, V.A. Fasoula and J.H. Bouton. 2011. Estimation of genetic parameters for biomass yield in lowland switchgrass (</w:t>
      </w:r>
      <w:r w:rsidRPr="00FB5014">
        <w:rPr>
          <w:i/>
        </w:rPr>
        <w:t>Panicum virgatum</w:t>
      </w:r>
      <w:r w:rsidRPr="00FB5014">
        <w:t xml:space="preserve"> L.). Crop Sci. 51: 1525-1533.</w:t>
      </w:r>
      <w:bookmarkEnd w:id="126"/>
    </w:p>
    <w:p w14:paraId="4F72E6B4" w14:textId="77777777" w:rsidR="00FB5014" w:rsidRPr="00FB5014" w:rsidRDefault="00FB5014" w:rsidP="00FB5014">
      <w:pPr>
        <w:pStyle w:val="EndNoteBibliography"/>
        <w:ind w:left="720" w:hanging="720"/>
      </w:pPr>
      <w:bookmarkStart w:id="127" w:name="_ENREF_12"/>
      <w:r w:rsidRPr="00FB5014">
        <w:lastRenderedPageBreak/>
        <w:t>Bhandari, H.S., M.C. Saha, P.N. Mascia, V.A. Fasoula and J.H. Bouton. 2010. Variation among half-sib families and heritability for biomass yield and other traits in lowland switchgrass (</w:t>
      </w:r>
      <w:r w:rsidRPr="00FB5014">
        <w:rPr>
          <w:i/>
        </w:rPr>
        <w:t>Panicum virgatum</w:t>
      </w:r>
      <w:r w:rsidRPr="00FB5014">
        <w:t xml:space="preserve"> L.). Crop Sci. 50: 2355-2363.</w:t>
      </w:r>
      <w:bookmarkEnd w:id="127"/>
    </w:p>
    <w:p w14:paraId="2F79B667" w14:textId="77777777" w:rsidR="00FB5014" w:rsidRPr="00FB5014" w:rsidRDefault="00FB5014" w:rsidP="00FB5014">
      <w:pPr>
        <w:pStyle w:val="EndNoteBibliography"/>
        <w:ind w:left="720" w:hanging="720"/>
      </w:pPr>
      <w:bookmarkStart w:id="128" w:name="_ENREF_13"/>
      <w:r w:rsidRPr="00FB5014">
        <w:t>Bhandari, H.S., S.L. Webb, J.H. Bouton and M.C. Saha. 2014. Reciprocal effects for biomass yield in lowland switchgrass. Crop Sci. 54: 955-962.</w:t>
      </w:r>
      <w:bookmarkEnd w:id="128"/>
    </w:p>
    <w:p w14:paraId="5DD16C85" w14:textId="77777777" w:rsidR="00FB5014" w:rsidRPr="00FB5014" w:rsidRDefault="00FB5014" w:rsidP="00FB5014">
      <w:pPr>
        <w:pStyle w:val="EndNoteBibliography"/>
        <w:ind w:left="720" w:hanging="720"/>
      </w:pPr>
      <w:bookmarkStart w:id="129" w:name="_ENREF_14"/>
      <w:r w:rsidRPr="00FB5014">
        <w:t>Boe, A. 2007. Variation between two switchgrass cultivars for components of vegetative and seed biomass. Crop Sci. 47: 636-642.</w:t>
      </w:r>
      <w:bookmarkEnd w:id="129"/>
    </w:p>
    <w:p w14:paraId="31BAB754" w14:textId="77777777" w:rsidR="00FB5014" w:rsidRPr="00FB5014" w:rsidRDefault="00FB5014" w:rsidP="00FB5014">
      <w:pPr>
        <w:pStyle w:val="EndNoteBibliography"/>
        <w:ind w:left="720" w:hanging="720"/>
      </w:pPr>
      <w:bookmarkStart w:id="130" w:name="_ENREF_15"/>
      <w:r w:rsidRPr="00FB5014">
        <w:t>Brummer, E.C. 1999. Capturing heterosis in forage crop cultivar development. Crop Sci. 39: 943-954.</w:t>
      </w:r>
      <w:bookmarkEnd w:id="130"/>
    </w:p>
    <w:p w14:paraId="59D4B865" w14:textId="77777777" w:rsidR="00FB5014" w:rsidRPr="00FB5014" w:rsidRDefault="00FB5014" w:rsidP="00FB5014">
      <w:pPr>
        <w:pStyle w:val="EndNoteBibliography"/>
        <w:ind w:left="720" w:hanging="720"/>
      </w:pPr>
      <w:bookmarkStart w:id="131" w:name="_ENREF_16"/>
      <w:r w:rsidRPr="00FB5014">
        <w:t xml:space="preserve">Brunken, J.N. and J.R. Estes. 1975. Cytological and morphological variation in </w:t>
      </w:r>
      <w:r w:rsidRPr="00FB5014">
        <w:rPr>
          <w:i/>
        </w:rPr>
        <w:t>Panicum virgatum</w:t>
      </w:r>
      <w:r w:rsidRPr="00FB5014">
        <w:t xml:space="preserve"> L. Southwest Nat. 19: 379-385.</w:t>
      </w:r>
      <w:bookmarkEnd w:id="131"/>
    </w:p>
    <w:p w14:paraId="2B794101" w14:textId="77777777" w:rsidR="00FB5014" w:rsidRPr="00FB5014" w:rsidRDefault="00FB5014" w:rsidP="00FB5014">
      <w:pPr>
        <w:pStyle w:val="EndNoteBibliography"/>
        <w:ind w:left="720" w:hanging="720"/>
      </w:pPr>
      <w:bookmarkStart w:id="132" w:name="_ENREF_17"/>
      <w:r w:rsidRPr="00FB5014">
        <w:t>Butkute, B., N. Lemeziene, J. Ceseviciene, Z. Liatukas and G. Dabkeviciene. 2013. Carbohydrate and lignin partitioning in switchgrass (</w:t>
      </w:r>
      <w:r w:rsidRPr="00FB5014">
        <w:rPr>
          <w:i/>
        </w:rPr>
        <w:t>Panicum virgatum</w:t>
      </w:r>
      <w:r w:rsidRPr="00FB5014">
        <w:t xml:space="preserve"> L.) biomass as a bioenergy feedstock. Zemdirbyste-Agriculture 100: 251-260.</w:t>
      </w:r>
      <w:bookmarkEnd w:id="132"/>
    </w:p>
    <w:p w14:paraId="030A250D" w14:textId="77777777" w:rsidR="00FB5014" w:rsidRPr="00FB5014" w:rsidRDefault="00FB5014" w:rsidP="00FB5014">
      <w:pPr>
        <w:pStyle w:val="EndNoteBibliography"/>
        <w:ind w:left="720" w:hanging="720"/>
      </w:pPr>
      <w:bookmarkStart w:id="133" w:name="_ENREF_18"/>
      <w:r w:rsidRPr="00FB5014">
        <w:t>Carpenter, J.A. and M. Casler. 1990. Divergent phenotypic selection response in smooth bromegrass for forage yield and nutritive value. Crop Sci. 30: 17-22.</w:t>
      </w:r>
      <w:bookmarkEnd w:id="133"/>
    </w:p>
    <w:p w14:paraId="050706A2" w14:textId="77777777" w:rsidR="00FB5014" w:rsidRPr="00FB5014" w:rsidRDefault="00FB5014" w:rsidP="00FB5014">
      <w:pPr>
        <w:pStyle w:val="EndNoteBibliography"/>
        <w:ind w:left="720" w:hanging="720"/>
      </w:pPr>
      <w:bookmarkStart w:id="134" w:name="_ENREF_19"/>
      <w:r w:rsidRPr="00FB5014">
        <w:t>Carpita, N. and M. McCann. 2002. Biochemistry and Molecular Biology of Plants. John Wiley &amp; Sons, New Jersey.</w:t>
      </w:r>
      <w:bookmarkEnd w:id="134"/>
    </w:p>
    <w:p w14:paraId="120B9F61" w14:textId="77777777" w:rsidR="00FB5014" w:rsidRPr="00FB5014" w:rsidRDefault="00FB5014" w:rsidP="00FB5014">
      <w:pPr>
        <w:pStyle w:val="EndNoteBibliography"/>
        <w:ind w:left="720" w:hanging="720"/>
      </w:pPr>
      <w:bookmarkStart w:id="135" w:name="_ENREF_20"/>
      <w:r w:rsidRPr="00FB5014">
        <w:t>Casler, M.D. 1998. Breeding for improved forage quality: potentials and problems. Proc. XVIII Intl. Grassl. Congr.</w:t>
      </w:r>
      <w:bookmarkEnd w:id="135"/>
    </w:p>
    <w:p w14:paraId="4052653F" w14:textId="77777777" w:rsidR="00FB5014" w:rsidRPr="00FB5014" w:rsidRDefault="00FB5014" w:rsidP="00FB5014">
      <w:pPr>
        <w:pStyle w:val="EndNoteBibliography"/>
        <w:ind w:left="720" w:hanging="720"/>
      </w:pPr>
      <w:bookmarkStart w:id="136" w:name="_ENREF_21"/>
      <w:r w:rsidRPr="00FB5014">
        <w:t>Casler, M.D. and K.P. Vogel. 1999. Breeding for increased forage nutritional value. Crop Sci. 39: 12-20.</w:t>
      </w:r>
      <w:bookmarkEnd w:id="136"/>
    </w:p>
    <w:p w14:paraId="706ECC87" w14:textId="77777777" w:rsidR="00FB5014" w:rsidRPr="00FB5014" w:rsidRDefault="00FB5014" w:rsidP="00FB5014">
      <w:pPr>
        <w:pStyle w:val="EndNoteBibliography"/>
        <w:ind w:left="720" w:hanging="720"/>
      </w:pPr>
      <w:bookmarkStart w:id="137" w:name="_ENREF_22"/>
      <w:r w:rsidRPr="00FB5014">
        <w:lastRenderedPageBreak/>
        <w:t>Casler, M.D. and K.P. Vogel. 2014. Selection for biomass yield in upland, lowland, and hybrid switchgrass. Crop Sci. 54: 626-636.</w:t>
      </w:r>
      <w:bookmarkEnd w:id="137"/>
    </w:p>
    <w:p w14:paraId="18A17B3D" w14:textId="77777777" w:rsidR="00FB5014" w:rsidRPr="00FB5014" w:rsidRDefault="00FB5014" w:rsidP="00FB5014">
      <w:pPr>
        <w:pStyle w:val="EndNoteBibliography"/>
        <w:ind w:left="720" w:hanging="720"/>
      </w:pPr>
      <w:bookmarkStart w:id="138" w:name="_ENREF_23"/>
      <w:r w:rsidRPr="00FB5014">
        <w:t xml:space="preserve">Chotineeranat, S., R. Wansuksri, K. Piyachomkwan, P. Chatakanonda, P. Weerathaworn and K. Sriroth. 2010. Effect of calcium ions on ethanol production from molasses by </w:t>
      </w:r>
      <w:r w:rsidRPr="00FB5014">
        <w:rPr>
          <w:i/>
        </w:rPr>
        <w:t>Saccharomyces cerevisiae</w:t>
      </w:r>
      <w:r w:rsidRPr="00FB5014">
        <w:t>. Sugar Tech 12: 120-124.</w:t>
      </w:r>
      <w:bookmarkEnd w:id="138"/>
    </w:p>
    <w:p w14:paraId="634DBCB4" w14:textId="77777777" w:rsidR="00FB5014" w:rsidRPr="00FB5014" w:rsidRDefault="00FB5014" w:rsidP="00FB5014">
      <w:pPr>
        <w:pStyle w:val="EndNoteBibliography"/>
        <w:ind w:left="720" w:hanging="720"/>
      </w:pPr>
      <w:bookmarkStart w:id="139" w:name="_ENREF_24"/>
      <w:r w:rsidRPr="00FB5014">
        <w:t>Christensen, D.W., D.D. Stuthman and A.W. Hovin. 1984. Associations among morphological and digestibility characters in reed canarygrass. Crop Sci. 24: 675-678.</w:t>
      </w:r>
      <w:bookmarkEnd w:id="139"/>
    </w:p>
    <w:p w14:paraId="07204DA5" w14:textId="77777777" w:rsidR="00FB5014" w:rsidRPr="00FB5014" w:rsidRDefault="00FB5014" w:rsidP="00FB5014">
      <w:pPr>
        <w:pStyle w:val="EndNoteBibliography"/>
        <w:ind w:left="720" w:hanging="720"/>
      </w:pPr>
      <w:bookmarkStart w:id="140" w:name="_ENREF_25"/>
      <w:r w:rsidRPr="00FB5014">
        <w:t>Copeman, G.J.F. and G. Swift. 1966. The value of spaced plants in assessing the yield potential of herbage varieties at varying nitrogen levels. Proc. Int. Grassl. Congr., 10th, Helsinki. Valtioneuvoston Kirjapaino, Helsinki.</w:t>
      </w:r>
      <w:bookmarkEnd w:id="140"/>
    </w:p>
    <w:p w14:paraId="2D31E22B" w14:textId="77777777" w:rsidR="00FB5014" w:rsidRPr="00FB5014" w:rsidRDefault="00FB5014" w:rsidP="00FB5014">
      <w:pPr>
        <w:pStyle w:val="EndNoteBibliography"/>
        <w:ind w:left="720" w:hanging="720"/>
      </w:pPr>
      <w:bookmarkStart w:id="141" w:name="_ENREF_26"/>
      <w:r w:rsidRPr="00FB5014">
        <w:t xml:space="preserve">Cornelius, D.R. and C.O. Johnston. 1941. Differences in plant type and reaction to rust among several collections of </w:t>
      </w:r>
      <w:r w:rsidRPr="00FB5014">
        <w:rPr>
          <w:i/>
        </w:rPr>
        <w:t>Panicum virgatum</w:t>
      </w:r>
      <w:r w:rsidRPr="00FB5014">
        <w:t>. Agron. J. 33: 115-124.</w:t>
      </w:r>
      <w:bookmarkEnd w:id="141"/>
    </w:p>
    <w:p w14:paraId="77468461" w14:textId="77777777" w:rsidR="00FB5014" w:rsidRPr="00FB5014" w:rsidRDefault="00FB5014" w:rsidP="00FB5014">
      <w:pPr>
        <w:pStyle w:val="EndNoteBibliography"/>
        <w:ind w:left="720" w:hanging="720"/>
      </w:pPr>
      <w:bookmarkStart w:id="142" w:name="_ENREF_27"/>
      <w:r w:rsidRPr="00FB5014">
        <w:t xml:space="preserve">Crouch, J.A., L.A. Beirn, L.M. Cortese, S.A. Bonos and B.B. Clarke. 2009. Anthracnose disease of switchgrass caused by the novel fungal species </w:t>
      </w:r>
      <w:r w:rsidRPr="00FB5014">
        <w:rPr>
          <w:i/>
        </w:rPr>
        <w:t>Colletotrichum navitas</w:t>
      </w:r>
      <w:r w:rsidRPr="00FB5014">
        <w:t>. Mycol. Res. doi:10.1016/jmycres.2009.09.010.</w:t>
      </w:r>
      <w:bookmarkEnd w:id="142"/>
    </w:p>
    <w:p w14:paraId="3B7A12E8" w14:textId="77777777" w:rsidR="00FB5014" w:rsidRPr="00FB5014" w:rsidRDefault="00FB5014" w:rsidP="00FB5014">
      <w:pPr>
        <w:pStyle w:val="EndNoteBibliography"/>
        <w:ind w:left="720" w:hanging="720"/>
      </w:pPr>
      <w:bookmarkStart w:id="143" w:name="_ENREF_28"/>
      <w:r w:rsidRPr="00FB5014">
        <w:t>Cummins, G.B. 1971. The rust fungi of cereals, grasses, and bamboos, Springer-Verlag, NY.</w:t>
      </w:r>
      <w:bookmarkEnd w:id="143"/>
    </w:p>
    <w:p w14:paraId="6B5873C0" w14:textId="77777777" w:rsidR="00FB5014" w:rsidRPr="00FB5014" w:rsidRDefault="00FB5014" w:rsidP="00FB5014">
      <w:pPr>
        <w:pStyle w:val="EndNoteBibliography"/>
        <w:ind w:left="720" w:hanging="720"/>
      </w:pPr>
      <w:bookmarkStart w:id="144" w:name="_ENREF_29"/>
      <w:r w:rsidRPr="00FB5014">
        <w:t>Das, M.K., R.G. Fuentes and C.M. Taliaferro. 2004. Genetic variability and trait relationships in switchgrass. Crop Sci. 44: 443-448.</w:t>
      </w:r>
      <w:bookmarkEnd w:id="144"/>
    </w:p>
    <w:p w14:paraId="797F4101" w14:textId="77777777" w:rsidR="00FB5014" w:rsidRPr="00FB5014" w:rsidRDefault="00FB5014" w:rsidP="00FB5014">
      <w:pPr>
        <w:pStyle w:val="EndNoteBibliography"/>
        <w:ind w:left="720" w:hanging="720"/>
      </w:pPr>
      <w:bookmarkStart w:id="145" w:name="_ENREF_30"/>
      <w:r w:rsidRPr="00FB5014">
        <w:t>Dien, B., G. Sarath, J. Pedersen, S. Sattler, H. Chen, D. Funnell-Harris, et al. 2009. Improved sugar conversion and ethanol yield for forage sorghum (</w:t>
      </w:r>
      <w:r w:rsidRPr="00FB5014">
        <w:rPr>
          <w:i/>
        </w:rPr>
        <w:t>Sorghum bicolor</w:t>
      </w:r>
      <w:r w:rsidRPr="00FB5014">
        <w:t xml:space="preserve"> L. Moench) lines with reduced lignin contents. Bioenerg. Res. 2: 153-164.</w:t>
      </w:r>
      <w:bookmarkEnd w:id="145"/>
    </w:p>
    <w:p w14:paraId="00A008FE" w14:textId="77777777" w:rsidR="00FB5014" w:rsidRPr="00FB5014" w:rsidRDefault="00FB5014" w:rsidP="00FB5014">
      <w:pPr>
        <w:pStyle w:val="EndNoteBibliography"/>
        <w:ind w:left="720" w:hanging="720"/>
      </w:pPr>
      <w:bookmarkStart w:id="146" w:name="_ENREF_31"/>
      <w:r w:rsidRPr="00FB5014">
        <w:lastRenderedPageBreak/>
        <w:t>Dien, B.S., H.-J.G. June, K.P. Vogel, M.D. Casler, J.F.S. Lamb, L. Iten, et al. 2006. Chemical composition and response to dilute-acid pretreatment and enzymatic saccharification of alfalfa, reed canarygrass, and switchgrass. Biomass and Bioenergy 30: 880-891.</w:t>
      </w:r>
      <w:bookmarkEnd w:id="146"/>
    </w:p>
    <w:p w14:paraId="2062BEB4" w14:textId="77777777" w:rsidR="00FB5014" w:rsidRPr="00FB5014" w:rsidRDefault="00FB5014" w:rsidP="00FB5014">
      <w:pPr>
        <w:pStyle w:val="EndNoteBibliography"/>
        <w:ind w:left="720" w:hanging="720"/>
      </w:pPr>
      <w:bookmarkStart w:id="147" w:name="_ENREF_32"/>
      <w:r w:rsidRPr="00FB5014">
        <w:t>Dowe, N. and J. MCMillan. 2001. SSF Experimental Protocols - Lignocellulosic Biomass Hydrolysis and Fermentation.  Laboratory Analytical Procedure. National Renewable Energy Laboratory.</w:t>
      </w:r>
      <w:bookmarkEnd w:id="147"/>
    </w:p>
    <w:p w14:paraId="1A926D0D" w14:textId="77777777" w:rsidR="00FB5014" w:rsidRPr="00FB5014" w:rsidRDefault="00FB5014" w:rsidP="00FB5014">
      <w:pPr>
        <w:pStyle w:val="EndNoteBibliography"/>
        <w:ind w:left="720" w:hanging="720"/>
      </w:pPr>
      <w:bookmarkStart w:id="148" w:name="_ENREF_33"/>
      <w:r w:rsidRPr="00FB5014">
        <w:t xml:space="preserve">Edwards, K.J.R. and J.P. Cooper. 1963. The genetic control of leaf development in </w:t>
      </w:r>
      <w:r w:rsidRPr="00FB5014">
        <w:rPr>
          <w:i/>
        </w:rPr>
        <w:t>Lolium</w:t>
      </w:r>
      <w:r w:rsidRPr="00FB5014">
        <w:t>. II. Response to selection. Heredity 18: 307-317.</w:t>
      </w:r>
      <w:bookmarkEnd w:id="148"/>
    </w:p>
    <w:p w14:paraId="5DB70633" w14:textId="77777777" w:rsidR="00FB5014" w:rsidRPr="00FB5014" w:rsidRDefault="00FB5014" w:rsidP="00FB5014">
      <w:pPr>
        <w:pStyle w:val="EndNoteBibliography"/>
        <w:ind w:left="720" w:hanging="720"/>
      </w:pPr>
      <w:bookmarkStart w:id="149" w:name="_ENREF_34"/>
      <w:r w:rsidRPr="00FB5014">
        <w:t>Farr, D.E., G.F. Bills, G.P. Chamuris and A.Y. Rossman. 1995. Fungi on Plants and Plant Products in the United States. APS Press St. Paul, MN.</w:t>
      </w:r>
      <w:bookmarkEnd w:id="149"/>
    </w:p>
    <w:p w14:paraId="2E0E5988" w14:textId="77777777" w:rsidR="00FB5014" w:rsidRPr="00FB5014" w:rsidRDefault="00FB5014" w:rsidP="00FB5014">
      <w:pPr>
        <w:pStyle w:val="EndNoteBibliography"/>
        <w:ind w:left="720" w:hanging="720"/>
      </w:pPr>
      <w:bookmarkStart w:id="150" w:name="_ENREF_35"/>
      <w:r w:rsidRPr="00FB5014">
        <w:t>Fu, C., J.R. Mielenz, X. Xiao, Y. Ge, C.Y. Hamilton, M. Rodriguez, et al. 2011. Genetic manipulation of lignin reduces recalcitrance and improves ethanol production from switchgrass. PNAS 108: 3803-3808.</w:t>
      </w:r>
      <w:bookmarkEnd w:id="150"/>
    </w:p>
    <w:p w14:paraId="7BF2F32C" w14:textId="77777777" w:rsidR="00FB5014" w:rsidRPr="00FB5014" w:rsidRDefault="00FB5014" w:rsidP="00FB5014">
      <w:pPr>
        <w:pStyle w:val="EndNoteBibliography"/>
        <w:ind w:left="720" w:hanging="720"/>
      </w:pPr>
      <w:bookmarkStart w:id="151" w:name="_ENREF_36"/>
      <w:r w:rsidRPr="00FB5014">
        <w:t>Garland, C.D. 2008. Growing and harvesting switchgrass for ethanol production in Tennessee.  UT Biofuels Initiative - SP701-A-5M-5/08. UT Extension, Knoxville, TN.</w:t>
      </w:r>
      <w:bookmarkEnd w:id="151"/>
    </w:p>
    <w:p w14:paraId="56FB19F9" w14:textId="77777777" w:rsidR="00FB5014" w:rsidRPr="00FB5014" w:rsidRDefault="00FB5014" w:rsidP="00FB5014">
      <w:pPr>
        <w:pStyle w:val="EndNoteBibliography"/>
        <w:ind w:left="720" w:hanging="720"/>
      </w:pPr>
      <w:bookmarkStart w:id="152" w:name="_ENREF_37"/>
      <w:r w:rsidRPr="00FB5014">
        <w:t>Gilman, J.C. and W.A. Archer. 1929. The fungi of Iowa parasitic on plants. Iowa State College Journal of Science 3: 299-507.</w:t>
      </w:r>
      <w:bookmarkEnd w:id="152"/>
    </w:p>
    <w:p w14:paraId="0C36616D" w14:textId="77777777" w:rsidR="00FB5014" w:rsidRPr="00FB5014" w:rsidRDefault="00FB5014" w:rsidP="00FB5014">
      <w:pPr>
        <w:pStyle w:val="EndNoteBibliography"/>
        <w:ind w:left="720" w:hanging="720"/>
      </w:pPr>
      <w:bookmarkStart w:id="153" w:name="_ENREF_38"/>
      <w:r w:rsidRPr="00FB5014">
        <w:t>Gravert, C.E. and G.P. Munkvold. 2002. Fungi and diseases associated with cultivated switchgrass in Iowa. J. Iowa Acad. Sci. 109: 30-34.</w:t>
      </w:r>
      <w:bookmarkEnd w:id="153"/>
    </w:p>
    <w:p w14:paraId="269C488D" w14:textId="77777777" w:rsidR="00FB5014" w:rsidRPr="00FB5014" w:rsidRDefault="00FB5014" w:rsidP="00FB5014">
      <w:pPr>
        <w:pStyle w:val="EndNoteBibliography"/>
        <w:ind w:left="720" w:hanging="720"/>
      </w:pPr>
      <w:bookmarkStart w:id="154" w:name="_ENREF_39"/>
      <w:r w:rsidRPr="00FB5014">
        <w:t xml:space="preserve">Gravert, C.E., L.H. Tiffany and G.P. Munkvold. 2000. Outbreak of smut caused by </w:t>
      </w:r>
      <w:r w:rsidRPr="00FB5014">
        <w:rPr>
          <w:i/>
        </w:rPr>
        <w:t>Tilletia maclagani</w:t>
      </w:r>
      <w:r w:rsidRPr="00FB5014">
        <w:t xml:space="preserve"> on cultivated switchgrass in Iowa. Plant Dis. 84: 596.</w:t>
      </w:r>
      <w:bookmarkEnd w:id="154"/>
    </w:p>
    <w:p w14:paraId="6A1BBEC7" w14:textId="77777777" w:rsidR="00FB5014" w:rsidRPr="00FB5014" w:rsidRDefault="00FB5014" w:rsidP="00FB5014">
      <w:pPr>
        <w:pStyle w:val="EndNoteBibliography"/>
        <w:ind w:left="720" w:hanging="720"/>
      </w:pPr>
      <w:bookmarkStart w:id="155" w:name="_ENREF_40"/>
      <w:r w:rsidRPr="00FB5014">
        <w:t>Griffing, B. 1956. Concept of general and specific combining ability in relation to diallel crossing systems. Austr. J. Biol. Sci. 9: 463-493.</w:t>
      </w:r>
      <w:bookmarkEnd w:id="155"/>
    </w:p>
    <w:p w14:paraId="0D7A5E45" w14:textId="77777777" w:rsidR="00FB5014" w:rsidRPr="00FB5014" w:rsidRDefault="00FB5014" w:rsidP="00FB5014">
      <w:pPr>
        <w:pStyle w:val="EndNoteBibliography"/>
        <w:ind w:left="720" w:hanging="720"/>
      </w:pPr>
      <w:bookmarkStart w:id="156" w:name="_ENREF_41"/>
      <w:r w:rsidRPr="00FB5014">
        <w:lastRenderedPageBreak/>
        <w:t>Grissom, D.B. and R.R. Kalton. 1956. Inheritance of combining ability for forage traits in bromegrass (</w:t>
      </w:r>
      <w:r w:rsidRPr="00FB5014">
        <w:rPr>
          <w:i/>
        </w:rPr>
        <w:t>Bromus inermis</w:t>
      </w:r>
      <w:r w:rsidRPr="00FB5014">
        <w:t xml:space="preserve"> Leyss). Agron. J. 48: 289-293.</w:t>
      </w:r>
      <w:bookmarkEnd w:id="156"/>
    </w:p>
    <w:p w14:paraId="6E44E158" w14:textId="77777777" w:rsidR="00FB5014" w:rsidRPr="00FB5014" w:rsidRDefault="00FB5014" w:rsidP="00FB5014">
      <w:pPr>
        <w:pStyle w:val="EndNoteBibliography"/>
        <w:ind w:left="720" w:hanging="720"/>
      </w:pPr>
      <w:bookmarkStart w:id="157" w:name="_ENREF_42"/>
      <w:r w:rsidRPr="00FB5014">
        <w:t>Gunter, L.E., G.A. Tuskan and S.D. Wullschleger. 1996. Diversity among populations of switchgrass based on RAPD markers. Crop Sci. 36: 1017-1022.</w:t>
      </w:r>
      <w:bookmarkEnd w:id="157"/>
    </w:p>
    <w:p w14:paraId="08C00F55" w14:textId="77777777" w:rsidR="00FB5014" w:rsidRPr="00FB5014" w:rsidRDefault="00FB5014" w:rsidP="00FB5014">
      <w:pPr>
        <w:pStyle w:val="EndNoteBibliography"/>
        <w:ind w:left="720" w:hanging="720"/>
      </w:pPr>
      <w:bookmarkStart w:id="158" w:name="_ENREF_43"/>
      <w:r w:rsidRPr="00FB5014">
        <w:t xml:space="preserve">Gustafson, D.M., A. Boe and Y. Jin. 2003. Genetic variation for </w:t>
      </w:r>
      <w:r w:rsidRPr="00FB5014">
        <w:rPr>
          <w:i/>
        </w:rPr>
        <w:t xml:space="preserve">Puccinia emaculata </w:t>
      </w:r>
      <w:r w:rsidRPr="00FB5014">
        <w:t>infection in switchgrass. Crop Sci. 43: 755-759.</w:t>
      </w:r>
      <w:bookmarkEnd w:id="158"/>
    </w:p>
    <w:p w14:paraId="148C2F19" w14:textId="77777777" w:rsidR="00FB5014" w:rsidRPr="00FB5014" w:rsidRDefault="00FB5014" w:rsidP="00FB5014">
      <w:pPr>
        <w:pStyle w:val="EndNoteBibliography"/>
        <w:ind w:left="720" w:hanging="720"/>
      </w:pPr>
      <w:bookmarkStart w:id="159" w:name="_ENREF_44"/>
      <w:r w:rsidRPr="00FB5014">
        <w:t>Hammerschmidt, R. 1984. Rapid deposition of lignin in potato tuber tissue as a response to non-pathogenic fungi on potato. Physiol. Plant Pathol. 24: 33-42.</w:t>
      </w:r>
      <w:bookmarkEnd w:id="159"/>
    </w:p>
    <w:p w14:paraId="67A9A965" w14:textId="77777777" w:rsidR="00FB5014" w:rsidRPr="00FB5014" w:rsidRDefault="00FB5014" w:rsidP="00FB5014">
      <w:pPr>
        <w:pStyle w:val="EndNoteBibliography"/>
        <w:ind w:left="720" w:hanging="720"/>
      </w:pPr>
      <w:bookmarkStart w:id="160" w:name="_ENREF_45"/>
      <w:r w:rsidRPr="00FB5014">
        <w:t>Haynes, J.G., W.G. Pill and T.A. Evans. 1997. Seed treatments improve the germination and seedling emergence of switchgrass (</w:t>
      </w:r>
      <w:r w:rsidRPr="00FB5014">
        <w:rPr>
          <w:i/>
        </w:rPr>
        <w:t>Panicum virgatum</w:t>
      </w:r>
      <w:r w:rsidRPr="00FB5014">
        <w:t xml:space="preserve"> L.). HortScience 32: 1222-1226.</w:t>
      </w:r>
      <w:bookmarkEnd w:id="160"/>
    </w:p>
    <w:p w14:paraId="520C58F2" w14:textId="77777777" w:rsidR="00FB5014" w:rsidRPr="00FB5014" w:rsidRDefault="00FB5014" w:rsidP="00FB5014">
      <w:pPr>
        <w:pStyle w:val="EndNoteBibliography"/>
        <w:ind w:left="720" w:hanging="720"/>
      </w:pPr>
      <w:bookmarkStart w:id="161" w:name="_ENREF_46"/>
      <w:r w:rsidRPr="00FB5014">
        <w:t xml:space="preserve">Hayward, M.D. and J.L. Vivero. 1984. Selection for yield in </w:t>
      </w:r>
      <w:r w:rsidRPr="00FB5014">
        <w:rPr>
          <w:i/>
        </w:rPr>
        <w:t>Lolium perenne</w:t>
      </w:r>
      <w:r w:rsidRPr="00FB5014">
        <w:t>: II. Performance of spaced plant selections under competitive conditions. Euphytica 33: 787-800.</w:t>
      </w:r>
      <w:bookmarkEnd w:id="161"/>
    </w:p>
    <w:p w14:paraId="5CC53234" w14:textId="77777777" w:rsidR="00FB5014" w:rsidRPr="00FB5014" w:rsidRDefault="00FB5014" w:rsidP="00FB5014">
      <w:pPr>
        <w:pStyle w:val="EndNoteBibliography"/>
        <w:ind w:left="720" w:hanging="720"/>
      </w:pPr>
      <w:bookmarkStart w:id="162" w:name="_ENREF_47"/>
      <w:r w:rsidRPr="00FB5014">
        <w:t>Hopkins, A.A., C.M. Taliaferro, C.D. Murphy and D. Christian. 1996. Chromsome number and nuclear DNA content of several switchgrass populations. Crop Science 36: 1192-1195.</w:t>
      </w:r>
      <w:bookmarkEnd w:id="162"/>
    </w:p>
    <w:p w14:paraId="3DC721B5" w14:textId="77777777" w:rsidR="00FB5014" w:rsidRPr="00FB5014" w:rsidRDefault="00FB5014" w:rsidP="00FB5014">
      <w:pPr>
        <w:pStyle w:val="EndNoteBibliography"/>
        <w:ind w:left="720" w:hanging="720"/>
      </w:pPr>
      <w:bookmarkStart w:id="163" w:name="_ENREF_48"/>
      <w:r w:rsidRPr="00FB5014">
        <w:t>Hopkins, A.A., K.P. Vogel and K.J. Moore. 1993. Predicted and realized gains from selection for in vitro dry matter digestibility and forage yield in switchgrass. Crop Sci. 33: 253-258.</w:t>
      </w:r>
      <w:bookmarkEnd w:id="163"/>
    </w:p>
    <w:p w14:paraId="186AB851" w14:textId="77777777" w:rsidR="00FB5014" w:rsidRPr="00FB5014" w:rsidRDefault="00FB5014" w:rsidP="00FB5014">
      <w:pPr>
        <w:pStyle w:val="EndNoteBibliography"/>
        <w:ind w:left="720" w:hanging="720"/>
      </w:pPr>
      <w:bookmarkStart w:id="164" w:name="_ENREF_49"/>
      <w:r w:rsidRPr="00FB5014">
        <w:t>Hopkins, A.A., K.P. Vogel, K.J. Moore, K.D. Johnson and I.T. Carlson. 1995. Genotypic variability and genotype x environment interactions among switchgrass accessions from the Midwestern USA. Crop Sci. 35: 565-571.</w:t>
      </w:r>
      <w:bookmarkEnd w:id="164"/>
    </w:p>
    <w:p w14:paraId="57CDFCAC" w14:textId="77777777" w:rsidR="00FB5014" w:rsidRPr="00FB5014" w:rsidRDefault="00FB5014" w:rsidP="00FB5014">
      <w:pPr>
        <w:pStyle w:val="EndNoteBibliography"/>
        <w:ind w:left="720" w:hanging="720"/>
      </w:pPr>
      <w:bookmarkStart w:id="165" w:name="_ENREF_50"/>
      <w:r w:rsidRPr="00FB5014">
        <w:t>Humphreys, M.O. 1989. Water-soluble carbohydrates in perennial rygrass breeding: III. Relationships with herbage production, digestibility and crude protein content. Grass Forage Sci. 44: 430.</w:t>
      </w:r>
      <w:bookmarkEnd w:id="165"/>
    </w:p>
    <w:p w14:paraId="1F0A931A" w14:textId="77777777" w:rsidR="00FB5014" w:rsidRPr="00FB5014" w:rsidRDefault="00FB5014" w:rsidP="00FB5014">
      <w:pPr>
        <w:pStyle w:val="EndNoteBibliography"/>
        <w:ind w:left="720" w:hanging="720"/>
      </w:pPr>
      <w:bookmarkStart w:id="166" w:name="_ENREF_51"/>
      <w:r w:rsidRPr="00FB5014">
        <w:lastRenderedPageBreak/>
        <w:t>Johnson, J.C., R.N. Gates, G.L. Newton, J.P. Wilson, L.D. Chandler and P.R. Utley. 1997. Yield, composition, and in vitro digestibility of temperate and tropical corn hybrids grown as silage crops planted in summer. J. Dairy Sci. 80: 550-557.</w:t>
      </w:r>
      <w:bookmarkEnd w:id="166"/>
    </w:p>
    <w:p w14:paraId="46337D83" w14:textId="77777777" w:rsidR="00FB5014" w:rsidRPr="00FB5014" w:rsidRDefault="00FB5014" w:rsidP="00FB5014">
      <w:pPr>
        <w:pStyle w:val="EndNoteBibliography"/>
        <w:ind w:left="720" w:hanging="720"/>
      </w:pPr>
      <w:bookmarkStart w:id="167" w:name="_ENREF_52"/>
      <w:r w:rsidRPr="00FB5014">
        <w:t>Jones, R.J., C.J. Nelson and D.A. Sleper. 1979. Seedling selection for morphological characters associated with yield of tall fescue. Crop Sci. 19: 631-634.</w:t>
      </w:r>
      <w:bookmarkEnd w:id="167"/>
    </w:p>
    <w:p w14:paraId="09E4B22F" w14:textId="77777777" w:rsidR="00FB5014" w:rsidRPr="00FB5014" w:rsidRDefault="00FB5014" w:rsidP="00FB5014">
      <w:pPr>
        <w:pStyle w:val="EndNoteBibliography"/>
        <w:ind w:left="720" w:hanging="720"/>
      </w:pPr>
      <w:bookmarkStart w:id="168" w:name="_ENREF_53"/>
      <w:r w:rsidRPr="00FB5014">
        <w:t>Karkonen, A. and S. Koutaniemi. 2010. Lignin biosynthesis studies in plant tissue cultures. J. Integr. Plant Biol. 52: 176-185.</w:t>
      </w:r>
      <w:bookmarkEnd w:id="168"/>
    </w:p>
    <w:p w14:paraId="349D8839" w14:textId="77777777" w:rsidR="00FB5014" w:rsidRPr="00FB5014" w:rsidRDefault="00FB5014" w:rsidP="00FB5014">
      <w:pPr>
        <w:pStyle w:val="EndNoteBibliography"/>
        <w:ind w:left="720" w:hanging="720"/>
      </w:pPr>
      <w:bookmarkStart w:id="169" w:name="_ENREF_54"/>
      <w:r w:rsidRPr="00FB5014">
        <w:t>Kephart, K.D., D.R. Buxton and R.R. Hill Jr. 1989. Morphology of alfalfa divergently selected for herbage lignin concentration. Crop Sci. 29: 778-782.</w:t>
      </w:r>
      <w:bookmarkEnd w:id="169"/>
    </w:p>
    <w:p w14:paraId="3141C647" w14:textId="77777777" w:rsidR="00FB5014" w:rsidRPr="00FB5014" w:rsidRDefault="00FB5014" w:rsidP="00FB5014">
      <w:pPr>
        <w:pStyle w:val="EndNoteBibliography"/>
        <w:ind w:left="720" w:hanging="720"/>
      </w:pPr>
      <w:bookmarkStart w:id="170" w:name="_ENREF_55"/>
      <w:r w:rsidRPr="00FB5014">
        <w:t>Keshwani, D.R. and J.J. Cheng. 2009. Switchgrass for bioethanol and other value-added applications: a review. Bioresource Technology 100: 1515-1523.</w:t>
      </w:r>
      <w:bookmarkEnd w:id="170"/>
    </w:p>
    <w:p w14:paraId="30F52220" w14:textId="77777777" w:rsidR="00FB5014" w:rsidRPr="00FB5014" w:rsidRDefault="00FB5014" w:rsidP="00FB5014">
      <w:pPr>
        <w:pStyle w:val="EndNoteBibliography"/>
        <w:ind w:left="720" w:hanging="720"/>
      </w:pPr>
      <w:bookmarkStart w:id="171" w:name="_ENREF_56"/>
      <w:r w:rsidRPr="00FB5014">
        <w:t>Knight, R. 1960. The growth of cocksfoot (</w:t>
      </w:r>
      <w:r w:rsidRPr="00FB5014">
        <w:rPr>
          <w:i/>
        </w:rPr>
        <w:t xml:space="preserve">Dactylis glomerata </w:t>
      </w:r>
      <w:r w:rsidRPr="00FB5014">
        <w:t>L.) under spaced plant and sward conditions. Aust. J. Agric. Res. 11: 457-472.</w:t>
      </w:r>
      <w:bookmarkEnd w:id="171"/>
    </w:p>
    <w:p w14:paraId="58971E64" w14:textId="77777777" w:rsidR="00FB5014" w:rsidRPr="00FB5014" w:rsidRDefault="00FB5014" w:rsidP="00FB5014">
      <w:pPr>
        <w:pStyle w:val="EndNoteBibliography"/>
        <w:ind w:left="720" w:hanging="720"/>
      </w:pPr>
      <w:bookmarkStart w:id="172" w:name="_ENREF_57"/>
      <w:r w:rsidRPr="00FB5014">
        <w:t xml:space="preserve">Kramer, H. 1947. Morphological and agronomic variation in </w:t>
      </w:r>
      <w:r w:rsidRPr="00FB5014">
        <w:rPr>
          <w:i/>
        </w:rPr>
        <w:t>Poa pratensis</w:t>
      </w:r>
      <w:r w:rsidRPr="00FB5014">
        <w:t xml:space="preserve"> L. relative to chromosome numbers. Agron. J. 39: 181-191.</w:t>
      </w:r>
      <w:bookmarkEnd w:id="172"/>
    </w:p>
    <w:p w14:paraId="27829FB1" w14:textId="77777777" w:rsidR="00FB5014" w:rsidRPr="00FB5014" w:rsidRDefault="00FB5014" w:rsidP="00FB5014">
      <w:pPr>
        <w:pStyle w:val="EndNoteBibliography"/>
        <w:ind w:left="720" w:hanging="720"/>
      </w:pPr>
      <w:bookmarkStart w:id="173" w:name="_ENREF_58"/>
      <w:r w:rsidRPr="00FB5014">
        <w:t>Krupinsky, J.M., J.D. Berdahl, C.L. Schoch and A.Y. Rossman. 2004. Leaf spot on switchgrass (</w:t>
      </w:r>
      <w:r w:rsidRPr="00FB5014">
        <w:rPr>
          <w:i/>
        </w:rPr>
        <w:t>Panicum virgatum</w:t>
      </w:r>
      <w:r w:rsidRPr="00FB5014">
        <w:t xml:space="preserve">), symptoms of a new disease caused by </w:t>
      </w:r>
      <w:r w:rsidRPr="00FB5014">
        <w:rPr>
          <w:i/>
        </w:rPr>
        <w:t>Bipolaris oryzae</w:t>
      </w:r>
      <w:r w:rsidRPr="00FB5014">
        <w:t>. Can. J. Plant Pathol. 26: 371-378.</w:t>
      </w:r>
      <w:bookmarkEnd w:id="173"/>
    </w:p>
    <w:p w14:paraId="65A0789D" w14:textId="77777777" w:rsidR="00FB5014" w:rsidRPr="00FB5014" w:rsidRDefault="00FB5014" w:rsidP="00FB5014">
      <w:pPr>
        <w:pStyle w:val="EndNoteBibliography"/>
        <w:ind w:left="720" w:hanging="720"/>
      </w:pPr>
      <w:bookmarkStart w:id="174" w:name="_ENREF_59"/>
      <w:r w:rsidRPr="00FB5014">
        <w:t>Lazenby, A. 1957. The problem of assessing strains: A study in grass-breeding technique. J. Agric. Sci. 48: 294-304.</w:t>
      </w:r>
      <w:bookmarkEnd w:id="174"/>
    </w:p>
    <w:p w14:paraId="7F92D017" w14:textId="77777777" w:rsidR="00FB5014" w:rsidRPr="00FB5014" w:rsidRDefault="00FB5014" w:rsidP="00FB5014">
      <w:pPr>
        <w:pStyle w:val="EndNoteBibliography"/>
        <w:ind w:left="720" w:hanging="720"/>
      </w:pPr>
      <w:bookmarkStart w:id="175" w:name="_ENREF_60"/>
      <w:r w:rsidRPr="00FB5014">
        <w:t xml:space="preserve">Lazenby, A. and H.H. Rogers. 1964. Selection criteria in grass breeding: II. Effect, on </w:t>
      </w:r>
      <w:r w:rsidRPr="00FB5014">
        <w:rPr>
          <w:i/>
        </w:rPr>
        <w:t>Lolium perenne</w:t>
      </w:r>
      <w:r w:rsidRPr="00FB5014">
        <w:t>, of difference in population density, variety, and available moisture. J. Agric. Sci. 62: 285-298.</w:t>
      </w:r>
      <w:bookmarkEnd w:id="175"/>
    </w:p>
    <w:p w14:paraId="46052D8F" w14:textId="77777777" w:rsidR="00FB5014" w:rsidRPr="00FB5014" w:rsidRDefault="00FB5014" w:rsidP="00FB5014">
      <w:pPr>
        <w:pStyle w:val="EndNoteBibliography"/>
        <w:ind w:left="720" w:hanging="720"/>
      </w:pPr>
      <w:bookmarkStart w:id="176" w:name="_ENREF_61"/>
      <w:r w:rsidRPr="00FB5014">
        <w:lastRenderedPageBreak/>
        <w:t xml:space="preserve">Lazenby, A. and H.H. Rogers. 1965. Selection criteria in grass breeding: V. Performance of </w:t>
      </w:r>
      <w:r w:rsidRPr="00FB5014">
        <w:rPr>
          <w:i/>
        </w:rPr>
        <w:t>Lolium</w:t>
      </w:r>
      <w:r w:rsidRPr="00FB5014">
        <w:t xml:space="preserve"> </w:t>
      </w:r>
      <w:r w:rsidRPr="00FB5014">
        <w:rPr>
          <w:i/>
        </w:rPr>
        <w:t>perenne</w:t>
      </w:r>
      <w:r w:rsidRPr="00FB5014">
        <w:t xml:space="preserve"> genotypes grown at different nitrogen levels and spacings. J. Agric. Sci. 65: 79-89.</w:t>
      </w:r>
      <w:bookmarkEnd w:id="176"/>
    </w:p>
    <w:p w14:paraId="2D925AD3" w14:textId="77777777" w:rsidR="00FB5014" w:rsidRPr="00FB5014" w:rsidRDefault="00FB5014" w:rsidP="00FB5014">
      <w:pPr>
        <w:pStyle w:val="EndNoteBibliography"/>
        <w:ind w:left="720" w:hanging="720"/>
      </w:pPr>
      <w:bookmarkStart w:id="177" w:name="_ENREF_62"/>
      <w:r w:rsidRPr="00FB5014">
        <w:t>Li, Y., M. Windham, R. Trigiano, P. Wadl, K. Moulton, A. Windham, et al. 2009. Anthracnose: a new disease of switchgrass. Phytopathology 99: S72.</w:t>
      </w:r>
      <w:bookmarkEnd w:id="177"/>
    </w:p>
    <w:p w14:paraId="0E7D74EE" w14:textId="77777777" w:rsidR="00FB5014" w:rsidRPr="00FB5014" w:rsidRDefault="00FB5014" w:rsidP="00FB5014">
      <w:pPr>
        <w:pStyle w:val="EndNoteBibliography"/>
        <w:ind w:left="720" w:hanging="720"/>
      </w:pPr>
      <w:bookmarkStart w:id="178" w:name="_ENREF_63"/>
      <w:r w:rsidRPr="00FB5014">
        <w:t xml:space="preserve">Liu, G., C.Y. Hou and D.M. Wang. 2010. Calcium influx is required for the initiation of the hypersensitive response of </w:t>
      </w:r>
      <w:r w:rsidRPr="00FB5014">
        <w:rPr>
          <w:i/>
        </w:rPr>
        <w:t xml:space="preserve">Triticum aestivum </w:t>
      </w:r>
      <w:r w:rsidRPr="00FB5014">
        <w:t xml:space="preserve">to </w:t>
      </w:r>
      <w:r w:rsidRPr="00FB5014">
        <w:rPr>
          <w:i/>
        </w:rPr>
        <w:t>Puccinia recondite</w:t>
      </w:r>
      <w:r w:rsidRPr="00FB5014">
        <w:t xml:space="preserve"> f.sp. </w:t>
      </w:r>
      <w:r w:rsidRPr="00FB5014">
        <w:rPr>
          <w:i/>
        </w:rPr>
        <w:t>tritici</w:t>
      </w:r>
      <w:r w:rsidRPr="00FB5014">
        <w:t>. Physiol. Mol. Plant Pathol. 74: 267-273. doi:10.1016/j.pmpp.2010.04.002.</w:t>
      </w:r>
      <w:bookmarkEnd w:id="178"/>
    </w:p>
    <w:p w14:paraId="43F60F0B" w14:textId="77777777" w:rsidR="00FB5014" w:rsidRPr="00FB5014" w:rsidRDefault="00FB5014" w:rsidP="00FB5014">
      <w:pPr>
        <w:pStyle w:val="EndNoteBibliography"/>
        <w:ind w:left="720" w:hanging="720"/>
      </w:pPr>
      <w:bookmarkStart w:id="179" w:name="_ENREF_64"/>
      <w:r w:rsidRPr="00FB5014">
        <w:t>Liu, X.Y., J.Y. Jin, P. He, W. Gao and L. W.J. 2007. Effect of potassium chloride on lignin metabolism and its relation to resistance of corn to stalk rot. Sci. Agric. Sin. 40: 2780-2787.</w:t>
      </w:r>
      <w:bookmarkEnd w:id="179"/>
    </w:p>
    <w:p w14:paraId="55FE3F6F" w14:textId="77777777" w:rsidR="00FB5014" w:rsidRPr="00FB5014" w:rsidRDefault="00FB5014" w:rsidP="00FB5014">
      <w:pPr>
        <w:pStyle w:val="EndNoteBibliography"/>
        <w:ind w:left="720" w:hanging="720"/>
      </w:pPr>
      <w:bookmarkStart w:id="180" w:name="_ENREF_65"/>
      <w:r w:rsidRPr="00FB5014">
        <w:t>Lorenz, A.J., R.P. Anex, A. Isci, J.G. Coors, N. de Leon and P.J. Weimer. 2009. Forage quality and composition measurements as predictors of ethanol yield from maize (</w:t>
      </w:r>
      <w:r w:rsidRPr="00FB5014">
        <w:rPr>
          <w:i/>
        </w:rPr>
        <w:t>Zea mays</w:t>
      </w:r>
      <w:r w:rsidRPr="00FB5014">
        <w:t xml:space="preserve"> L.) stover. Biotechnology for Biofuels 2. doi:10.1186/1754-6834-2-5.</w:t>
      </w:r>
      <w:bookmarkEnd w:id="180"/>
    </w:p>
    <w:p w14:paraId="5312B68A" w14:textId="77777777" w:rsidR="00FB5014" w:rsidRPr="00FB5014" w:rsidRDefault="00FB5014" w:rsidP="00FB5014">
      <w:pPr>
        <w:pStyle w:val="EndNoteBibliography"/>
        <w:ind w:left="720" w:hanging="720"/>
      </w:pPr>
      <w:bookmarkStart w:id="181" w:name="_ENREF_66"/>
      <w:r w:rsidRPr="00FB5014">
        <w:t>Mann, D.G.J., N. Labbe, R.W. Sykes, K. Gracom, L. Kline, I.M. Swamidoss, et al. 2009. Rapid Assessment of Lignin Content and Structure in Switchgrass (Panicum virgatum L.) Grown Under Different Environmental Conditions. Bioenerg. Res. 2: 246-256. doi:10.1007/s12155-009-9054-x.</w:t>
      </w:r>
      <w:bookmarkEnd w:id="181"/>
    </w:p>
    <w:p w14:paraId="5FC2C3C6" w14:textId="77777777" w:rsidR="00FB5014" w:rsidRPr="00FB5014" w:rsidRDefault="00FB5014" w:rsidP="00FB5014">
      <w:pPr>
        <w:pStyle w:val="EndNoteBibliography"/>
        <w:ind w:left="720" w:hanging="720"/>
      </w:pPr>
      <w:bookmarkStart w:id="182" w:name="_ENREF_67"/>
      <w:r w:rsidRPr="00FB5014">
        <w:t xml:space="preserve">Manners, M. 1982. Pathways of glucose assimilation in </w:t>
      </w:r>
      <w:r w:rsidRPr="00FB5014">
        <w:rPr>
          <w:i/>
        </w:rPr>
        <w:t>Puccinia-graminis</w:t>
      </w:r>
      <w:r w:rsidRPr="00FB5014">
        <w:t>. J. Gen. Microbiol. 128: 2621-2630.</w:t>
      </w:r>
      <w:bookmarkEnd w:id="182"/>
    </w:p>
    <w:p w14:paraId="45614802" w14:textId="77777777" w:rsidR="00FB5014" w:rsidRPr="00FB5014" w:rsidRDefault="00FB5014" w:rsidP="00FB5014">
      <w:pPr>
        <w:pStyle w:val="EndNoteBibliography"/>
        <w:ind w:left="720" w:hanging="720"/>
      </w:pPr>
      <w:bookmarkStart w:id="183" w:name="_ENREF_68"/>
      <w:r w:rsidRPr="00FB5014">
        <w:t>Martinez-Reyna, J.M. and K.P. Vogel. 2008. Heterosis in switchgrass:  Spaced plants. Crop Sci. 48: 1312-1320.</w:t>
      </w:r>
      <w:bookmarkEnd w:id="183"/>
    </w:p>
    <w:p w14:paraId="11419D88" w14:textId="77777777" w:rsidR="00FB5014" w:rsidRPr="00FB5014" w:rsidRDefault="00FB5014" w:rsidP="00FB5014">
      <w:pPr>
        <w:pStyle w:val="EndNoteBibliography"/>
        <w:ind w:left="720" w:hanging="720"/>
      </w:pPr>
      <w:bookmarkStart w:id="184" w:name="_ENREF_69"/>
      <w:r w:rsidRPr="00FB5014">
        <w:lastRenderedPageBreak/>
        <w:t>McLaughlin, S.B. and L.A. Kszos. 2005. Development of switchgrass (</w:t>
      </w:r>
      <w:r w:rsidRPr="00FB5014">
        <w:rPr>
          <w:i/>
        </w:rPr>
        <w:t>Panicum virgatum</w:t>
      </w:r>
      <w:r w:rsidRPr="00FB5014">
        <w:t>) as a bioenergy feedstock in the United States. Biomass and Bioenergy 28: 515-535.</w:t>
      </w:r>
      <w:bookmarkEnd w:id="184"/>
    </w:p>
    <w:p w14:paraId="0349EE3B" w14:textId="77777777" w:rsidR="00FB5014" w:rsidRPr="00FB5014" w:rsidRDefault="00FB5014" w:rsidP="00FB5014">
      <w:pPr>
        <w:pStyle w:val="EndNoteBibliography"/>
        <w:ind w:left="720" w:hanging="720"/>
      </w:pPr>
      <w:bookmarkStart w:id="185" w:name="_ENREF_70"/>
      <w:r w:rsidRPr="00FB5014">
        <w:t xml:space="preserve">McMillan, C. and J. Weiler. 1959. Cytogeography of </w:t>
      </w:r>
      <w:r w:rsidRPr="00FB5014">
        <w:rPr>
          <w:i/>
        </w:rPr>
        <w:t>Panicum virgatum</w:t>
      </w:r>
      <w:r w:rsidRPr="00FB5014">
        <w:t xml:space="preserve"> in central North America. Am J Bot 78: 183-188.</w:t>
      </w:r>
      <w:bookmarkEnd w:id="185"/>
    </w:p>
    <w:p w14:paraId="36BC819C" w14:textId="77777777" w:rsidR="00FB5014" w:rsidRPr="00FB5014" w:rsidRDefault="00FB5014" w:rsidP="00FB5014">
      <w:pPr>
        <w:pStyle w:val="EndNoteBibliography"/>
        <w:ind w:left="720" w:hanging="720"/>
      </w:pPr>
      <w:bookmarkStart w:id="186" w:name="_ENREF_71"/>
      <w:r w:rsidRPr="00FB5014">
        <w:t>McParland, J.J., H.E. Grethlein and A.O. Converse. 1982. Kinetics of acid hydrolysis of corn stover. Solar Energy 28: 55-63.</w:t>
      </w:r>
      <w:bookmarkEnd w:id="186"/>
    </w:p>
    <w:p w14:paraId="3A608291" w14:textId="77777777" w:rsidR="00FB5014" w:rsidRPr="00FB5014" w:rsidRDefault="00FB5014" w:rsidP="00FB5014">
      <w:pPr>
        <w:pStyle w:val="EndNoteBibliography"/>
        <w:ind w:left="720" w:hanging="720"/>
      </w:pPr>
      <w:bookmarkStart w:id="187" w:name="_ENREF_72"/>
      <w:r w:rsidRPr="00FB5014">
        <w:t>Murray, I. and I. Cowe. 2004. Sample preparation. Near-Infrared Spectroscopy in Agriculture. Near Infrared Spectroscopy: 75-112.</w:t>
      </w:r>
      <w:bookmarkEnd w:id="187"/>
    </w:p>
    <w:p w14:paraId="5D348A9B" w14:textId="77777777" w:rsidR="00FB5014" w:rsidRPr="00FB5014" w:rsidRDefault="00FB5014" w:rsidP="00FB5014">
      <w:pPr>
        <w:pStyle w:val="EndNoteBibliography"/>
        <w:ind w:left="720" w:hanging="720"/>
      </w:pPr>
      <w:bookmarkStart w:id="188" w:name="_ENREF_73"/>
      <w:r w:rsidRPr="00FB5014">
        <w:t xml:space="preserve">Newell, L.C. and S.A. Eberhart. 1961. Clone and progeny evaluation in the improvement of switchgrass, </w:t>
      </w:r>
      <w:r w:rsidRPr="00FB5014">
        <w:rPr>
          <w:i/>
        </w:rPr>
        <w:t xml:space="preserve">Panicum virgatum </w:t>
      </w:r>
      <w:r w:rsidRPr="00FB5014">
        <w:t>L. Crop Sci. 1: 117-121.</w:t>
      </w:r>
      <w:bookmarkEnd w:id="188"/>
    </w:p>
    <w:p w14:paraId="4022C328" w14:textId="77777777" w:rsidR="00FB5014" w:rsidRPr="00FB5014" w:rsidRDefault="00FB5014" w:rsidP="00FB5014">
      <w:pPr>
        <w:pStyle w:val="EndNoteBibliography"/>
        <w:ind w:left="720" w:hanging="720"/>
      </w:pPr>
      <w:bookmarkStart w:id="189" w:name="_ENREF_74"/>
      <w:r w:rsidRPr="00FB5014">
        <w:t xml:space="preserve">Newell, L.C. and S.A. Eberhart. 1961. Clone and progeny evaluation in the improvement of switchgrass, </w:t>
      </w:r>
      <w:r w:rsidRPr="00FB5014">
        <w:rPr>
          <w:i/>
        </w:rPr>
        <w:t xml:space="preserve">Panicum virgatum </w:t>
      </w:r>
      <w:r w:rsidRPr="00FB5014">
        <w:t>L. Crop Science 1: 117-121.</w:t>
      </w:r>
      <w:bookmarkEnd w:id="189"/>
    </w:p>
    <w:p w14:paraId="4974DDED" w14:textId="77777777" w:rsidR="00FB5014" w:rsidRPr="00FB5014" w:rsidRDefault="00FB5014" w:rsidP="00FB5014">
      <w:pPr>
        <w:pStyle w:val="EndNoteBibliography"/>
        <w:ind w:left="720" w:hanging="720"/>
      </w:pPr>
      <w:bookmarkStart w:id="190" w:name="_ENREF_75"/>
      <w:r w:rsidRPr="00FB5014">
        <w:t xml:space="preserve">Nielson, E.L. 1944. Analysis of variation in </w:t>
      </w:r>
      <w:r w:rsidRPr="00FB5014">
        <w:rPr>
          <w:i/>
        </w:rPr>
        <w:t>Panicum virgatum</w:t>
      </w:r>
      <w:r w:rsidRPr="00FB5014">
        <w:t>. J. Agric. Res. 69: 327-353.</w:t>
      </w:r>
      <w:bookmarkEnd w:id="190"/>
    </w:p>
    <w:p w14:paraId="7E4D6FF2" w14:textId="77777777" w:rsidR="00FB5014" w:rsidRPr="00FB5014" w:rsidRDefault="00FB5014" w:rsidP="00FB5014">
      <w:pPr>
        <w:pStyle w:val="EndNoteBibliography"/>
        <w:ind w:left="720" w:hanging="720"/>
      </w:pPr>
      <w:bookmarkStart w:id="191" w:name="_ENREF_76"/>
      <w:r w:rsidRPr="00FB5014">
        <w:t>Nissen, O. 1960. Testing hay varieties of grasses as spaced plants, in a pure stand or in a mixture with a legume. Proc. Int. Grassl. Congr., 8th Reading, UK. Alden Press, Oxford, UK.</w:t>
      </w:r>
      <w:bookmarkEnd w:id="191"/>
    </w:p>
    <w:p w14:paraId="0238D300" w14:textId="77777777" w:rsidR="00FB5014" w:rsidRPr="00FB5014" w:rsidRDefault="00FB5014" w:rsidP="00FB5014">
      <w:pPr>
        <w:pStyle w:val="EndNoteBibliography"/>
        <w:ind w:left="720" w:hanging="720"/>
      </w:pPr>
      <w:bookmarkStart w:id="192" w:name="_ENREF_77"/>
      <w:r w:rsidRPr="00FB5014">
        <w:t xml:space="preserve">Oldemeyer, D.L. and A.A. Hanson. 1955. Evaluation of combining ability in orchardgrass </w:t>
      </w:r>
      <w:r w:rsidRPr="00FB5014">
        <w:rPr>
          <w:i/>
        </w:rPr>
        <w:t xml:space="preserve">Dactylis glomerata </w:t>
      </w:r>
      <w:r w:rsidRPr="00FB5014">
        <w:t>L. . Agron. J. 47: 158-162.</w:t>
      </w:r>
      <w:bookmarkEnd w:id="192"/>
    </w:p>
    <w:p w14:paraId="222E8C7B" w14:textId="77777777" w:rsidR="00FB5014" w:rsidRPr="00FB5014" w:rsidRDefault="00FB5014" w:rsidP="00FB5014">
      <w:pPr>
        <w:pStyle w:val="EndNoteBibliography"/>
        <w:ind w:left="720" w:hanging="720"/>
      </w:pPr>
      <w:bookmarkStart w:id="193" w:name="_ENREF_78"/>
      <w:r w:rsidRPr="00FB5014">
        <w:t>Poorter, H., K.J. Niklas, P.B. Reich, J. Oleksyn and P. Poot. 2012. Biomass allocation to leaves, stems and roots: meta-analyses of interspecific variation and environmental control. New Phytol. 193: 30-50.</w:t>
      </w:r>
      <w:bookmarkEnd w:id="193"/>
    </w:p>
    <w:p w14:paraId="3C843A7F" w14:textId="77777777" w:rsidR="00FB5014" w:rsidRPr="00FB5014" w:rsidRDefault="00FB5014" w:rsidP="00FB5014">
      <w:pPr>
        <w:pStyle w:val="EndNoteBibliography"/>
        <w:ind w:left="720" w:hanging="720"/>
      </w:pPr>
      <w:bookmarkStart w:id="194" w:name="_ENREF_79"/>
      <w:r w:rsidRPr="00FB5014">
        <w:t xml:space="preserve">Porter, C.L.J. 1966. An analysis of variation between upland and lowland switchgrass, </w:t>
      </w:r>
      <w:r w:rsidRPr="00FB5014">
        <w:rPr>
          <w:i/>
        </w:rPr>
        <w:t>Panicum virgatum</w:t>
      </w:r>
      <w:r w:rsidRPr="00FB5014">
        <w:t xml:space="preserve"> L., in central Oklahoma. Ecology 48: 980-992.</w:t>
      </w:r>
      <w:bookmarkEnd w:id="194"/>
    </w:p>
    <w:p w14:paraId="3F9F96DB" w14:textId="77777777" w:rsidR="00FB5014" w:rsidRPr="00FB5014" w:rsidRDefault="00FB5014" w:rsidP="00FB5014">
      <w:pPr>
        <w:pStyle w:val="EndNoteBibliography"/>
        <w:ind w:left="720" w:hanging="720"/>
      </w:pPr>
      <w:bookmarkStart w:id="195" w:name="_ENREF_80"/>
      <w:r w:rsidRPr="00FB5014">
        <w:lastRenderedPageBreak/>
        <w:t>Queiroz, O.C.M., S.C. Kim and A.T. Adesogan. 2012. Effect of treatment with a mixture of bacteria and fibrolytic enzymes on the quality and safety of corn silage infested with different levels of rust. J. Dairy Sci. 95: 5285-5291.</w:t>
      </w:r>
      <w:bookmarkEnd w:id="195"/>
    </w:p>
    <w:p w14:paraId="07B6025B" w14:textId="77777777" w:rsidR="00FB5014" w:rsidRPr="00FB5014" w:rsidRDefault="00FB5014" w:rsidP="00FB5014">
      <w:pPr>
        <w:pStyle w:val="EndNoteBibliography"/>
        <w:ind w:left="720" w:hanging="720"/>
      </w:pPr>
      <w:bookmarkStart w:id="196" w:name="_ENREF_81"/>
      <w:r w:rsidRPr="00FB5014">
        <w:t>Ride, J.P. 1978. The role of cell wall alterations in resistance to fungi. Ann. Appl. Biol. 89: 302-305.</w:t>
      </w:r>
      <w:bookmarkEnd w:id="196"/>
    </w:p>
    <w:p w14:paraId="47FAA7E4" w14:textId="77777777" w:rsidR="00FB5014" w:rsidRPr="00FB5014" w:rsidRDefault="00FB5014" w:rsidP="00FB5014">
      <w:pPr>
        <w:pStyle w:val="EndNoteBibliography"/>
        <w:ind w:left="720" w:hanging="720"/>
      </w:pPr>
      <w:bookmarkStart w:id="197" w:name="_ENREF_82"/>
      <w:r w:rsidRPr="00FB5014">
        <w:t>Rose, L.W., M.K. Das, R.G. Fuentes and C.M. Taliaferro. 2007. Effects of high- vs. low-yield environments on selection for increased biomass yield in switchgrass. Euphytica 156: 407-415.</w:t>
      </w:r>
      <w:bookmarkEnd w:id="197"/>
    </w:p>
    <w:p w14:paraId="1C54D9E8" w14:textId="77777777" w:rsidR="00FB5014" w:rsidRPr="00FB5014" w:rsidRDefault="00FB5014" w:rsidP="00FB5014">
      <w:pPr>
        <w:pStyle w:val="EndNoteBibliography"/>
        <w:ind w:left="720" w:hanging="720"/>
      </w:pPr>
      <w:bookmarkStart w:id="198" w:name="_ENREF_83"/>
      <w:r w:rsidRPr="00FB5014">
        <w:t>Saha, U., L. Sonon, D. Hancock, N. Hill, L. Stewart, G. Heusner, et al. 2010. Common terms used in animal feeding and nutrition. B1367.</w:t>
      </w:r>
      <w:bookmarkEnd w:id="198"/>
    </w:p>
    <w:p w14:paraId="22961104" w14:textId="77777777" w:rsidR="00FB5014" w:rsidRPr="00FB5014" w:rsidRDefault="00FB5014" w:rsidP="00FB5014">
      <w:pPr>
        <w:pStyle w:val="EndNoteBibliography"/>
        <w:ind w:left="720" w:hanging="720"/>
      </w:pPr>
      <w:bookmarkStart w:id="199" w:name="_ENREF_84"/>
      <w:r w:rsidRPr="00FB5014">
        <w:t xml:space="preserve">Samuel, C.J.A., J. Hill, E.L. Breese and A. Davies. 1970. Assessing and predicting environmental response in </w:t>
      </w:r>
      <w:r w:rsidRPr="00FB5014">
        <w:rPr>
          <w:i/>
        </w:rPr>
        <w:t>Lolium perenne</w:t>
      </w:r>
      <w:r w:rsidRPr="00FB5014">
        <w:t>. J. Agric. Sci. 75: 1-9.</w:t>
      </w:r>
      <w:bookmarkEnd w:id="199"/>
    </w:p>
    <w:p w14:paraId="0E0B9ED4" w14:textId="77777777" w:rsidR="00FB5014" w:rsidRPr="00FB5014" w:rsidRDefault="00FB5014" w:rsidP="00FB5014">
      <w:pPr>
        <w:pStyle w:val="EndNoteBibliography"/>
        <w:ind w:left="720" w:hanging="720"/>
      </w:pPr>
      <w:bookmarkStart w:id="200" w:name="_ENREF_85"/>
      <w:r w:rsidRPr="00FB5014">
        <w:t>Sanderson, M.A. 2008. Upland switcghrass yield, nutritive value, and soil carbon changes under grazing and clipping. Agron. J. 100: 510-516.</w:t>
      </w:r>
      <w:bookmarkEnd w:id="200"/>
    </w:p>
    <w:p w14:paraId="3CFB4895" w14:textId="77777777" w:rsidR="00FB5014" w:rsidRPr="00FB5014" w:rsidRDefault="00FB5014" w:rsidP="00FB5014">
      <w:pPr>
        <w:pStyle w:val="EndNoteBibliography"/>
        <w:ind w:left="720" w:hanging="720"/>
      </w:pPr>
      <w:bookmarkStart w:id="201" w:name="_ENREF_86"/>
      <w:r w:rsidRPr="00FB5014">
        <w:t>Sarath, G., B. Dien, A.J. Saathoff, K.P. Vogel, R.B. Mitchell and H. Chen. 2011. Ethanol yields and cell wall properties in divergently bred switchgrass genotypes. Bioresource Technology 102: 9579-9585.</w:t>
      </w:r>
      <w:bookmarkEnd w:id="201"/>
    </w:p>
    <w:p w14:paraId="674E4654" w14:textId="77777777" w:rsidR="00FB5014" w:rsidRPr="00FB5014" w:rsidRDefault="00FB5014" w:rsidP="00FB5014">
      <w:pPr>
        <w:pStyle w:val="EndNoteBibliography"/>
        <w:ind w:left="720" w:hanging="720"/>
      </w:pPr>
      <w:bookmarkStart w:id="202" w:name="_ENREF_87"/>
      <w:r w:rsidRPr="00FB5014">
        <w:t>Shen, H., C. Fu, X. Xiao, T. Ray, Y. Tang, Z. Wang, et al. 2009. Developmental control of lignificantion in stems of lowland switchgrass variety Alamo and the effects on saccharification efficiency. Bioenerg. Res. 2: 233-245.</w:t>
      </w:r>
      <w:bookmarkEnd w:id="202"/>
    </w:p>
    <w:p w14:paraId="17DDDCF4" w14:textId="77777777" w:rsidR="00FB5014" w:rsidRPr="00FB5014" w:rsidRDefault="00FB5014" w:rsidP="00FB5014">
      <w:pPr>
        <w:pStyle w:val="EndNoteBibliography"/>
        <w:ind w:left="720" w:hanging="720"/>
      </w:pPr>
      <w:bookmarkStart w:id="203" w:name="_ENREF_88"/>
      <w:r w:rsidRPr="00FB5014">
        <w:t xml:space="preserve">Silva, M.C., M. Nicole, L. Rijo, J.P. Geiger and C.J. Rodrigues. 1999. Cytochemical aspects of the plant-rust fungus interface during the compatible interaction </w:t>
      </w:r>
      <w:r w:rsidRPr="00FB5014">
        <w:rPr>
          <w:i/>
        </w:rPr>
        <w:t>Coffeea Arabica</w:t>
      </w:r>
      <w:r w:rsidRPr="00FB5014">
        <w:t xml:space="preserve"> (cv. caturra) - </w:t>
      </w:r>
      <w:r w:rsidRPr="00FB5014">
        <w:rPr>
          <w:i/>
        </w:rPr>
        <w:t>Hemileia Vastarix</w:t>
      </w:r>
      <w:r w:rsidRPr="00FB5014">
        <w:t xml:space="preserve"> (Race III). Int. J. Plant Sci. 160: 79-91.</w:t>
      </w:r>
      <w:bookmarkEnd w:id="203"/>
    </w:p>
    <w:p w14:paraId="792E1ABF" w14:textId="77777777" w:rsidR="00FB5014" w:rsidRPr="00FB5014" w:rsidRDefault="00FB5014" w:rsidP="00FB5014">
      <w:pPr>
        <w:pStyle w:val="EndNoteBibliography"/>
        <w:ind w:left="720" w:hanging="720"/>
      </w:pPr>
      <w:bookmarkStart w:id="204" w:name="_ENREF_89"/>
      <w:r w:rsidRPr="00FB5014">
        <w:lastRenderedPageBreak/>
        <w:t>Smart, A.J., L.E. Moser and K.P. Vogel. 2004. Morphological characteristics of big bluestem and switchgrass plants divergently selected for seedling tiller number. Crop Sci. 44: 607-613.</w:t>
      </w:r>
      <w:bookmarkEnd w:id="204"/>
    </w:p>
    <w:p w14:paraId="3C23B576" w14:textId="77777777" w:rsidR="00FB5014" w:rsidRPr="00FB5014" w:rsidRDefault="00FB5014" w:rsidP="00FB5014">
      <w:pPr>
        <w:pStyle w:val="EndNoteBibliography"/>
        <w:ind w:left="720" w:hanging="720"/>
      </w:pPr>
      <w:bookmarkStart w:id="205" w:name="_ENREF_90"/>
      <w:r w:rsidRPr="00FB5014">
        <w:t>Sprague, R. 1950. Diseases of Cereals and Grasses in North AmericaRonald Press.</w:t>
      </w:r>
      <w:bookmarkEnd w:id="205"/>
    </w:p>
    <w:p w14:paraId="1C55FF39" w14:textId="77777777" w:rsidR="00FB5014" w:rsidRPr="00FB5014" w:rsidRDefault="00FB5014" w:rsidP="00FB5014">
      <w:pPr>
        <w:pStyle w:val="EndNoteBibliography"/>
        <w:ind w:left="720" w:hanging="720"/>
      </w:pPr>
      <w:bookmarkStart w:id="206" w:name="_ENREF_91"/>
      <w:r w:rsidRPr="00FB5014">
        <w:t xml:space="preserve">Stueville, D.L., R.L. Wynia and J.M. Row. 2001. Reaction of switchgrass cultivars to seed smut caused by </w:t>
      </w:r>
      <w:r w:rsidRPr="00FB5014">
        <w:rPr>
          <w:i/>
        </w:rPr>
        <w:t>Tilletia maclaganii</w:t>
      </w:r>
      <w:r w:rsidRPr="00FB5014">
        <w:t xml:space="preserve"> doi:P-2002-0025-NCA.</w:t>
      </w:r>
      <w:bookmarkEnd w:id="206"/>
    </w:p>
    <w:p w14:paraId="1FA41961" w14:textId="77777777" w:rsidR="00FB5014" w:rsidRPr="00FB5014" w:rsidRDefault="00FB5014" w:rsidP="00FB5014">
      <w:pPr>
        <w:pStyle w:val="EndNoteBibliography"/>
        <w:ind w:left="720" w:hanging="720"/>
      </w:pPr>
      <w:bookmarkStart w:id="207" w:name="_ENREF_92"/>
      <w:r w:rsidRPr="00FB5014">
        <w:t>Talbert, L.E., D.H. Timothy, J.C. Burns, J.O. Rawlings and R.H. Moll. 1983. Estimates of genetic parameters in switchgrass. Crop Sci. 23: 725-728.</w:t>
      </w:r>
      <w:bookmarkEnd w:id="207"/>
    </w:p>
    <w:p w14:paraId="4724258F" w14:textId="77777777" w:rsidR="00FB5014" w:rsidRPr="00FB5014" w:rsidRDefault="00FB5014" w:rsidP="00FB5014">
      <w:pPr>
        <w:pStyle w:val="EndNoteBibliography"/>
        <w:ind w:left="720" w:hanging="720"/>
      </w:pPr>
      <w:bookmarkStart w:id="208" w:name="_ENREF_93"/>
      <w:r w:rsidRPr="00FB5014">
        <w:t>Taliaferro, C.M., A.A. Hokins, M.P. Anderson and J.A. Anderson. 1996. Breeding and genetic studies in bermudagras and switchgrass. Proceedings of the 52nd Southern Pasture &amp; Forage Crop Improvement Conference, Oklahoma City. March 30 - April 2.</w:t>
      </w:r>
      <w:bookmarkEnd w:id="208"/>
    </w:p>
    <w:p w14:paraId="165600DD" w14:textId="77777777" w:rsidR="00FB5014" w:rsidRPr="00FB5014" w:rsidRDefault="00FB5014" w:rsidP="00FB5014">
      <w:pPr>
        <w:pStyle w:val="EndNoteBibliography"/>
        <w:ind w:left="720" w:hanging="720"/>
      </w:pPr>
      <w:bookmarkStart w:id="209" w:name="_ENREF_94"/>
      <w:r w:rsidRPr="00FB5014">
        <w:t>Taliaferro, C.M. and A.A. Hopkins. 1996. Breeding characteristics and improvement potentials of switchgrass. Proceedings of the Third Liquid Fuel Conference:  Liquid Fuels and Industrial Products from Renewable Resources, Nashville. 15-17 Sept.</w:t>
      </w:r>
      <w:bookmarkEnd w:id="209"/>
    </w:p>
    <w:p w14:paraId="502FADF1" w14:textId="77777777" w:rsidR="00FB5014" w:rsidRPr="00FB5014" w:rsidRDefault="00FB5014" w:rsidP="00FB5014">
      <w:pPr>
        <w:pStyle w:val="EndNoteBibliography"/>
        <w:ind w:left="720" w:hanging="720"/>
      </w:pPr>
      <w:bookmarkStart w:id="210" w:name="_ENREF_95"/>
      <w:r w:rsidRPr="00FB5014">
        <w:t>Tiffany, L.H. and G. Knaphus. 1985. The rust fungi (</w:t>
      </w:r>
      <w:r w:rsidRPr="00FB5014">
        <w:rPr>
          <w:i/>
        </w:rPr>
        <w:t>Uredinales</w:t>
      </w:r>
      <w:r w:rsidRPr="00FB5014">
        <w:t>) of the Loess Hills region of Iowa. Journ. Iowa Acad. Sci. 92: 186-188.</w:t>
      </w:r>
      <w:bookmarkEnd w:id="210"/>
    </w:p>
    <w:p w14:paraId="621E4533" w14:textId="77777777" w:rsidR="00FB5014" w:rsidRPr="00FB5014" w:rsidRDefault="00FB5014" w:rsidP="00FB5014">
      <w:pPr>
        <w:pStyle w:val="EndNoteBibliography"/>
        <w:ind w:left="720" w:hanging="720"/>
      </w:pPr>
      <w:bookmarkStart w:id="211" w:name="_ENREF_96"/>
      <w:r w:rsidRPr="00FB5014">
        <w:t>Tischler, C.R., H.W. Elberson, M.A. Hussey, W.R. Ocumpaugh, R.L. Reed and M.A. Sanderson. 2001. TEM-SLC and TEM-SEC switchgrass germplasm. Crop Sci. 41: 1654.</w:t>
      </w:r>
      <w:bookmarkEnd w:id="211"/>
    </w:p>
    <w:p w14:paraId="11D1F59B" w14:textId="77777777" w:rsidR="00FB5014" w:rsidRPr="00FB5014" w:rsidRDefault="00FB5014" w:rsidP="00FB5014">
      <w:pPr>
        <w:pStyle w:val="EndNoteBibliography"/>
        <w:ind w:left="720" w:hanging="720"/>
      </w:pPr>
      <w:bookmarkStart w:id="212" w:name="_ENREF_97"/>
      <w:r w:rsidRPr="00FB5014">
        <w:t>Torget, R., P. Werdene, M. Himmel and K. Grohmann. 1990. Dilute acid pretreatment of short rotation woody and herbaceous crops. Appl. Biochem. Biotechnol. 24-25: 115.</w:t>
      </w:r>
      <w:bookmarkEnd w:id="212"/>
    </w:p>
    <w:p w14:paraId="4AFE6A2D" w14:textId="77777777" w:rsidR="00FB5014" w:rsidRPr="00FB5014" w:rsidRDefault="00FB5014" w:rsidP="00FB5014">
      <w:pPr>
        <w:pStyle w:val="EndNoteBibliography"/>
        <w:ind w:left="720" w:hanging="720"/>
      </w:pPr>
      <w:bookmarkStart w:id="213" w:name="_ENREF_98"/>
      <w:r w:rsidRPr="00FB5014">
        <w:t>Vogel, K.P., B.S. Dien, H.G. Jung, M.D. Casler, S.D. Masterson and R.B. Mitchell. 2011. Quantifying actual and theoretical ethanol yields for switchgrass strains using NIRS analyses. Bioenerg. Res. 4: 96-110.</w:t>
      </w:r>
      <w:bookmarkEnd w:id="213"/>
    </w:p>
    <w:p w14:paraId="4ADA8F34" w14:textId="77777777" w:rsidR="00FB5014" w:rsidRPr="00FB5014" w:rsidRDefault="00FB5014" w:rsidP="00FB5014">
      <w:pPr>
        <w:pStyle w:val="EndNoteBibliography"/>
        <w:ind w:left="720" w:hanging="720"/>
      </w:pPr>
      <w:bookmarkStart w:id="214" w:name="_ENREF_100"/>
      <w:r w:rsidRPr="00FB5014">
        <w:lastRenderedPageBreak/>
        <w:t>Vogel, K.P. and R.B. Mitchell. 2008. Heterosis in switchgrass:  Biomass yield in swards. Crop Sci. 48: 2159-2164.</w:t>
      </w:r>
      <w:bookmarkEnd w:id="214"/>
    </w:p>
    <w:p w14:paraId="2D1845D0" w14:textId="77777777" w:rsidR="00FB5014" w:rsidRPr="00FB5014" w:rsidRDefault="00FB5014" w:rsidP="00FB5014">
      <w:pPr>
        <w:pStyle w:val="EndNoteBibliography"/>
        <w:ind w:left="720" w:hanging="720"/>
      </w:pPr>
      <w:bookmarkStart w:id="215" w:name="_ENREF_101"/>
      <w:r w:rsidRPr="00FB5014">
        <w:t>Waldron, B.L., J.G. Robins, M.D. Peel and K.B. Jensen. 2008. Predicted efficiency of spaced-plant selection to indirectly improve tall fescue sward yield and quality. Crop Sci. 48: 443.</w:t>
      </w:r>
      <w:bookmarkEnd w:id="215"/>
    </w:p>
    <w:p w14:paraId="31DA1DFB" w14:textId="77777777" w:rsidR="00FB5014" w:rsidRPr="00FB5014" w:rsidRDefault="00FB5014" w:rsidP="00FB5014">
      <w:pPr>
        <w:pStyle w:val="EndNoteBibliography"/>
        <w:ind w:left="720" w:hanging="720"/>
      </w:pPr>
      <w:bookmarkStart w:id="216" w:name="_ENREF_103"/>
      <w:r w:rsidRPr="00FB5014">
        <w:t>Wilson, J.P., R.N. Gates and W.W. Hanna. 1991. Effect of rust on  yield and digestibility of pearl millet forage. Phytopathology 81: 233-236.</w:t>
      </w:r>
      <w:bookmarkEnd w:id="216"/>
    </w:p>
    <w:p w14:paraId="47B6E35D" w14:textId="77777777" w:rsidR="00FB5014" w:rsidRPr="00FB5014" w:rsidRDefault="00FB5014" w:rsidP="00FB5014">
      <w:pPr>
        <w:pStyle w:val="EndNoteBibliography"/>
        <w:ind w:left="720" w:hanging="720"/>
      </w:pPr>
      <w:bookmarkStart w:id="217" w:name="_ENREF_104"/>
      <w:r w:rsidRPr="00FB5014">
        <w:t>Wricke, G. and W.E. Weber. 1986. Quantitative Genetics and Selection in Plant Breeding. Walter de Gruyter, New York.</w:t>
      </w:r>
      <w:bookmarkEnd w:id="217"/>
    </w:p>
    <w:p w14:paraId="5278DDC1" w14:textId="77777777" w:rsidR="00FB5014" w:rsidRPr="00FB5014" w:rsidRDefault="00FB5014" w:rsidP="00FB5014">
      <w:pPr>
        <w:pStyle w:val="EndNoteBibliography"/>
        <w:ind w:left="720" w:hanging="720"/>
      </w:pPr>
      <w:bookmarkStart w:id="218" w:name="_ENREF_105"/>
      <w:r w:rsidRPr="00FB5014">
        <w:t>Wright, J.D. 1983. High-temperature acid hydrolysis of cellulose for alcohol fuel production.  Solar Energy Research Institute, Report Number SERI/TR-231-1714, DE83009109, Golden Colorado.</w:t>
      </w:r>
      <w:bookmarkEnd w:id="218"/>
    </w:p>
    <w:p w14:paraId="7FFFE9BE" w14:textId="77777777" w:rsidR="00FB5014" w:rsidRPr="00FB5014" w:rsidRDefault="00FB5014" w:rsidP="00FB5014">
      <w:pPr>
        <w:pStyle w:val="EndNoteBibliography"/>
        <w:ind w:left="720" w:hanging="720"/>
      </w:pPr>
      <w:bookmarkStart w:id="219" w:name="_ENREF_106"/>
      <w:r w:rsidRPr="00FB5014">
        <w:t>Xu, H. and M.C. Heath. 1998. Role of calcium in signal transduction during the hypersensitive response caused by basidiospore-derived infection of the cowpea rust fungus. Plant Cell 10: 585-597.</w:t>
      </w:r>
      <w:bookmarkEnd w:id="219"/>
    </w:p>
    <w:p w14:paraId="6B57EA0E" w14:textId="77777777" w:rsidR="00FB5014" w:rsidRPr="00FB5014" w:rsidRDefault="00FB5014" w:rsidP="00FB5014">
      <w:pPr>
        <w:pStyle w:val="EndNoteBibliography"/>
        <w:ind w:left="720" w:hanging="720"/>
      </w:pPr>
      <w:bookmarkStart w:id="220" w:name="_ENREF_107"/>
      <w:r w:rsidRPr="00FB5014">
        <w:t>Zale, J., L. Freshour, S. Agarwal, J. Sorochan, B.H. Ownley, K.D. Gwinn, et al. 2008. First report of rust on switchgrass (</w:t>
      </w:r>
      <w:r w:rsidRPr="00FB5014">
        <w:rPr>
          <w:i/>
        </w:rPr>
        <w:t>Panicum virgatum</w:t>
      </w:r>
      <w:r w:rsidRPr="00FB5014">
        <w:t xml:space="preserve">) caused by </w:t>
      </w:r>
      <w:r w:rsidRPr="00FB5014">
        <w:rPr>
          <w:i/>
        </w:rPr>
        <w:t>Puccinia emaculata</w:t>
      </w:r>
      <w:r w:rsidRPr="00FB5014">
        <w:t xml:space="preserve"> in Tennessee. Plant Disease 92: 1710-1710. doi:10.1094/pdis-92-12-1710b.</w:t>
      </w:r>
      <w:bookmarkEnd w:id="220"/>
    </w:p>
    <w:p w14:paraId="6DF3F29A" w14:textId="77777777" w:rsidR="00FB5014" w:rsidRPr="00FB5014" w:rsidRDefault="00FB5014" w:rsidP="00FB5014">
      <w:pPr>
        <w:pStyle w:val="EndNoteBibliography"/>
        <w:ind w:left="720" w:hanging="720"/>
      </w:pPr>
      <w:bookmarkStart w:id="221" w:name="_ENREF_108"/>
      <w:r w:rsidRPr="00FB5014">
        <w:t>Zarrough, K.M., C.J. Nelson and J.H. Coutts. 1983. Relationship between tillering and forage yield of tall fescue. I. Yield. Crop Sci. 23: 333-337.</w:t>
      </w:r>
      <w:bookmarkEnd w:id="221"/>
    </w:p>
    <w:p w14:paraId="3A22CBCB" w14:textId="77777777" w:rsidR="00FB5014" w:rsidRPr="00FB5014" w:rsidRDefault="00FB5014" w:rsidP="00FB5014">
      <w:pPr>
        <w:pStyle w:val="EndNoteBibliography"/>
        <w:ind w:left="720" w:hanging="720"/>
      </w:pPr>
      <w:bookmarkStart w:id="222" w:name="_ENREF_109"/>
      <w:r w:rsidRPr="00FB5014">
        <w:t>Zeiders, K.E. 1984. Helminthosporium spot blotch of switchgrass in Pennsylvania. Plant Dis. 68: 120-122.</w:t>
      </w:r>
      <w:bookmarkEnd w:id="222"/>
    </w:p>
    <w:p w14:paraId="181FAA70" w14:textId="77777777" w:rsidR="00FB5014" w:rsidRPr="00FB5014" w:rsidRDefault="00FB5014" w:rsidP="00FB5014">
      <w:pPr>
        <w:pStyle w:val="EndNoteBibliography"/>
        <w:ind w:left="720" w:hanging="720"/>
      </w:pPr>
      <w:bookmarkStart w:id="223" w:name="_ENREF_110"/>
      <w:r w:rsidRPr="00FB5014">
        <w:lastRenderedPageBreak/>
        <w:t xml:space="preserve">Zhang, S.H., Q. Yang and R.C. Ma. 2007. </w:t>
      </w:r>
      <w:r w:rsidRPr="00FB5014">
        <w:rPr>
          <w:i/>
        </w:rPr>
        <w:t>Erwinia carotovora</w:t>
      </w:r>
      <w:r w:rsidRPr="00FB5014">
        <w:t xml:space="preserve"> spp. Carotovora infection induced "defense lignin" accumulation and lignin biosynthetic gene expression in chinese cabbage (</w:t>
      </w:r>
      <w:r w:rsidRPr="00FB5014">
        <w:rPr>
          <w:i/>
        </w:rPr>
        <w:t>Brassica rapa</w:t>
      </w:r>
      <w:r w:rsidRPr="00FB5014">
        <w:t xml:space="preserve"> L. spp pekinensis). J. Integr. Plant Biol. 49: 993-1002.</w:t>
      </w:r>
      <w:bookmarkEnd w:id="223"/>
    </w:p>
    <w:p w14:paraId="064B433B" w14:textId="31BF6F5A" w:rsidR="002A6660" w:rsidRPr="00ED44DE" w:rsidRDefault="00301182" w:rsidP="004466E9">
      <w:pPr>
        <w:rPr>
          <w:rFonts w:eastAsiaTheme="minorHAnsi"/>
        </w:rPr>
      </w:pPr>
      <w:r>
        <w:fldChar w:fldCharType="end"/>
      </w:r>
      <w:r w:rsidR="002A6660">
        <w:t xml:space="preserve"> </w:t>
      </w:r>
    </w:p>
    <w:p w14:paraId="105EF52C" w14:textId="77777777" w:rsidR="002A6660" w:rsidRDefault="002A6660">
      <w:pPr>
        <w:spacing w:line="240" w:lineRule="auto"/>
        <w:rPr>
          <w:b/>
          <w:bCs/>
          <w:caps/>
          <w:sz w:val="28"/>
        </w:rPr>
      </w:pPr>
    </w:p>
    <w:p w14:paraId="25F04F13" w14:textId="77777777" w:rsidR="002A6660" w:rsidRDefault="002A6660">
      <w:pPr>
        <w:spacing w:line="240" w:lineRule="auto"/>
        <w:rPr>
          <w:b/>
          <w:bCs/>
          <w:caps/>
          <w:sz w:val="28"/>
        </w:rPr>
      </w:pPr>
      <w:r>
        <w:br w:type="page"/>
      </w:r>
    </w:p>
    <w:p w14:paraId="0F165C0B" w14:textId="77777777" w:rsidR="00896D00" w:rsidRPr="00896D00" w:rsidRDefault="004E14EB" w:rsidP="0099190A">
      <w:pPr>
        <w:pStyle w:val="Heading1"/>
      </w:pPr>
      <w:bookmarkStart w:id="224" w:name="_Toc404069870"/>
      <w:r>
        <w:lastRenderedPageBreak/>
        <w:t>VITA</w:t>
      </w:r>
      <w:bookmarkEnd w:id="224"/>
    </w:p>
    <w:p w14:paraId="67D5BC71" w14:textId="0D5F957D" w:rsidR="00F42BAB" w:rsidRDefault="009F46A0" w:rsidP="002D0EF3">
      <w:pPr>
        <w:ind w:firstLine="720"/>
      </w:pPr>
      <w:r>
        <w:t>Virginia Sykes w</w:t>
      </w:r>
      <w:r w:rsidR="00F42BAB">
        <w:t xml:space="preserve">as born in Mobile, Alabama in 1984. She earned her Doctor of Philosophy in </w:t>
      </w:r>
      <w:r w:rsidR="00EE1BCB">
        <w:t>Plants, Soils, and Insects</w:t>
      </w:r>
      <w:r w:rsidR="00F42BAB">
        <w:t xml:space="preserve"> with a </w:t>
      </w:r>
      <w:r w:rsidR="006E0341">
        <w:t>concentration in</w:t>
      </w:r>
      <w:r w:rsidR="00327487">
        <w:t xml:space="preserve"> plant breeding</w:t>
      </w:r>
      <w:r w:rsidR="00F42BAB">
        <w:t xml:space="preserve"> </w:t>
      </w:r>
      <w:r w:rsidR="006E0341">
        <w:t xml:space="preserve">and her </w:t>
      </w:r>
      <w:r w:rsidR="00327487">
        <w:t>Master of Science in Statistics</w:t>
      </w:r>
      <w:r w:rsidR="006E0341">
        <w:t xml:space="preserve"> </w:t>
      </w:r>
      <w:r w:rsidR="00F42BAB">
        <w:t xml:space="preserve">from the University of Tennessee in December, 2014. Prior to this, she attended Virginia Tech where she earned a Master of Science in </w:t>
      </w:r>
      <w:r w:rsidR="00EE1BCB">
        <w:t>Life</w:t>
      </w:r>
      <w:r w:rsidR="004253E7">
        <w:t xml:space="preserve"> Science</w:t>
      </w:r>
      <w:r w:rsidR="00EE1BCB">
        <w:t xml:space="preserve"> </w:t>
      </w:r>
      <w:r w:rsidR="006E0341">
        <w:t>with a concentration in</w:t>
      </w:r>
      <w:r w:rsidR="00327487">
        <w:t xml:space="preserve"> Plant P</w:t>
      </w:r>
      <w:r w:rsidR="00EE1BCB">
        <w:t>athology</w:t>
      </w:r>
      <w:r w:rsidR="00F42BAB">
        <w:t xml:space="preserve"> and a Bachelor of Science in </w:t>
      </w:r>
      <w:r w:rsidR="004253E7">
        <w:t xml:space="preserve">Business with a concentration in </w:t>
      </w:r>
      <w:r w:rsidR="00F42BAB">
        <w:t>Marketing Management.</w:t>
      </w:r>
    </w:p>
    <w:p w14:paraId="0DAB2437" w14:textId="480F9DA7" w:rsidR="00EE1BCB" w:rsidRDefault="00F42BAB" w:rsidP="002D0EF3">
      <w:pPr>
        <w:ind w:firstLine="720"/>
      </w:pPr>
      <w:r>
        <w:t>During her time in graduate school, Virginia has been very active in various agricultural societies, including the American Phytopathological Society, the American Society of Agronomy, the National Association of Plant Breeders, and Gamma Sig</w:t>
      </w:r>
      <w:r w:rsidR="003F5FD1">
        <w:t>ma Delta Agricultural Honor Socie</w:t>
      </w:r>
      <w:r>
        <w:t>ty.</w:t>
      </w:r>
      <w:r w:rsidR="00EE1BCB">
        <w:t xml:space="preserve"> She has presented her M.S. and Ph.D. research at nationally recognized </w:t>
      </w:r>
      <w:r w:rsidR="00270266">
        <w:t>plant science</w:t>
      </w:r>
      <w:r w:rsidR="00EE1BCB">
        <w:t xml:space="preserve"> conferences </w:t>
      </w:r>
      <w:r w:rsidR="000B7ED3">
        <w:t>through</w:t>
      </w:r>
      <w:r w:rsidR="00EE1BCB">
        <w:t xml:space="preserve"> poster and oral presentations and has won 1</w:t>
      </w:r>
      <w:r w:rsidR="00EE1BCB" w:rsidRPr="00EE1BCB">
        <w:rPr>
          <w:vertAlign w:val="superscript"/>
        </w:rPr>
        <w:t>st</w:t>
      </w:r>
      <w:r w:rsidR="00EE1BCB">
        <w:t xml:space="preserve"> and 2</w:t>
      </w:r>
      <w:r w:rsidR="00EE1BCB" w:rsidRPr="00EE1BCB">
        <w:rPr>
          <w:vertAlign w:val="superscript"/>
        </w:rPr>
        <w:t>nd</w:t>
      </w:r>
      <w:r w:rsidR="00EE1BCB">
        <w:t xml:space="preserve"> place prizes in the American Society of Agronomy graduate student oral presentation competition. She has had the opportunity to give a number of extension presentations at the Virginia Turfgrass Council annual meeting, the Mid-Atlantic Horticulture Short Course, and at both the Virginia Tech </w:t>
      </w:r>
      <w:r w:rsidR="00270266">
        <w:t xml:space="preserve">campus and </w:t>
      </w:r>
      <w:r w:rsidR="00EE1BCB">
        <w:t>Hampton Roads and Suffolk Extension Centers.</w:t>
      </w:r>
    </w:p>
    <w:p w14:paraId="79991603" w14:textId="566D64F7" w:rsidR="00941CCD" w:rsidRDefault="00EE1BCB" w:rsidP="002D0EF3">
      <w:pPr>
        <w:ind w:firstLine="720"/>
      </w:pPr>
      <w:r>
        <w:t>As the research associate for the University of Tennessee State Variety Trials for Corn, Corn Silage, Soybeans, and Wheat, Virginia has had the opportunity to interact with gro</w:t>
      </w:r>
      <w:r w:rsidR="006E0341">
        <w:t xml:space="preserve">wers throughout the state of TN. She has </w:t>
      </w:r>
      <w:r>
        <w:t>help</w:t>
      </w:r>
      <w:r w:rsidR="006E0341">
        <w:t>ed</w:t>
      </w:r>
      <w:r>
        <w:t xml:space="preserve"> </w:t>
      </w:r>
      <w:r w:rsidR="00270266">
        <w:t xml:space="preserve">manage the day to day operations of the variety trials program and has </w:t>
      </w:r>
      <w:r>
        <w:t>provide</w:t>
      </w:r>
      <w:r w:rsidR="00270266">
        <w:t>d</w:t>
      </w:r>
      <w:r>
        <w:t xml:space="preserve"> </w:t>
      </w:r>
      <w:r w:rsidR="000B7ED3">
        <w:t>crucial</w:t>
      </w:r>
      <w:r>
        <w:t xml:space="preserve"> data on variety performance to growers through the preparation </w:t>
      </w:r>
      <w:r w:rsidR="006E0341">
        <w:t xml:space="preserve">and distribution </w:t>
      </w:r>
      <w:r>
        <w:t>of extension publications.</w:t>
      </w:r>
      <w:r w:rsidR="006E0341">
        <w:t xml:space="preserve"> Virginia hopes to remain activ</w:t>
      </w:r>
      <w:r w:rsidR="00270266">
        <w:t>e in the field of plant sciences and continue to make meaningful advances in plant breeding</w:t>
      </w:r>
      <w:r w:rsidR="00954DB7">
        <w:t xml:space="preserve">. </w:t>
      </w:r>
      <w:r>
        <w:t xml:space="preserve"> </w:t>
      </w:r>
      <w:r w:rsidR="00F42BAB">
        <w:t xml:space="preserve">   </w:t>
      </w:r>
    </w:p>
    <w:p w14:paraId="00EE6E99" w14:textId="34C81845" w:rsidR="00941CCD" w:rsidRDefault="00941CCD" w:rsidP="002D0EF3">
      <w:pPr>
        <w:ind w:firstLine="720"/>
      </w:pPr>
    </w:p>
    <w:sectPr w:rsidR="00941CCD" w:rsidSect="0079499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7B84AC" w14:textId="77777777" w:rsidR="00190148" w:rsidRDefault="00190148">
      <w:r>
        <w:separator/>
      </w:r>
    </w:p>
  </w:endnote>
  <w:endnote w:type="continuationSeparator" w:id="0">
    <w:p w14:paraId="5CD671B4" w14:textId="77777777" w:rsidR="00190148" w:rsidRDefault="00190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2D2CF" w14:textId="77777777" w:rsidR="005E444B" w:rsidRDefault="005E444B" w:rsidP="00D60A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9CE491B" w14:textId="77777777" w:rsidR="005E444B" w:rsidRDefault="005E44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E30EE" w14:textId="77777777" w:rsidR="005E444B" w:rsidRDefault="005E444B" w:rsidP="00DD7B6E">
    <w:pPr>
      <w:pStyle w:val="Footer"/>
      <w:jc w:val="center"/>
    </w:pPr>
    <w:r>
      <w:fldChar w:fldCharType="begin"/>
    </w:r>
    <w:r>
      <w:instrText xml:space="preserve"> PAGE   \* MERGEFORMAT </w:instrText>
    </w:r>
    <w:r>
      <w:fldChar w:fldCharType="separate"/>
    </w:r>
    <w:r w:rsidR="007B34A9">
      <w:rPr>
        <w:noProof/>
      </w:rPr>
      <w:t>3</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EE7CB" w14:textId="77777777" w:rsidR="005E444B" w:rsidRDefault="005E444B" w:rsidP="00DD7B6E">
    <w:pPr>
      <w:pStyle w:val="Footer"/>
      <w:jc w:val="center"/>
    </w:pPr>
    <w:r>
      <w:fldChar w:fldCharType="begin"/>
    </w:r>
    <w:r>
      <w:instrText xml:space="preserve"> PAGE   \* MERGEFORMAT </w:instrText>
    </w:r>
    <w:r>
      <w:fldChar w:fldCharType="separate"/>
    </w:r>
    <w:r w:rsidR="007B34A9">
      <w:rPr>
        <w:noProof/>
      </w:rPr>
      <w:t>170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8EE13" w14:textId="77777777" w:rsidR="00190148" w:rsidRDefault="00190148">
      <w:r>
        <w:separator/>
      </w:r>
    </w:p>
  </w:footnote>
  <w:footnote w:type="continuationSeparator" w:id="0">
    <w:p w14:paraId="64118723" w14:textId="77777777" w:rsidR="00190148" w:rsidRDefault="001901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68873" w14:textId="77777777" w:rsidR="005E444B" w:rsidRDefault="005E444B">
    <w:pPr>
      <w:pStyle w:val="Header"/>
      <w:rPr>
        <w:rStyle w:val="PageNumber"/>
      </w:rPr>
    </w:pPr>
    <w:r>
      <w:rPr>
        <w:rStyle w:val="PageNumber"/>
      </w:rPr>
      <w:tab/>
    </w:r>
  </w:p>
  <w:p w14:paraId="693D6F4E" w14:textId="77777777" w:rsidR="005E444B" w:rsidRDefault="005E44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77D05"/>
    <w:multiLevelType w:val="hybridMultilevel"/>
    <w:tmpl w:val="162AAE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C4642"/>
    <w:multiLevelType w:val="hybridMultilevel"/>
    <w:tmpl w:val="B6DA82CA"/>
    <w:lvl w:ilvl="0" w:tplc="66BA561A">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E2263D4"/>
    <w:multiLevelType w:val="multilevel"/>
    <w:tmpl w:val="0D4A0EB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
    <w:nsid w:val="192E2A94"/>
    <w:multiLevelType w:val="hybridMultilevel"/>
    <w:tmpl w:val="816A62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895136"/>
    <w:multiLevelType w:val="hybridMultilevel"/>
    <w:tmpl w:val="93FA4A02"/>
    <w:lvl w:ilvl="0" w:tplc="C0ECB5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BB038B"/>
    <w:multiLevelType w:val="hybridMultilevel"/>
    <w:tmpl w:val="4B8A7360"/>
    <w:lvl w:ilvl="0" w:tplc="C40A64A0">
      <w:start w:val="1"/>
      <w:numFmt w:val="bullet"/>
      <w:lvlText w:val="o"/>
      <w:lvlJc w:val="left"/>
      <w:pPr>
        <w:tabs>
          <w:tab w:val="num" w:pos="720"/>
        </w:tabs>
        <w:ind w:left="720" w:hanging="360"/>
      </w:pPr>
      <w:rPr>
        <w:rFonts w:ascii="Courier New" w:hAnsi="Courier New" w:hint="default"/>
      </w:rPr>
    </w:lvl>
    <w:lvl w:ilvl="1" w:tplc="A4DAD314" w:tentative="1">
      <w:start w:val="1"/>
      <w:numFmt w:val="bullet"/>
      <w:lvlText w:val="o"/>
      <w:lvlJc w:val="left"/>
      <w:pPr>
        <w:tabs>
          <w:tab w:val="num" w:pos="1440"/>
        </w:tabs>
        <w:ind w:left="1440" w:hanging="360"/>
      </w:pPr>
      <w:rPr>
        <w:rFonts w:ascii="Courier New" w:hAnsi="Courier New" w:hint="default"/>
      </w:rPr>
    </w:lvl>
    <w:lvl w:ilvl="2" w:tplc="58C6242C" w:tentative="1">
      <w:start w:val="1"/>
      <w:numFmt w:val="bullet"/>
      <w:lvlText w:val="o"/>
      <w:lvlJc w:val="left"/>
      <w:pPr>
        <w:tabs>
          <w:tab w:val="num" w:pos="2160"/>
        </w:tabs>
        <w:ind w:left="2160" w:hanging="360"/>
      </w:pPr>
      <w:rPr>
        <w:rFonts w:ascii="Courier New" w:hAnsi="Courier New" w:hint="default"/>
      </w:rPr>
    </w:lvl>
    <w:lvl w:ilvl="3" w:tplc="210AC5FE" w:tentative="1">
      <w:start w:val="1"/>
      <w:numFmt w:val="bullet"/>
      <w:lvlText w:val="o"/>
      <w:lvlJc w:val="left"/>
      <w:pPr>
        <w:tabs>
          <w:tab w:val="num" w:pos="2880"/>
        </w:tabs>
        <w:ind w:left="2880" w:hanging="360"/>
      </w:pPr>
      <w:rPr>
        <w:rFonts w:ascii="Courier New" w:hAnsi="Courier New" w:hint="default"/>
      </w:rPr>
    </w:lvl>
    <w:lvl w:ilvl="4" w:tplc="493E5042" w:tentative="1">
      <w:start w:val="1"/>
      <w:numFmt w:val="bullet"/>
      <w:lvlText w:val="o"/>
      <w:lvlJc w:val="left"/>
      <w:pPr>
        <w:tabs>
          <w:tab w:val="num" w:pos="3600"/>
        </w:tabs>
        <w:ind w:left="3600" w:hanging="360"/>
      </w:pPr>
      <w:rPr>
        <w:rFonts w:ascii="Courier New" w:hAnsi="Courier New" w:hint="default"/>
      </w:rPr>
    </w:lvl>
    <w:lvl w:ilvl="5" w:tplc="5E06A304" w:tentative="1">
      <w:start w:val="1"/>
      <w:numFmt w:val="bullet"/>
      <w:lvlText w:val="o"/>
      <w:lvlJc w:val="left"/>
      <w:pPr>
        <w:tabs>
          <w:tab w:val="num" w:pos="4320"/>
        </w:tabs>
        <w:ind w:left="4320" w:hanging="360"/>
      </w:pPr>
      <w:rPr>
        <w:rFonts w:ascii="Courier New" w:hAnsi="Courier New" w:hint="default"/>
      </w:rPr>
    </w:lvl>
    <w:lvl w:ilvl="6" w:tplc="6038DFD6" w:tentative="1">
      <w:start w:val="1"/>
      <w:numFmt w:val="bullet"/>
      <w:lvlText w:val="o"/>
      <w:lvlJc w:val="left"/>
      <w:pPr>
        <w:tabs>
          <w:tab w:val="num" w:pos="5040"/>
        </w:tabs>
        <w:ind w:left="5040" w:hanging="360"/>
      </w:pPr>
      <w:rPr>
        <w:rFonts w:ascii="Courier New" w:hAnsi="Courier New" w:hint="default"/>
      </w:rPr>
    </w:lvl>
    <w:lvl w:ilvl="7" w:tplc="CDEC7BD6" w:tentative="1">
      <w:start w:val="1"/>
      <w:numFmt w:val="bullet"/>
      <w:lvlText w:val="o"/>
      <w:lvlJc w:val="left"/>
      <w:pPr>
        <w:tabs>
          <w:tab w:val="num" w:pos="5760"/>
        </w:tabs>
        <w:ind w:left="5760" w:hanging="360"/>
      </w:pPr>
      <w:rPr>
        <w:rFonts w:ascii="Courier New" w:hAnsi="Courier New" w:hint="default"/>
      </w:rPr>
    </w:lvl>
    <w:lvl w:ilvl="8" w:tplc="2FB8205E" w:tentative="1">
      <w:start w:val="1"/>
      <w:numFmt w:val="bullet"/>
      <w:lvlText w:val="o"/>
      <w:lvlJc w:val="left"/>
      <w:pPr>
        <w:tabs>
          <w:tab w:val="num" w:pos="6480"/>
        </w:tabs>
        <w:ind w:left="6480" w:hanging="360"/>
      </w:pPr>
      <w:rPr>
        <w:rFonts w:ascii="Courier New" w:hAnsi="Courier New" w:hint="default"/>
      </w:rPr>
    </w:lvl>
  </w:abstractNum>
  <w:abstractNum w:abstractNumId="6">
    <w:nsid w:val="26F12FE6"/>
    <w:multiLevelType w:val="hybridMultilevel"/>
    <w:tmpl w:val="94E0C970"/>
    <w:lvl w:ilvl="0" w:tplc="FDB0FB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521083"/>
    <w:multiLevelType w:val="hybridMultilevel"/>
    <w:tmpl w:val="EBA6C4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660D0C"/>
    <w:multiLevelType w:val="hybridMultilevel"/>
    <w:tmpl w:val="200258DC"/>
    <w:lvl w:ilvl="0" w:tplc="5EF0B952">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B9A3F76"/>
    <w:multiLevelType w:val="hybridMultilevel"/>
    <w:tmpl w:val="348C4E4A"/>
    <w:lvl w:ilvl="0" w:tplc="250C8142">
      <w:start w:val="3"/>
      <w:numFmt w:val="bullet"/>
      <w:lvlText w:val="-"/>
      <w:lvlJc w:val="left"/>
      <w:pPr>
        <w:ind w:left="600" w:hanging="360"/>
      </w:pPr>
      <w:rPr>
        <w:rFonts w:ascii="Times New Roman" w:eastAsiaTheme="minorHAnsi"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0">
    <w:nsid w:val="3CFA073B"/>
    <w:multiLevelType w:val="hybridMultilevel"/>
    <w:tmpl w:val="F538F87C"/>
    <w:lvl w:ilvl="0" w:tplc="FB3A61CA">
      <w:start w:val="3"/>
      <w:numFmt w:val="bullet"/>
      <w:lvlText w:val="-"/>
      <w:lvlJc w:val="left"/>
      <w:pPr>
        <w:ind w:left="600" w:hanging="360"/>
      </w:pPr>
      <w:rPr>
        <w:rFonts w:ascii="Times New Roman" w:eastAsiaTheme="minorHAnsi"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1">
    <w:nsid w:val="423E7CA9"/>
    <w:multiLevelType w:val="hybridMultilevel"/>
    <w:tmpl w:val="89482C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0D3113"/>
    <w:multiLevelType w:val="hybridMultilevel"/>
    <w:tmpl w:val="B9D00EA0"/>
    <w:lvl w:ilvl="0" w:tplc="08B420F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A79516C"/>
    <w:multiLevelType w:val="hybridMultilevel"/>
    <w:tmpl w:val="70140904"/>
    <w:lvl w:ilvl="0" w:tplc="653E571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102B39"/>
    <w:multiLevelType w:val="hybridMultilevel"/>
    <w:tmpl w:val="B82E55D8"/>
    <w:lvl w:ilvl="0" w:tplc="726AB1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1D15EA"/>
    <w:multiLevelType w:val="hybridMultilevel"/>
    <w:tmpl w:val="90023266"/>
    <w:lvl w:ilvl="0" w:tplc="D16E1016">
      <w:start w:val="3"/>
      <w:numFmt w:val="bullet"/>
      <w:lvlText w:val="-"/>
      <w:lvlJc w:val="left"/>
      <w:pPr>
        <w:ind w:left="600" w:hanging="360"/>
      </w:pPr>
      <w:rPr>
        <w:rFonts w:ascii="Times New Roman" w:eastAsiaTheme="minorHAnsi"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6">
    <w:nsid w:val="61914BD0"/>
    <w:multiLevelType w:val="hybridMultilevel"/>
    <w:tmpl w:val="679AFECE"/>
    <w:lvl w:ilvl="0" w:tplc="354282E8">
      <w:start w:val="3"/>
      <w:numFmt w:val="bullet"/>
      <w:lvlText w:val="-"/>
      <w:lvlJc w:val="left"/>
      <w:pPr>
        <w:ind w:left="600" w:hanging="360"/>
      </w:pPr>
      <w:rPr>
        <w:rFonts w:ascii="Times New Roman" w:eastAsiaTheme="minorHAnsi"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7">
    <w:nsid w:val="6AA577B3"/>
    <w:multiLevelType w:val="hybridMultilevel"/>
    <w:tmpl w:val="2CC00A26"/>
    <w:lvl w:ilvl="0" w:tplc="8BA48380">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0B7797C"/>
    <w:multiLevelType w:val="hybridMultilevel"/>
    <w:tmpl w:val="294CD444"/>
    <w:lvl w:ilvl="0" w:tplc="CDA24D40">
      <w:start w:val="3"/>
      <w:numFmt w:val="bullet"/>
      <w:lvlText w:val="-"/>
      <w:lvlJc w:val="left"/>
      <w:pPr>
        <w:ind w:left="600" w:hanging="360"/>
      </w:pPr>
      <w:rPr>
        <w:rFonts w:ascii="Times New Roman" w:eastAsiaTheme="minorHAnsi"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9">
    <w:nsid w:val="7337486C"/>
    <w:multiLevelType w:val="hybridMultilevel"/>
    <w:tmpl w:val="177C2F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14"/>
  </w:num>
  <w:num w:numId="4">
    <w:abstractNumId w:val="4"/>
  </w:num>
  <w:num w:numId="5">
    <w:abstractNumId w:val="13"/>
  </w:num>
  <w:num w:numId="6">
    <w:abstractNumId w:val="15"/>
  </w:num>
  <w:num w:numId="7">
    <w:abstractNumId w:val="9"/>
  </w:num>
  <w:num w:numId="8">
    <w:abstractNumId w:val="16"/>
  </w:num>
  <w:num w:numId="9">
    <w:abstractNumId w:val="18"/>
  </w:num>
  <w:num w:numId="10">
    <w:abstractNumId w:val="10"/>
  </w:num>
  <w:num w:numId="11">
    <w:abstractNumId w:val="2"/>
  </w:num>
  <w:num w:numId="12">
    <w:abstractNumId w:val="17"/>
  </w:num>
  <w:num w:numId="13">
    <w:abstractNumId w:val="12"/>
  </w:num>
  <w:num w:numId="14">
    <w:abstractNumId w:val="1"/>
  </w:num>
  <w:num w:numId="15">
    <w:abstractNumId w:val="5"/>
  </w:num>
  <w:num w:numId="16">
    <w:abstractNumId w:val="3"/>
  </w:num>
  <w:num w:numId="17">
    <w:abstractNumId w:val="19"/>
  </w:num>
  <w:num w:numId="18">
    <w:abstractNumId w:val="11"/>
  </w:num>
  <w:num w:numId="19">
    <w:abstractNumId w:val="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3"/>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rop Science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ableBibliographyCategories&gt;0&lt;/EnableBibliographyCategories&gt;&lt;/ENLayout&gt;"/>
    <w:docVar w:name="EN.Libraries" w:val="&lt;Libraries&gt;&lt;item db-id=&quot;9zfxt259rawwvce0pfa5efeuatdw0pz5va5z&quot;&gt;References - Thesis&lt;record-ids&gt;&lt;item&gt;197&lt;/item&gt;&lt;item&gt;198&lt;/item&gt;&lt;item&gt;199&lt;/item&gt;&lt;item&gt;200&lt;/item&gt;&lt;item&gt;201&lt;/item&gt;&lt;item&gt;202&lt;/item&gt;&lt;item&gt;204&lt;/item&gt;&lt;item&gt;205&lt;/item&gt;&lt;item&gt;206&lt;/item&gt;&lt;item&gt;207&lt;/item&gt;&lt;item&gt;208&lt;/item&gt;&lt;item&gt;209&lt;/item&gt;&lt;item&gt;210&lt;/item&gt;&lt;item&gt;211&lt;/item&gt;&lt;item&gt;212&lt;/item&gt;&lt;item&gt;213&lt;/item&gt;&lt;item&gt;215&lt;/item&gt;&lt;item&gt;216&lt;/item&gt;&lt;item&gt;217&lt;/item&gt;&lt;item&gt;218&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8&lt;/item&gt;&lt;item&gt;239&lt;/item&gt;&lt;item&gt;240&lt;/item&gt;&lt;item&gt;241&lt;/item&gt;&lt;item&gt;242&lt;/item&gt;&lt;item&gt;243&lt;/item&gt;&lt;item&gt;244&lt;/item&gt;&lt;item&gt;245&lt;/item&gt;&lt;item&gt;246&lt;/item&gt;&lt;item&gt;247&lt;/item&gt;&lt;item&gt;249&lt;/item&gt;&lt;item&gt;251&lt;/item&gt;&lt;item&gt;254&lt;/item&gt;&lt;item&gt;255&lt;/item&gt;&lt;item&gt;256&lt;/item&gt;&lt;item&gt;258&lt;/item&gt;&lt;item&gt;259&lt;/item&gt;&lt;item&gt;261&lt;/item&gt;&lt;item&gt;262&lt;/item&gt;&lt;item&gt;264&lt;/item&gt;&lt;item&gt;265&lt;/item&gt;&lt;item&gt;268&lt;/item&gt;&lt;item&gt;269&lt;/item&gt;&lt;item&gt;271&lt;/item&gt;&lt;item&gt;274&lt;/item&gt;&lt;item&gt;276&lt;/item&gt;&lt;item&gt;277&lt;/item&gt;&lt;item&gt;278&lt;/item&gt;&lt;item&gt;280&lt;/item&gt;&lt;item&gt;281&lt;/item&gt;&lt;item&gt;282&lt;/item&gt;&lt;item&gt;286&lt;/item&gt;&lt;item&gt;288&lt;/item&gt;&lt;item&gt;289&lt;/item&gt;&lt;item&gt;292&lt;/item&gt;&lt;item&gt;294&lt;/item&gt;&lt;item&gt;295&lt;/item&gt;&lt;item&gt;296&lt;/item&gt;&lt;item&gt;297&lt;/item&gt;&lt;item&gt;299&lt;/item&gt;&lt;item&gt;301&lt;/item&gt;&lt;item&gt;302&lt;/item&gt;&lt;item&gt;303&lt;/item&gt;&lt;item&gt;304&lt;/item&gt;&lt;item&gt;305&lt;/item&gt;&lt;item&gt;306&lt;/item&gt;&lt;item&gt;307&lt;/item&gt;&lt;item&gt;308&lt;/item&gt;&lt;item&gt;309&lt;/item&gt;&lt;item&gt;311&lt;/item&gt;&lt;item&gt;316&lt;/item&gt;&lt;item&gt;317&lt;/item&gt;&lt;item&gt;318&lt;/item&gt;&lt;item&gt;319&lt;/item&gt;&lt;item&gt;320&lt;/item&gt;&lt;item&gt;322&lt;/item&gt;&lt;item&gt;323&lt;/item&gt;&lt;item&gt;324&lt;/item&gt;&lt;item&gt;326&lt;/item&gt;&lt;item&gt;327&lt;/item&gt;&lt;item&gt;329&lt;/item&gt;&lt;item&gt;331&lt;/item&gt;&lt;item&gt;332&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0646F6"/>
    <w:rsid w:val="00003145"/>
    <w:rsid w:val="00003C26"/>
    <w:rsid w:val="0001022C"/>
    <w:rsid w:val="0001078B"/>
    <w:rsid w:val="0001129A"/>
    <w:rsid w:val="00011D04"/>
    <w:rsid w:val="00011D96"/>
    <w:rsid w:val="00012080"/>
    <w:rsid w:val="000139AE"/>
    <w:rsid w:val="000153BE"/>
    <w:rsid w:val="00015B38"/>
    <w:rsid w:val="00015B73"/>
    <w:rsid w:val="00015E18"/>
    <w:rsid w:val="00016545"/>
    <w:rsid w:val="00016A2E"/>
    <w:rsid w:val="00016C38"/>
    <w:rsid w:val="0002049D"/>
    <w:rsid w:val="000219E8"/>
    <w:rsid w:val="00021A5C"/>
    <w:rsid w:val="00023302"/>
    <w:rsid w:val="00024F5B"/>
    <w:rsid w:val="000251FD"/>
    <w:rsid w:val="0002697E"/>
    <w:rsid w:val="00027B72"/>
    <w:rsid w:val="00030201"/>
    <w:rsid w:val="0003083D"/>
    <w:rsid w:val="00030E22"/>
    <w:rsid w:val="00030E91"/>
    <w:rsid w:val="00031677"/>
    <w:rsid w:val="00032734"/>
    <w:rsid w:val="00035030"/>
    <w:rsid w:val="000365E8"/>
    <w:rsid w:val="0004051C"/>
    <w:rsid w:val="0004102B"/>
    <w:rsid w:val="000415FC"/>
    <w:rsid w:val="00041815"/>
    <w:rsid w:val="00041E33"/>
    <w:rsid w:val="0004253C"/>
    <w:rsid w:val="00042746"/>
    <w:rsid w:val="00042956"/>
    <w:rsid w:val="00043399"/>
    <w:rsid w:val="0005067F"/>
    <w:rsid w:val="00052502"/>
    <w:rsid w:val="00053004"/>
    <w:rsid w:val="00053F21"/>
    <w:rsid w:val="0005497B"/>
    <w:rsid w:val="00054AD6"/>
    <w:rsid w:val="00054E24"/>
    <w:rsid w:val="00055DC4"/>
    <w:rsid w:val="00056A88"/>
    <w:rsid w:val="00057F0E"/>
    <w:rsid w:val="00062758"/>
    <w:rsid w:val="00064569"/>
    <w:rsid w:val="000646F6"/>
    <w:rsid w:val="000652AF"/>
    <w:rsid w:val="00065705"/>
    <w:rsid w:val="000663F8"/>
    <w:rsid w:val="00071418"/>
    <w:rsid w:val="000727B1"/>
    <w:rsid w:val="00075A79"/>
    <w:rsid w:val="00075F1D"/>
    <w:rsid w:val="00081E57"/>
    <w:rsid w:val="000821C1"/>
    <w:rsid w:val="000822E8"/>
    <w:rsid w:val="00082DAC"/>
    <w:rsid w:val="00082EF8"/>
    <w:rsid w:val="00083EE4"/>
    <w:rsid w:val="00086299"/>
    <w:rsid w:val="00090BA1"/>
    <w:rsid w:val="00091121"/>
    <w:rsid w:val="0009133C"/>
    <w:rsid w:val="00091FE9"/>
    <w:rsid w:val="00093FCE"/>
    <w:rsid w:val="0009405B"/>
    <w:rsid w:val="000959ED"/>
    <w:rsid w:val="00095BBF"/>
    <w:rsid w:val="00095F62"/>
    <w:rsid w:val="00096017"/>
    <w:rsid w:val="000961BF"/>
    <w:rsid w:val="00097BB2"/>
    <w:rsid w:val="000A1834"/>
    <w:rsid w:val="000A2779"/>
    <w:rsid w:val="000A3C2F"/>
    <w:rsid w:val="000A3CBE"/>
    <w:rsid w:val="000A49CD"/>
    <w:rsid w:val="000A4AB0"/>
    <w:rsid w:val="000A4B7F"/>
    <w:rsid w:val="000A6ECC"/>
    <w:rsid w:val="000A7292"/>
    <w:rsid w:val="000A7B97"/>
    <w:rsid w:val="000B2483"/>
    <w:rsid w:val="000B282F"/>
    <w:rsid w:val="000B37B7"/>
    <w:rsid w:val="000B7ED3"/>
    <w:rsid w:val="000C2270"/>
    <w:rsid w:val="000C32A9"/>
    <w:rsid w:val="000C409A"/>
    <w:rsid w:val="000C5370"/>
    <w:rsid w:val="000C53C3"/>
    <w:rsid w:val="000D0449"/>
    <w:rsid w:val="000D15EC"/>
    <w:rsid w:val="000D1A46"/>
    <w:rsid w:val="000D1E0B"/>
    <w:rsid w:val="000D796B"/>
    <w:rsid w:val="000E04C8"/>
    <w:rsid w:val="000E0610"/>
    <w:rsid w:val="000E2920"/>
    <w:rsid w:val="000E2A5B"/>
    <w:rsid w:val="000E2CC4"/>
    <w:rsid w:val="000E3795"/>
    <w:rsid w:val="000E4526"/>
    <w:rsid w:val="000E4B6C"/>
    <w:rsid w:val="000E4B6E"/>
    <w:rsid w:val="000E669F"/>
    <w:rsid w:val="000E75C1"/>
    <w:rsid w:val="000E78B8"/>
    <w:rsid w:val="000E7D8F"/>
    <w:rsid w:val="000F0B3D"/>
    <w:rsid w:val="000F143E"/>
    <w:rsid w:val="000F15A6"/>
    <w:rsid w:val="000F2F42"/>
    <w:rsid w:val="000F565E"/>
    <w:rsid w:val="000F690D"/>
    <w:rsid w:val="000F698E"/>
    <w:rsid w:val="000F73C0"/>
    <w:rsid w:val="001009B3"/>
    <w:rsid w:val="001016F6"/>
    <w:rsid w:val="001044BC"/>
    <w:rsid w:val="001050B1"/>
    <w:rsid w:val="001051C2"/>
    <w:rsid w:val="00105ABE"/>
    <w:rsid w:val="00105E3A"/>
    <w:rsid w:val="00106B04"/>
    <w:rsid w:val="001115F2"/>
    <w:rsid w:val="00111EBB"/>
    <w:rsid w:val="001145B5"/>
    <w:rsid w:val="00115DD2"/>
    <w:rsid w:val="00116709"/>
    <w:rsid w:val="00116971"/>
    <w:rsid w:val="0012067C"/>
    <w:rsid w:val="001214DF"/>
    <w:rsid w:val="001223BF"/>
    <w:rsid w:val="00122896"/>
    <w:rsid w:val="00122BE8"/>
    <w:rsid w:val="001239BD"/>
    <w:rsid w:val="00123C6F"/>
    <w:rsid w:val="00125419"/>
    <w:rsid w:val="00125BA8"/>
    <w:rsid w:val="00126C89"/>
    <w:rsid w:val="00127467"/>
    <w:rsid w:val="00130199"/>
    <w:rsid w:val="00132F2A"/>
    <w:rsid w:val="00133211"/>
    <w:rsid w:val="00135508"/>
    <w:rsid w:val="0013590A"/>
    <w:rsid w:val="00135960"/>
    <w:rsid w:val="001361A7"/>
    <w:rsid w:val="00136271"/>
    <w:rsid w:val="00136C16"/>
    <w:rsid w:val="00136E58"/>
    <w:rsid w:val="00136EFE"/>
    <w:rsid w:val="0013705B"/>
    <w:rsid w:val="0013784D"/>
    <w:rsid w:val="00137A35"/>
    <w:rsid w:val="001421D5"/>
    <w:rsid w:val="0014339F"/>
    <w:rsid w:val="001445D4"/>
    <w:rsid w:val="001456AE"/>
    <w:rsid w:val="00146660"/>
    <w:rsid w:val="00146E75"/>
    <w:rsid w:val="00150452"/>
    <w:rsid w:val="00151194"/>
    <w:rsid w:val="001517FF"/>
    <w:rsid w:val="001520AF"/>
    <w:rsid w:val="00152696"/>
    <w:rsid w:val="0015289A"/>
    <w:rsid w:val="00152ED4"/>
    <w:rsid w:val="001531F3"/>
    <w:rsid w:val="0015388F"/>
    <w:rsid w:val="00153AE9"/>
    <w:rsid w:val="00155F10"/>
    <w:rsid w:val="0015678B"/>
    <w:rsid w:val="00161C02"/>
    <w:rsid w:val="00161E96"/>
    <w:rsid w:val="001623D5"/>
    <w:rsid w:val="001638CA"/>
    <w:rsid w:val="00165798"/>
    <w:rsid w:val="00165BAA"/>
    <w:rsid w:val="00165EA6"/>
    <w:rsid w:val="00166950"/>
    <w:rsid w:val="00173FC2"/>
    <w:rsid w:val="00174E91"/>
    <w:rsid w:val="00175570"/>
    <w:rsid w:val="00175EB0"/>
    <w:rsid w:val="0017617B"/>
    <w:rsid w:val="00176281"/>
    <w:rsid w:val="00176751"/>
    <w:rsid w:val="00177C7A"/>
    <w:rsid w:val="0018069D"/>
    <w:rsid w:val="00182A8D"/>
    <w:rsid w:val="00186337"/>
    <w:rsid w:val="0018674D"/>
    <w:rsid w:val="00186889"/>
    <w:rsid w:val="0018786F"/>
    <w:rsid w:val="00190148"/>
    <w:rsid w:val="001901CC"/>
    <w:rsid w:val="00191946"/>
    <w:rsid w:val="00191EEA"/>
    <w:rsid w:val="00192790"/>
    <w:rsid w:val="0019328E"/>
    <w:rsid w:val="00193361"/>
    <w:rsid w:val="001933F3"/>
    <w:rsid w:val="001937ED"/>
    <w:rsid w:val="001937F6"/>
    <w:rsid w:val="00193C79"/>
    <w:rsid w:val="001941D8"/>
    <w:rsid w:val="00194E56"/>
    <w:rsid w:val="00195AD2"/>
    <w:rsid w:val="001963A4"/>
    <w:rsid w:val="00197469"/>
    <w:rsid w:val="00197B57"/>
    <w:rsid w:val="001A3093"/>
    <w:rsid w:val="001A48FC"/>
    <w:rsid w:val="001A4C42"/>
    <w:rsid w:val="001A5F5E"/>
    <w:rsid w:val="001A6B16"/>
    <w:rsid w:val="001B0225"/>
    <w:rsid w:val="001B0472"/>
    <w:rsid w:val="001B0B62"/>
    <w:rsid w:val="001B169E"/>
    <w:rsid w:val="001B1760"/>
    <w:rsid w:val="001B1F43"/>
    <w:rsid w:val="001B3D20"/>
    <w:rsid w:val="001B401E"/>
    <w:rsid w:val="001B4050"/>
    <w:rsid w:val="001B63DA"/>
    <w:rsid w:val="001B6F7F"/>
    <w:rsid w:val="001B77C5"/>
    <w:rsid w:val="001C0A21"/>
    <w:rsid w:val="001C0B05"/>
    <w:rsid w:val="001C349D"/>
    <w:rsid w:val="001C42FF"/>
    <w:rsid w:val="001C4637"/>
    <w:rsid w:val="001C4862"/>
    <w:rsid w:val="001C48D6"/>
    <w:rsid w:val="001C592C"/>
    <w:rsid w:val="001C6196"/>
    <w:rsid w:val="001C6387"/>
    <w:rsid w:val="001C7A9B"/>
    <w:rsid w:val="001D0722"/>
    <w:rsid w:val="001D08FA"/>
    <w:rsid w:val="001D0CA3"/>
    <w:rsid w:val="001D0DDB"/>
    <w:rsid w:val="001D20B6"/>
    <w:rsid w:val="001D25BE"/>
    <w:rsid w:val="001D289C"/>
    <w:rsid w:val="001D2F48"/>
    <w:rsid w:val="001D3078"/>
    <w:rsid w:val="001D31C0"/>
    <w:rsid w:val="001D4830"/>
    <w:rsid w:val="001D49F2"/>
    <w:rsid w:val="001D4B2F"/>
    <w:rsid w:val="001D4DD3"/>
    <w:rsid w:val="001D56BF"/>
    <w:rsid w:val="001D79BF"/>
    <w:rsid w:val="001E17DC"/>
    <w:rsid w:val="001E3695"/>
    <w:rsid w:val="001E3D3B"/>
    <w:rsid w:val="001E426D"/>
    <w:rsid w:val="001E46A0"/>
    <w:rsid w:val="001E4731"/>
    <w:rsid w:val="001E7445"/>
    <w:rsid w:val="001F084F"/>
    <w:rsid w:val="001F19DB"/>
    <w:rsid w:val="001F1FC9"/>
    <w:rsid w:val="001F50D7"/>
    <w:rsid w:val="001F51FB"/>
    <w:rsid w:val="001F57B8"/>
    <w:rsid w:val="001F7D58"/>
    <w:rsid w:val="00200F3E"/>
    <w:rsid w:val="00203321"/>
    <w:rsid w:val="00203C18"/>
    <w:rsid w:val="00204A3E"/>
    <w:rsid w:val="00205661"/>
    <w:rsid w:val="002062AA"/>
    <w:rsid w:val="002152F6"/>
    <w:rsid w:val="00215A51"/>
    <w:rsid w:val="002209EF"/>
    <w:rsid w:val="00221FDD"/>
    <w:rsid w:val="00222DBE"/>
    <w:rsid w:val="00222E19"/>
    <w:rsid w:val="002235C4"/>
    <w:rsid w:val="00224FDB"/>
    <w:rsid w:val="00225557"/>
    <w:rsid w:val="00225E0A"/>
    <w:rsid w:val="00225ED4"/>
    <w:rsid w:val="002262CD"/>
    <w:rsid w:val="00227DDC"/>
    <w:rsid w:val="00231D6A"/>
    <w:rsid w:val="00232E64"/>
    <w:rsid w:val="002330C4"/>
    <w:rsid w:val="0023361F"/>
    <w:rsid w:val="0023406B"/>
    <w:rsid w:val="002353A6"/>
    <w:rsid w:val="00235C84"/>
    <w:rsid w:val="00242B0A"/>
    <w:rsid w:val="002430E8"/>
    <w:rsid w:val="00243EB1"/>
    <w:rsid w:val="00245720"/>
    <w:rsid w:val="00246287"/>
    <w:rsid w:val="0024700A"/>
    <w:rsid w:val="00252707"/>
    <w:rsid w:val="00252F7D"/>
    <w:rsid w:val="00253ED5"/>
    <w:rsid w:val="002546D0"/>
    <w:rsid w:val="0025661A"/>
    <w:rsid w:val="00257115"/>
    <w:rsid w:val="0025759D"/>
    <w:rsid w:val="00261157"/>
    <w:rsid w:val="002622E0"/>
    <w:rsid w:val="00263427"/>
    <w:rsid w:val="00263698"/>
    <w:rsid w:val="0026410B"/>
    <w:rsid w:val="00264936"/>
    <w:rsid w:val="00264CCD"/>
    <w:rsid w:val="00265277"/>
    <w:rsid w:val="00266551"/>
    <w:rsid w:val="00267D09"/>
    <w:rsid w:val="00270266"/>
    <w:rsid w:val="00270277"/>
    <w:rsid w:val="00270BBE"/>
    <w:rsid w:val="00270DE5"/>
    <w:rsid w:val="0027148A"/>
    <w:rsid w:val="00271C8C"/>
    <w:rsid w:val="002745EF"/>
    <w:rsid w:val="002752ED"/>
    <w:rsid w:val="0027646A"/>
    <w:rsid w:val="0027667D"/>
    <w:rsid w:val="00276CA2"/>
    <w:rsid w:val="00282428"/>
    <w:rsid w:val="00282994"/>
    <w:rsid w:val="00283976"/>
    <w:rsid w:val="00283BEF"/>
    <w:rsid w:val="00283D7F"/>
    <w:rsid w:val="00290239"/>
    <w:rsid w:val="00290590"/>
    <w:rsid w:val="002909C3"/>
    <w:rsid w:val="002915E9"/>
    <w:rsid w:val="00292232"/>
    <w:rsid w:val="00293549"/>
    <w:rsid w:val="002938C9"/>
    <w:rsid w:val="00293E7D"/>
    <w:rsid w:val="002941C4"/>
    <w:rsid w:val="002965D4"/>
    <w:rsid w:val="00296ED5"/>
    <w:rsid w:val="0029785A"/>
    <w:rsid w:val="00297BC3"/>
    <w:rsid w:val="002A1CB1"/>
    <w:rsid w:val="002A2E1D"/>
    <w:rsid w:val="002A32E7"/>
    <w:rsid w:val="002A3CD7"/>
    <w:rsid w:val="002A5692"/>
    <w:rsid w:val="002A5784"/>
    <w:rsid w:val="002A5A3E"/>
    <w:rsid w:val="002A6660"/>
    <w:rsid w:val="002B088B"/>
    <w:rsid w:val="002B0F52"/>
    <w:rsid w:val="002B16C2"/>
    <w:rsid w:val="002B1933"/>
    <w:rsid w:val="002B1EB6"/>
    <w:rsid w:val="002B3916"/>
    <w:rsid w:val="002B3B7D"/>
    <w:rsid w:val="002B423B"/>
    <w:rsid w:val="002B4489"/>
    <w:rsid w:val="002B6688"/>
    <w:rsid w:val="002B6B4B"/>
    <w:rsid w:val="002C06FD"/>
    <w:rsid w:val="002C0BE1"/>
    <w:rsid w:val="002C1F72"/>
    <w:rsid w:val="002C24EB"/>
    <w:rsid w:val="002C3069"/>
    <w:rsid w:val="002C4546"/>
    <w:rsid w:val="002C46E3"/>
    <w:rsid w:val="002C5DD8"/>
    <w:rsid w:val="002D0CAD"/>
    <w:rsid w:val="002D0EF3"/>
    <w:rsid w:val="002D115A"/>
    <w:rsid w:val="002D1576"/>
    <w:rsid w:val="002D1D45"/>
    <w:rsid w:val="002D3930"/>
    <w:rsid w:val="002D394A"/>
    <w:rsid w:val="002D3BD4"/>
    <w:rsid w:val="002D4307"/>
    <w:rsid w:val="002D44B2"/>
    <w:rsid w:val="002D6151"/>
    <w:rsid w:val="002D6BC0"/>
    <w:rsid w:val="002E0CCC"/>
    <w:rsid w:val="002E2179"/>
    <w:rsid w:val="002E258D"/>
    <w:rsid w:val="002E2AEE"/>
    <w:rsid w:val="002E50AD"/>
    <w:rsid w:val="002E54D6"/>
    <w:rsid w:val="002E68E7"/>
    <w:rsid w:val="002F2440"/>
    <w:rsid w:val="002F2B0C"/>
    <w:rsid w:val="002F3E72"/>
    <w:rsid w:val="002F4A62"/>
    <w:rsid w:val="002F5CD2"/>
    <w:rsid w:val="002F6708"/>
    <w:rsid w:val="002F7603"/>
    <w:rsid w:val="0030041E"/>
    <w:rsid w:val="00300E62"/>
    <w:rsid w:val="00301182"/>
    <w:rsid w:val="0030303B"/>
    <w:rsid w:val="00304AC8"/>
    <w:rsid w:val="003062CB"/>
    <w:rsid w:val="003069D3"/>
    <w:rsid w:val="003103D3"/>
    <w:rsid w:val="0031159E"/>
    <w:rsid w:val="00311A83"/>
    <w:rsid w:val="00311AE7"/>
    <w:rsid w:val="00311C05"/>
    <w:rsid w:val="0031405E"/>
    <w:rsid w:val="003152E3"/>
    <w:rsid w:val="00315B44"/>
    <w:rsid w:val="00315EAB"/>
    <w:rsid w:val="00317484"/>
    <w:rsid w:val="00321681"/>
    <w:rsid w:val="00323452"/>
    <w:rsid w:val="003234D7"/>
    <w:rsid w:val="0032395F"/>
    <w:rsid w:val="003242E9"/>
    <w:rsid w:val="003249F2"/>
    <w:rsid w:val="00324A00"/>
    <w:rsid w:val="0032587E"/>
    <w:rsid w:val="0032663C"/>
    <w:rsid w:val="00327487"/>
    <w:rsid w:val="00327F83"/>
    <w:rsid w:val="00330BC9"/>
    <w:rsid w:val="00330FBE"/>
    <w:rsid w:val="00331751"/>
    <w:rsid w:val="003319FD"/>
    <w:rsid w:val="0033229F"/>
    <w:rsid w:val="00332CAB"/>
    <w:rsid w:val="00332D0A"/>
    <w:rsid w:val="00334305"/>
    <w:rsid w:val="00334470"/>
    <w:rsid w:val="00334B9E"/>
    <w:rsid w:val="003350DB"/>
    <w:rsid w:val="00335505"/>
    <w:rsid w:val="00335AE3"/>
    <w:rsid w:val="003370AB"/>
    <w:rsid w:val="003373DA"/>
    <w:rsid w:val="003419C7"/>
    <w:rsid w:val="00341A17"/>
    <w:rsid w:val="00343E34"/>
    <w:rsid w:val="003441CF"/>
    <w:rsid w:val="00344236"/>
    <w:rsid w:val="00345FE8"/>
    <w:rsid w:val="003555DF"/>
    <w:rsid w:val="003556BD"/>
    <w:rsid w:val="003563F5"/>
    <w:rsid w:val="00360313"/>
    <w:rsid w:val="00361B47"/>
    <w:rsid w:val="00362B0E"/>
    <w:rsid w:val="00363D8F"/>
    <w:rsid w:val="0036597F"/>
    <w:rsid w:val="00366DFD"/>
    <w:rsid w:val="00367D7D"/>
    <w:rsid w:val="0037041E"/>
    <w:rsid w:val="00372063"/>
    <w:rsid w:val="003725D6"/>
    <w:rsid w:val="00375C05"/>
    <w:rsid w:val="00375D89"/>
    <w:rsid w:val="00375D90"/>
    <w:rsid w:val="00376CC7"/>
    <w:rsid w:val="003779B9"/>
    <w:rsid w:val="003800ED"/>
    <w:rsid w:val="00380D64"/>
    <w:rsid w:val="00381099"/>
    <w:rsid w:val="003822FD"/>
    <w:rsid w:val="00382C84"/>
    <w:rsid w:val="00383B62"/>
    <w:rsid w:val="00384545"/>
    <w:rsid w:val="00384D7F"/>
    <w:rsid w:val="00385DE5"/>
    <w:rsid w:val="0038735D"/>
    <w:rsid w:val="00387AFA"/>
    <w:rsid w:val="00387F39"/>
    <w:rsid w:val="0039042C"/>
    <w:rsid w:val="003907C5"/>
    <w:rsid w:val="00392479"/>
    <w:rsid w:val="00392706"/>
    <w:rsid w:val="0039285F"/>
    <w:rsid w:val="00393589"/>
    <w:rsid w:val="00393F65"/>
    <w:rsid w:val="0039403F"/>
    <w:rsid w:val="003942BE"/>
    <w:rsid w:val="00395193"/>
    <w:rsid w:val="003967E7"/>
    <w:rsid w:val="00396CD9"/>
    <w:rsid w:val="00396F96"/>
    <w:rsid w:val="003A0400"/>
    <w:rsid w:val="003A2C70"/>
    <w:rsid w:val="003A2EEC"/>
    <w:rsid w:val="003A33EC"/>
    <w:rsid w:val="003A56B4"/>
    <w:rsid w:val="003A67E6"/>
    <w:rsid w:val="003A72AF"/>
    <w:rsid w:val="003A75A2"/>
    <w:rsid w:val="003B0260"/>
    <w:rsid w:val="003B0336"/>
    <w:rsid w:val="003B0BB9"/>
    <w:rsid w:val="003B12CF"/>
    <w:rsid w:val="003B40D8"/>
    <w:rsid w:val="003B5303"/>
    <w:rsid w:val="003B67EC"/>
    <w:rsid w:val="003B7EEF"/>
    <w:rsid w:val="003C009B"/>
    <w:rsid w:val="003C0206"/>
    <w:rsid w:val="003C179D"/>
    <w:rsid w:val="003C18AC"/>
    <w:rsid w:val="003C1FCE"/>
    <w:rsid w:val="003C20E9"/>
    <w:rsid w:val="003C27A6"/>
    <w:rsid w:val="003C2DB6"/>
    <w:rsid w:val="003C4861"/>
    <w:rsid w:val="003C4A0C"/>
    <w:rsid w:val="003C785E"/>
    <w:rsid w:val="003C7A9D"/>
    <w:rsid w:val="003D0A6C"/>
    <w:rsid w:val="003D0E67"/>
    <w:rsid w:val="003D1B35"/>
    <w:rsid w:val="003D20E0"/>
    <w:rsid w:val="003D2314"/>
    <w:rsid w:val="003D28AD"/>
    <w:rsid w:val="003D2B24"/>
    <w:rsid w:val="003D2CD3"/>
    <w:rsid w:val="003D2D58"/>
    <w:rsid w:val="003D4484"/>
    <w:rsid w:val="003D4599"/>
    <w:rsid w:val="003D4B98"/>
    <w:rsid w:val="003D514F"/>
    <w:rsid w:val="003D6601"/>
    <w:rsid w:val="003D670F"/>
    <w:rsid w:val="003D6ABE"/>
    <w:rsid w:val="003D6C42"/>
    <w:rsid w:val="003D715F"/>
    <w:rsid w:val="003D77CA"/>
    <w:rsid w:val="003D7EE8"/>
    <w:rsid w:val="003E121F"/>
    <w:rsid w:val="003E1E05"/>
    <w:rsid w:val="003E1EA0"/>
    <w:rsid w:val="003E1F16"/>
    <w:rsid w:val="003E20C4"/>
    <w:rsid w:val="003E3F6D"/>
    <w:rsid w:val="003E473F"/>
    <w:rsid w:val="003E4B8A"/>
    <w:rsid w:val="003F06B5"/>
    <w:rsid w:val="003F0CCB"/>
    <w:rsid w:val="003F29D8"/>
    <w:rsid w:val="003F4396"/>
    <w:rsid w:val="003F5FD1"/>
    <w:rsid w:val="003F6C0A"/>
    <w:rsid w:val="003F7416"/>
    <w:rsid w:val="00400BFC"/>
    <w:rsid w:val="004011B3"/>
    <w:rsid w:val="0040156D"/>
    <w:rsid w:val="00401EA3"/>
    <w:rsid w:val="0040277F"/>
    <w:rsid w:val="00402AB6"/>
    <w:rsid w:val="00403DF0"/>
    <w:rsid w:val="00404199"/>
    <w:rsid w:val="00404214"/>
    <w:rsid w:val="0040561D"/>
    <w:rsid w:val="004064BE"/>
    <w:rsid w:val="0040678F"/>
    <w:rsid w:val="0040715E"/>
    <w:rsid w:val="00412B11"/>
    <w:rsid w:val="00413A65"/>
    <w:rsid w:val="00413FA9"/>
    <w:rsid w:val="00414A3F"/>
    <w:rsid w:val="00415C63"/>
    <w:rsid w:val="00415E4D"/>
    <w:rsid w:val="0041664B"/>
    <w:rsid w:val="00417473"/>
    <w:rsid w:val="0042088F"/>
    <w:rsid w:val="004253E7"/>
    <w:rsid w:val="0042549C"/>
    <w:rsid w:val="00425D91"/>
    <w:rsid w:val="00425EAE"/>
    <w:rsid w:val="00426626"/>
    <w:rsid w:val="00426B0C"/>
    <w:rsid w:val="00431D08"/>
    <w:rsid w:val="00432385"/>
    <w:rsid w:val="00432933"/>
    <w:rsid w:val="00433FC9"/>
    <w:rsid w:val="00434EE1"/>
    <w:rsid w:val="00436DA4"/>
    <w:rsid w:val="004373B4"/>
    <w:rsid w:val="00437530"/>
    <w:rsid w:val="00437B2B"/>
    <w:rsid w:val="00440505"/>
    <w:rsid w:val="00440514"/>
    <w:rsid w:val="00440D7B"/>
    <w:rsid w:val="004415FA"/>
    <w:rsid w:val="004417F0"/>
    <w:rsid w:val="004434A1"/>
    <w:rsid w:val="004438FF"/>
    <w:rsid w:val="00443D0C"/>
    <w:rsid w:val="00445BB0"/>
    <w:rsid w:val="00445BD8"/>
    <w:rsid w:val="00445F83"/>
    <w:rsid w:val="004463F1"/>
    <w:rsid w:val="004466E9"/>
    <w:rsid w:val="00450372"/>
    <w:rsid w:val="00451422"/>
    <w:rsid w:val="004524E8"/>
    <w:rsid w:val="00452612"/>
    <w:rsid w:val="004550E2"/>
    <w:rsid w:val="00456789"/>
    <w:rsid w:val="00457600"/>
    <w:rsid w:val="0045777D"/>
    <w:rsid w:val="004620C0"/>
    <w:rsid w:val="00462925"/>
    <w:rsid w:val="00465447"/>
    <w:rsid w:val="00466677"/>
    <w:rsid w:val="004669DF"/>
    <w:rsid w:val="00466D5C"/>
    <w:rsid w:val="00470B68"/>
    <w:rsid w:val="0047181C"/>
    <w:rsid w:val="004720D2"/>
    <w:rsid w:val="0047269C"/>
    <w:rsid w:val="00472BD4"/>
    <w:rsid w:val="0047496E"/>
    <w:rsid w:val="00474BA4"/>
    <w:rsid w:val="00474FF9"/>
    <w:rsid w:val="00476CDA"/>
    <w:rsid w:val="0047705C"/>
    <w:rsid w:val="00477649"/>
    <w:rsid w:val="004778D9"/>
    <w:rsid w:val="0048082B"/>
    <w:rsid w:val="00483C8C"/>
    <w:rsid w:val="00484852"/>
    <w:rsid w:val="004864A4"/>
    <w:rsid w:val="00486D49"/>
    <w:rsid w:val="00490617"/>
    <w:rsid w:val="0049088D"/>
    <w:rsid w:val="00490EED"/>
    <w:rsid w:val="0049222E"/>
    <w:rsid w:val="004929B5"/>
    <w:rsid w:val="00493F48"/>
    <w:rsid w:val="004950B0"/>
    <w:rsid w:val="00495799"/>
    <w:rsid w:val="004964D3"/>
    <w:rsid w:val="004A0498"/>
    <w:rsid w:val="004A0644"/>
    <w:rsid w:val="004A1561"/>
    <w:rsid w:val="004A1623"/>
    <w:rsid w:val="004A26C0"/>
    <w:rsid w:val="004A2C16"/>
    <w:rsid w:val="004A4AE7"/>
    <w:rsid w:val="004A5635"/>
    <w:rsid w:val="004A620A"/>
    <w:rsid w:val="004A633B"/>
    <w:rsid w:val="004A6F3A"/>
    <w:rsid w:val="004A7900"/>
    <w:rsid w:val="004B0DD7"/>
    <w:rsid w:val="004B2250"/>
    <w:rsid w:val="004B3447"/>
    <w:rsid w:val="004B4122"/>
    <w:rsid w:val="004B44AA"/>
    <w:rsid w:val="004B4F70"/>
    <w:rsid w:val="004B7546"/>
    <w:rsid w:val="004C0162"/>
    <w:rsid w:val="004C0D29"/>
    <w:rsid w:val="004C1A6A"/>
    <w:rsid w:val="004C212B"/>
    <w:rsid w:val="004C4132"/>
    <w:rsid w:val="004C4F41"/>
    <w:rsid w:val="004C7D65"/>
    <w:rsid w:val="004D0EB7"/>
    <w:rsid w:val="004D0F31"/>
    <w:rsid w:val="004D21B8"/>
    <w:rsid w:val="004D6700"/>
    <w:rsid w:val="004D6798"/>
    <w:rsid w:val="004D7A35"/>
    <w:rsid w:val="004E14EB"/>
    <w:rsid w:val="004E44F1"/>
    <w:rsid w:val="004E48A4"/>
    <w:rsid w:val="004E54E4"/>
    <w:rsid w:val="004E5D14"/>
    <w:rsid w:val="004E5E3F"/>
    <w:rsid w:val="004E604B"/>
    <w:rsid w:val="004E69C1"/>
    <w:rsid w:val="004F0938"/>
    <w:rsid w:val="004F1904"/>
    <w:rsid w:val="004F243B"/>
    <w:rsid w:val="004F35FB"/>
    <w:rsid w:val="004F3A10"/>
    <w:rsid w:val="004F4099"/>
    <w:rsid w:val="004F6014"/>
    <w:rsid w:val="004F7939"/>
    <w:rsid w:val="00500375"/>
    <w:rsid w:val="00501697"/>
    <w:rsid w:val="00502273"/>
    <w:rsid w:val="005024BD"/>
    <w:rsid w:val="00502B2E"/>
    <w:rsid w:val="00504509"/>
    <w:rsid w:val="00504914"/>
    <w:rsid w:val="00505454"/>
    <w:rsid w:val="00505614"/>
    <w:rsid w:val="00505EC6"/>
    <w:rsid w:val="005073E2"/>
    <w:rsid w:val="00507610"/>
    <w:rsid w:val="00507B25"/>
    <w:rsid w:val="005108A2"/>
    <w:rsid w:val="00510EC1"/>
    <w:rsid w:val="00511AC5"/>
    <w:rsid w:val="005126CE"/>
    <w:rsid w:val="00514462"/>
    <w:rsid w:val="005148F2"/>
    <w:rsid w:val="00516CA1"/>
    <w:rsid w:val="00520985"/>
    <w:rsid w:val="00520C18"/>
    <w:rsid w:val="0052331A"/>
    <w:rsid w:val="005237F2"/>
    <w:rsid w:val="005242B9"/>
    <w:rsid w:val="00524512"/>
    <w:rsid w:val="00525660"/>
    <w:rsid w:val="00525B6E"/>
    <w:rsid w:val="0052667D"/>
    <w:rsid w:val="00527445"/>
    <w:rsid w:val="00527F2C"/>
    <w:rsid w:val="00530243"/>
    <w:rsid w:val="0053070F"/>
    <w:rsid w:val="00530BD2"/>
    <w:rsid w:val="0053110D"/>
    <w:rsid w:val="005312A3"/>
    <w:rsid w:val="005321C1"/>
    <w:rsid w:val="0053238A"/>
    <w:rsid w:val="00535312"/>
    <w:rsid w:val="00537BB9"/>
    <w:rsid w:val="00541F80"/>
    <w:rsid w:val="00543A96"/>
    <w:rsid w:val="005446E1"/>
    <w:rsid w:val="005454BD"/>
    <w:rsid w:val="005456E1"/>
    <w:rsid w:val="00545737"/>
    <w:rsid w:val="00545746"/>
    <w:rsid w:val="005469B7"/>
    <w:rsid w:val="00546AF1"/>
    <w:rsid w:val="0055255A"/>
    <w:rsid w:val="00552D04"/>
    <w:rsid w:val="00554A55"/>
    <w:rsid w:val="00554C2D"/>
    <w:rsid w:val="00554E0D"/>
    <w:rsid w:val="0055517E"/>
    <w:rsid w:val="005574F4"/>
    <w:rsid w:val="00557D58"/>
    <w:rsid w:val="00560313"/>
    <w:rsid w:val="00560DC5"/>
    <w:rsid w:val="00562060"/>
    <w:rsid w:val="00562101"/>
    <w:rsid w:val="0056296C"/>
    <w:rsid w:val="00562B97"/>
    <w:rsid w:val="00563591"/>
    <w:rsid w:val="00564D73"/>
    <w:rsid w:val="00564EA9"/>
    <w:rsid w:val="005656E0"/>
    <w:rsid w:val="0056589F"/>
    <w:rsid w:val="00565F2B"/>
    <w:rsid w:val="00566244"/>
    <w:rsid w:val="00566F12"/>
    <w:rsid w:val="005673F6"/>
    <w:rsid w:val="00567E1D"/>
    <w:rsid w:val="00570B69"/>
    <w:rsid w:val="00570DAC"/>
    <w:rsid w:val="00571D32"/>
    <w:rsid w:val="00572392"/>
    <w:rsid w:val="00573D91"/>
    <w:rsid w:val="00576B76"/>
    <w:rsid w:val="00576CC6"/>
    <w:rsid w:val="00576D0F"/>
    <w:rsid w:val="00580575"/>
    <w:rsid w:val="00581C48"/>
    <w:rsid w:val="005839D0"/>
    <w:rsid w:val="005840AD"/>
    <w:rsid w:val="00584B5D"/>
    <w:rsid w:val="005862FD"/>
    <w:rsid w:val="00586B1F"/>
    <w:rsid w:val="00587B52"/>
    <w:rsid w:val="00590016"/>
    <w:rsid w:val="00591653"/>
    <w:rsid w:val="00592729"/>
    <w:rsid w:val="00592BCA"/>
    <w:rsid w:val="005933AC"/>
    <w:rsid w:val="005943D4"/>
    <w:rsid w:val="005945AB"/>
    <w:rsid w:val="00594A84"/>
    <w:rsid w:val="0059515F"/>
    <w:rsid w:val="0059526A"/>
    <w:rsid w:val="00595295"/>
    <w:rsid w:val="00595418"/>
    <w:rsid w:val="00595B72"/>
    <w:rsid w:val="00595D2E"/>
    <w:rsid w:val="0059621D"/>
    <w:rsid w:val="005964F3"/>
    <w:rsid w:val="00596A40"/>
    <w:rsid w:val="00596D89"/>
    <w:rsid w:val="005A0189"/>
    <w:rsid w:val="005A0A4D"/>
    <w:rsid w:val="005A1378"/>
    <w:rsid w:val="005A1864"/>
    <w:rsid w:val="005A1D81"/>
    <w:rsid w:val="005A22BF"/>
    <w:rsid w:val="005A3488"/>
    <w:rsid w:val="005A348F"/>
    <w:rsid w:val="005A36AA"/>
    <w:rsid w:val="005A37A1"/>
    <w:rsid w:val="005A3D63"/>
    <w:rsid w:val="005A4871"/>
    <w:rsid w:val="005A4EB2"/>
    <w:rsid w:val="005A6A25"/>
    <w:rsid w:val="005A6C41"/>
    <w:rsid w:val="005A7553"/>
    <w:rsid w:val="005B020B"/>
    <w:rsid w:val="005B2C60"/>
    <w:rsid w:val="005B4275"/>
    <w:rsid w:val="005B493B"/>
    <w:rsid w:val="005C1F05"/>
    <w:rsid w:val="005C20A5"/>
    <w:rsid w:val="005C3522"/>
    <w:rsid w:val="005C423F"/>
    <w:rsid w:val="005C542D"/>
    <w:rsid w:val="005C59EB"/>
    <w:rsid w:val="005C6AA2"/>
    <w:rsid w:val="005C77DD"/>
    <w:rsid w:val="005C7BEB"/>
    <w:rsid w:val="005D080E"/>
    <w:rsid w:val="005D0EDF"/>
    <w:rsid w:val="005D272C"/>
    <w:rsid w:val="005D358A"/>
    <w:rsid w:val="005D4117"/>
    <w:rsid w:val="005D496B"/>
    <w:rsid w:val="005D4B83"/>
    <w:rsid w:val="005D4F0C"/>
    <w:rsid w:val="005D5CA6"/>
    <w:rsid w:val="005D737E"/>
    <w:rsid w:val="005E012D"/>
    <w:rsid w:val="005E178F"/>
    <w:rsid w:val="005E28ED"/>
    <w:rsid w:val="005E3C48"/>
    <w:rsid w:val="005E444B"/>
    <w:rsid w:val="005E7CBF"/>
    <w:rsid w:val="005E7F42"/>
    <w:rsid w:val="005F294D"/>
    <w:rsid w:val="005F2B21"/>
    <w:rsid w:val="005F342A"/>
    <w:rsid w:val="005F350E"/>
    <w:rsid w:val="005F3E43"/>
    <w:rsid w:val="005F4434"/>
    <w:rsid w:val="005F7E73"/>
    <w:rsid w:val="005F7F34"/>
    <w:rsid w:val="00600FED"/>
    <w:rsid w:val="00602AB8"/>
    <w:rsid w:val="0060661F"/>
    <w:rsid w:val="00606C4D"/>
    <w:rsid w:val="00607BF4"/>
    <w:rsid w:val="0061071A"/>
    <w:rsid w:val="00610940"/>
    <w:rsid w:val="006142A1"/>
    <w:rsid w:val="00614D7B"/>
    <w:rsid w:val="006158E1"/>
    <w:rsid w:val="00616A3E"/>
    <w:rsid w:val="00617718"/>
    <w:rsid w:val="006205F8"/>
    <w:rsid w:val="00622161"/>
    <w:rsid w:val="0062216B"/>
    <w:rsid w:val="00623FBB"/>
    <w:rsid w:val="00624289"/>
    <w:rsid w:val="00624960"/>
    <w:rsid w:val="00624B67"/>
    <w:rsid w:val="00624B80"/>
    <w:rsid w:val="00624E0A"/>
    <w:rsid w:val="00625615"/>
    <w:rsid w:val="006256A2"/>
    <w:rsid w:val="0062646D"/>
    <w:rsid w:val="006266E6"/>
    <w:rsid w:val="0062777D"/>
    <w:rsid w:val="00627A13"/>
    <w:rsid w:val="00627A85"/>
    <w:rsid w:val="00627C6F"/>
    <w:rsid w:val="0063204A"/>
    <w:rsid w:val="006322D9"/>
    <w:rsid w:val="00632319"/>
    <w:rsid w:val="0063238E"/>
    <w:rsid w:val="00636E39"/>
    <w:rsid w:val="006372EC"/>
    <w:rsid w:val="006403F2"/>
    <w:rsid w:val="00642EBE"/>
    <w:rsid w:val="00643142"/>
    <w:rsid w:val="006433C2"/>
    <w:rsid w:val="006443A3"/>
    <w:rsid w:val="00644659"/>
    <w:rsid w:val="00645069"/>
    <w:rsid w:val="00645F10"/>
    <w:rsid w:val="00646546"/>
    <w:rsid w:val="00646D1A"/>
    <w:rsid w:val="00653E5E"/>
    <w:rsid w:val="00655193"/>
    <w:rsid w:val="006555CF"/>
    <w:rsid w:val="00655A55"/>
    <w:rsid w:val="0065644C"/>
    <w:rsid w:val="00656477"/>
    <w:rsid w:val="00656E56"/>
    <w:rsid w:val="006614C5"/>
    <w:rsid w:val="006619FB"/>
    <w:rsid w:val="00661DC3"/>
    <w:rsid w:val="00661E91"/>
    <w:rsid w:val="0066315E"/>
    <w:rsid w:val="006634E9"/>
    <w:rsid w:val="006639F9"/>
    <w:rsid w:val="00663C28"/>
    <w:rsid w:val="00664C4F"/>
    <w:rsid w:val="006652AA"/>
    <w:rsid w:val="0066543D"/>
    <w:rsid w:val="006666D0"/>
    <w:rsid w:val="0066687F"/>
    <w:rsid w:val="00666B8A"/>
    <w:rsid w:val="00667D94"/>
    <w:rsid w:val="00671DA5"/>
    <w:rsid w:val="006723B5"/>
    <w:rsid w:val="00674AE7"/>
    <w:rsid w:val="00674C31"/>
    <w:rsid w:val="00677981"/>
    <w:rsid w:val="00677FCE"/>
    <w:rsid w:val="00680B37"/>
    <w:rsid w:val="006813DF"/>
    <w:rsid w:val="00682053"/>
    <w:rsid w:val="00682567"/>
    <w:rsid w:val="00682E53"/>
    <w:rsid w:val="00684175"/>
    <w:rsid w:val="00686D2D"/>
    <w:rsid w:val="0069022C"/>
    <w:rsid w:val="00692150"/>
    <w:rsid w:val="00693A46"/>
    <w:rsid w:val="00695032"/>
    <w:rsid w:val="00695D5A"/>
    <w:rsid w:val="00696ABC"/>
    <w:rsid w:val="006A04D9"/>
    <w:rsid w:val="006A12E8"/>
    <w:rsid w:val="006A14CA"/>
    <w:rsid w:val="006A1597"/>
    <w:rsid w:val="006A3564"/>
    <w:rsid w:val="006A457C"/>
    <w:rsid w:val="006A59F3"/>
    <w:rsid w:val="006B24FF"/>
    <w:rsid w:val="006B3C46"/>
    <w:rsid w:val="006B3ECC"/>
    <w:rsid w:val="006B631E"/>
    <w:rsid w:val="006B7CD8"/>
    <w:rsid w:val="006C2586"/>
    <w:rsid w:val="006C2CA1"/>
    <w:rsid w:val="006C3801"/>
    <w:rsid w:val="006C4816"/>
    <w:rsid w:val="006C55E2"/>
    <w:rsid w:val="006C5F09"/>
    <w:rsid w:val="006C646F"/>
    <w:rsid w:val="006D0BEB"/>
    <w:rsid w:val="006D1C67"/>
    <w:rsid w:val="006D1E35"/>
    <w:rsid w:val="006D23A1"/>
    <w:rsid w:val="006D29C5"/>
    <w:rsid w:val="006D33FA"/>
    <w:rsid w:val="006D4133"/>
    <w:rsid w:val="006D484F"/>
    <w:rsid w:val="006D4A1B"/>
    <w:rsid w:val="006D671B"/>
    <w:rsid w:val="006D78D1"/>
    <w:rsid w:val="006D7E65"/>
    <w:rsid w:val="006E0341"/>
    <w:rsid w:val="006E1622"/>
    <w:rsid w:val="006E2210"/>
    <w:rsid w:val="006E2882"/>
    <w:rsid w:val="006E2A37"/>
    <w:rsid w:val="006E2F64"/>
    <w:rsid w:val="006E3B73"/>
    <w:rsid w:val="006E4A0F"/>
    <w:rsid w:val="006E5508"/>
    <w:rsid w:val="006E5DD0"/>
    <w:rsid w:val="006E608C"/>
    <w:rsid w:val="006E6636"/>
    <w:rsid w:val="006E7FE4"/>
    <w:rsid w:val="006F0999"/>
    <w:rsid w:val="006F1C7F"/>
    <w:rsid w:val="006F26B6"/>
    <w:rsid w:val="006F2E5C"/>
    <w:rsid w:val="006F6A02"/>
    <w:rsid w:val="006F7A2F"/>
    <w:rsid w:val="0070164D"/>
    <w:rsid w:val="00701D2D"/>
    <w:rsid w:val="00701EFB"/>
    <w:rsid w:val="00702F0A"/>
    <w:rsid w:val="00703199"/>
    <w:rsid w:val="00703686"/>
    <w:rsid w:val="0070472A"/>
    <w:rsid w:val="00705360"/>
    <w:rsid w:val="007059E9"/>
    <w:rsid w:val="00706619"/>
    <w:rsid w:val="0070722F"/>
    <w:rsid w:val="0071032E"/>
    <w:rsid w:val="00710431"/>
    <w:rsid w:val="0071196D"/>
    <w:rsid w:val="007121B6"/>
    <w:rsid w:val="007124CD"/>
    <w:rsid w:val="00712851"/>
    <w:rsid w:val="00712E55"/>
    <w:rsid w:val="00713A92"/>
    <w:rsid w:val="007148C8"/>
    <w:rsid w:val="00714C0A"/>
    <w:rsid w:val="0071716F"/>
    <w:rsid w:val="0071789A"/>
    <w:rsid w:val="00720C59"/>
    <w:rsid w:val="00721615"/>
    <w:rsid w:val="0072229D"/>
    <w:rsid w:val="007245EA"/>
    <w:rsid w:val="00730190"/>
    <w:rsid w:val="007308DD"/>
    <w:rsid w:val="007311FE"/>
    <w:rsid w:val="00731563"/>
    <w:rsid w:val="00731B81"/>
    <w:rsid w:val="00731EFB"/>
    <w:rsid w:val="007329A4"/>
    <w:rsid w:val="007335A2"/>
    <w:rsid w:val="00733CE9"/>
    <w:rsid w:val="00735011"/>
    <w:rsid w:val="00735024"/>
    <w:rsid w:val="00735891"/>
    <w:rsid w:val="007362F5"/>
    <w:rsid w:val="007364C8"/>
    <w:rsid w:val="00740446"/>
    <w:rsid w:val="00742C98"/>
    <w:rsid w:val="00742E18"/>
    <w:rsid w:val="0074692C"/>
    <w:rsid w:val="007474DF"/>
    <w:rsid w:val="0074759B"/>
    <w:rsid w:val="00747755"/>
    <w:rsid w:val="00750C23"/>
    <w:rsid w:val="00751C00"/>
    <w:rsid w:val="007542B5"/>
    <w:rsid w:val="007557B6"/>
    <w:rsid w:val="00755EA1"/>
    <w:rsid w:val="007600E0"/>
    <w:rsid w:val="00760972"/>
    <w:rsid w:val="00762ECD"/>
    <w:rsid w:val="00763606"/>
    <w:rsid w:val="00765222"/>
    <w:rsid w:val="007659EC"/>
    <w:rsid w:val="00767CDB"/>
    <w:rsid w:val="007704A3"/>
    <w:rsid w:val="007704C9"/>
    <w:rsid w:val="00770529"/>
    <w:rsid w:val="00770547"/>
    <w:rsid w:val="0077092A"/>
    <w:rsid w:val="00770933"/>
    <w:rsid w:val="00770BB7"/>
    <w:rsid w:val="00771788"/>
    <w:rsid w:val="00772B49"/>
    <w:rsid w:val="0077310D"/>
    <w:rsid w:val="00774333"/>
    <w:rsid w:val="00775E89"/>
    <w:rsid w:val="00776866"/>
    <w:rsid w:val="0077692C"/>
    <w:rsid w:val="00776E99"/>
    <w:rsid w:val="00777473"/>
    <w:rsid w:val="00777537"/>
    <w:rsid w:val="00777A01"/>
    <w:rsid w:val="00777C40"/>
    <w:rsid w:val="00777F96"/>
    <w:rsid w:val="00781D33"/>
    <w:rsid w:val="00781DA1"/>
    <w:rsid w:val="00782327"/>
    <w:rsid w:val="0078475F"/>
    <w:rsid w:val="00785C12"/>
    <w:rsid w:val="007921D8"/>
    <w:rsid w:val="00794998"/>
    <w:rsid w:val="00794AD1"/>
    <w:rsid w:val="0079509D"/>
    <w:rsid w:val="007954C2"/>
    <w:rsid w:val="00797AC0"/>
    <w:rsid w:val="00797B6E"/>
    <w:rsid w:val="007A2E7E"/>
    <w:rsid w:val="007A4AC4"/>
    <w:rsid w:val="007A4E83"/>
    <w:rsid w:val="007A67E9"/>
    <w:rsid w:val="007A73B8"/>
    <w:rsid w:val="007A7BBE"/>
    <w:rsid w:val="007B34A9"/>
    <w:rsid w:val="007B3CD3"/>
    <w:rsid w:val="007B437B"/>
    <w:rsid w:val="007B6BE4"/>
    <w:rsid w:val="007C0B01"/>
    <w:rsid w:val="007C10FB"/>
    <w:rsid w:val="007C161C"/>
    <w:rsid w:val="007C28DD"/>
    <w:rsid w:val="007C2AF0"/>
    <w:rsid w:val="007C32AD"/>
    <w:rsid w:val="007C3753"/>
    <w:rsid w:val="007C5D92"/>
    <w:rsid w:val="007C67BC"/>
    <w:rsid w:val="007D3189"/>
    <w:rsid w:val="007D584A"/>
    <w:rsid w:val="007D630C"/>
    <w:rsid w:val="007D747F"/>
    <w:rsid w:val="007E0E73"/>
    <w:rsid w:val="007E1032"/>
    <w:rsid w:val="007E2145"/>
    <w:rsid w:val="007E37DF"/>
    <w:rsid w:val="007E4E57"/>
    <w:rsid w:val="007E5B8D"/>
    <w:rsid w:val="007E5F4E"/>
    <w:rsid w:val="007E625C"/>
    <w:rsid w:val="007E6A11"/>
    <w:rsid w:val="007E7B4C"/>
    <w:rsid w:val="007F0165"/>
    <w:rsid w:val="007F05C2"/>
    <w:rsid w:val="007F08CF"/>
    <w:rsid w:val="007F2778"/>
    <w:rsid w:val="007F2F5B"/>
    <w:rsid w:val="007F3041"/>
    <w:rsid w:val="007F56C3"/>
    <w:rsid w:val="007F5C05"/>
    <w:rsid w:val="007F5DA1"/>
    <w:rsid w:val="007F5DA5"/>
    <w:rsid w:val="007F63A3"/>
    <w:rsid w:val="007F7272"/>
    <w:rsid w:val="0080123B"/>
    <w:rsid w:val="008018E2"/>
    <w:rsid w:val="00801A70"/>
    <w:rsid w:val="00802B3D"/>
    <w:rsid w:val="00803812"/>
    <w:rsid w:val="00804F9A"/>
    <w:rsid w:val="0080585A"/>
    <w:rsid w:val="00805F2F"/>
    <w:rsid w:val="008066D2"/>
    <w:rsid w:val="00806AA1"/>
    <w:rsid w:val="00806CA8"/>
    <w:rsid w:val="008100B7"/>
    <w:rsid w:val="008100D6"/>
    <w:rsid w:val="00812EE8"/>
    <w:rsid w:val="00813634"/>
    <w:rsid w:val="00813803"/>
    <w:rsid w:val="00813A35"/>
    <w:rsid w:val="00813E04"/>
    <w:rsid w:val="00814511"/>
    <w:rsid w:val="00814CF3"/>
    <w:rsid w:val="00817BBF"/>
    <w:rsid w:val="00817BF4"/>
    <w:rsid w:val="00821468"/>
    <w:rsid w:val="008216BA"/>
    <w:rsid w:val="008217D1"/>
    <w:rsid w:val="00821C8F"/>
    <w:rsid w:val="0082238E"/>
    <w:rsid w:val="00823764"/>
    <w:rsid w:val="008264CE"/>
    <w:rsid w:val="00827D2B"/>
    <w:rsid w:val="00833B0F"/>
    <w:rsid w:val="00834012"/>
    <w:rsid w:val="0084008A"/>
    <w:rsid w:val="0084151F"/>
    <w:rsid w:val="008431C4"/>
    <w:rsid w:val="00843B3E"/>
    <w:rsid w:val="00844A6B"/>
    <w:rsid w:val="00844D63"/>
    <w:rsid w:val="00844FF1"/>
    <w:rsid w:val="00846F64"/>
    <w:rsid w:val="00850273"/>
    <w:rsid w:val="008512E3"/>
    <w:rsid w:val="00852F8B"/>
    <w:rsid w:val="00854563"/>
    <w:rsid w:val="00854711"/>
    <w:rsid w:val="00854905"/>
    <w:rsid w:val="00854D44"/>
    <w:rsid w:val="008579FC"/>
    <w:rsid w:val="008607C7"/>
    <w:rsid w:val="00860A4C"/>
    <w:rsid w:val="00860DD3"/>
    <w:rsid w:val="00861BB0"/>
    <w:rsid w:val="00861FF2"/>
    <w:rsid w:val="0086549B"/>
    <w:rsid w:val="008673EA"/>
    <w:rsid w:val="008677F1"/>
    <w:rsid w:val="0087024A"/>
    <w:rsid w:val="0087133D"/>
    <w:rsid w:val="00871636"/>
    <w:rsid w:val="00872336"/>
    <w:rsid w:val="00872F01"/>
    <w:rsid w:val="008735CF"/>
    <w:rsid w:val="008736F1"/>
    <w:rsid w:val="0087414D"/>
    <w:rsid w:val="00875A00"/>
    <w:rsid w:val="00875EEE"/>
    <w:rsid w:val="008761DD"/>
    <w:rsid w:val="008769E2"/>
    <w:rsid w:val="00877470"/>
    <w:rsid w:val="00877D3A"/>
    <w:rsid w:val="008810EC"/>
    <w:rsid w:val="00884A20"/>
    <w:rsid w:val="00884BD4"/>
    <w:rsid w:val="00884EA7"/>
    <w:rsid w:val="00885075"/>
    <w:rsid w:val="008856DB"/>
    <w:rsid w:val="008858B2"/>
    <w:rsid w:val="00885BB4"/>
    <w:rsid w:val="008866CC"/>
    <w:rsid w:val="008910C2"/>
    <w:rsid w:val="008913AB"/>
    <w:rsid w:val="0089172A"/>
    <w:rsid w:val="00891AC5"/>
    <w:rsid w:val="00891CA1"/>
    <w:rsid w:val="00892C0F"/>
    <w:rsid w:val="00892C10"/>
    <w:rsid w:val="00893247"/>
    <w:rsid w:val="00893408"/>
    <w:rsid w:val="00893CD8"/>
    <w:rsid w:val="00894127"/>
    <w:rsid w:val="0089533A"/>
    <w:rsid w:val="00895BD7"/>
    <w:rsid w:val="00895C11"/>
    <w:rsid w:val="00895E2D"/>
    <w:rsid w:val="00895EBB"/>
    <w:rsid w:val="00896D00"/>
    <w:rsid w:val="008A011D"/>
    <w:rsid w:val="008A03B3"/>
    <w:rsid w:val="008A367B"/>
    <w:rsid w:val="008A3D01"/>
    <w:rsid w:val="008A466C"/>
    <w:rsid w:val="008A518E"/>
    <w:rsid w:val="008A550C"/>
    <w:rsid w:val="008A5779"/>
    <w:rsid w:val="008A5941"/>
    <w:rsid w:val="008A796B"/>
    <w:rsid w:val="008A7CF6"/>
    <w:rsid w:val="008B148C"/>
    <w:rsid w:val="008B15B0"/>
    <w:rsid w:val="008B185C"/>
    <w:rsid w:val="008B1CAF"/>
    <w:rsid w:val="008B2F15"/>
    <w:rsid w:val="008B4003"/>
    <w:rsid w:val="008B4255"/>
    <w:rsid w:val="008B4BE2"/>
    <w:rsid w:val="008B5F05"/>
    <w:rsid w:val="008B691C"/>
    <w:rsid w:val="008B6C31"/>
    <w:rsid w:val="008B7CD8"/>
    <w:rsid w:val="008C12ED"/>
    <w:rsid w:val="008C3E57"/>
    <w:rsid w:val="008C5712"/>
    <w:rsid w:val="008C62BD"/>
    <w:rsid w:val="008C71F8"/>
    <w:rsid w:val="008D0242"/>
    <w:rsid w:val="008D0472"/>
    <w:rsid w:val="008D24BD"/>
    <w:rsid w:val="008D48E3"/>
    <w:rsid w:val="008D5B3B"/>
    <w:rsid w:val="008D62DF"/>
    <w:rsid w:val="008D6364"/>
    <w:rsid w:val="008D6D6E"/>
    <w:rsid w:val="008D6F50"/>
    <w:rsid w:val="008E0FFA"/>
    <w:rsid w:val="008E5C4B"/>
    <w:rsid w:val="008E69EA"/>
    <w:rsid w:val="008E6CC5"/>
    <w:rsid w:val="008E7D64"/>
    <w:rsid w:val="008F1672"/>
    <w:rsid w:val="008F1675"/>
    <w:rsid w:val="008F25C3"/>
    <w:rsid w:val="008F287E"/>
    <w:rsid w:val="008F2E4D"/>
    <w:rsid w:val="008F529E"/>
    <w:rsid w:val="008F5CEC"/>
    <w:rsid w:val="008F66BC"/>
    <w:rsid w:val="008F6F16"/>
    <w:rsid w:val="008F6F73"/>
    <w:rsid w:val="008F7690"/>
    <w:rsid w:val="0090018F"/>
    <w:rsid w:val="009007A8"/>
    <w:rsid w:val="009018A1"/>
    <w:rsid w:val="009021A8"/>
    <w:rsid w:val="00903710"/>
    <w:rsid w:val="00905186"/>
    <w:rsid w:val="009054E6"/>
    <w:rsid w:val="0090563D"/>
    <w:rsid w:val="00905713"/>
    <w:rsid w:val="0090611C"/>
    <w:rsid w:val="00906886"/>
    <w:rsid w:val="0091081B"/>
    <w:rsid w:val="00910A07"/>
    <w:rsid w:val="00910D74"/>
    <w:rsid w:val="00911E10"/>
    <w:rsid w:val="00917F53"/>
    <w:rsid w:val="0092025C"/>
    <w:rsid w:val="00921A0F"/>
    <w:rsid w:val="00922E52"/>
    <w:rsid w:val="009231B6"/>
    <w:rsid w:val="00923462"/>
    <w:rsid w:val="00923D42"/>
    <w:rsid w:val="00924DB0"/>
    <w:rsid w:val="00925491"/>
    <w:rsid w:val="00925FA9"/>
    <w:rsid w:val="0092781B"/>
    <w:rsid w:val="009338D9"/>
    <w:rsid w:val="0093425A"/>
    <w:rsid w:val="009343AE"/>
    <w:rsid w:val="00935773"/>
    <w:rsid w:val="009374C7"/>
    <w:rsid w:val="00937D31"/>
    <w:rsid w:val="0094032C"/>
    <w:rsid w:val="00940555"/>
    <w:rsid w:val="009414DF"/>
    <w:rsid w:val="009416C9"/>
    <w:rsid w:val="00941CCD"/>
    <w:rsid w:val="00942747"/>
    <w:rsid w:val="0094292D"/>
    <w:rsid w:val="009433CE"/>
    <w:rsid w:val="00943430"/>
    <w:rsid w:val="00944712"/>
    <w:rsid w:val="009459C0"/>
    <w:rsid w:val="00946774"/>
    <w:rsid w:val="00946FCE"/>
    <w:rsid w:val="00947A91"/>
    <w:rsid w:val="00950B41"/>
    <w:rsid w:val="009511D5"/>
    <w:rsid w:val="0095223D"/>
    <w:rsid w:val="00952A43"/>
    <w:rsid w:val="009532B1"/>
    <w:rsid w:val="009534C1"/>
    <w:rsid w:val="00953C56"/>
    <w:rsid w:val="0095454C"/>
    <w:rsid w:val="009547F4"/>
    <w:rsid w:val="00954DB7"/>
    <w:rsid w:val="00955183"/>
    <w:rsid w:val="00956A9A"/>
    <w:rsid w:val="009609DA"/>
    <w:rsid w:val="00960A58"/>
    <w:rsid w:val="00961F6E"/>
    <w:rsid w:val="00963592"/>
    <w:rsid w:val="009648BF"/>
    <w:rsid w:val="00965352"/>
    <w:rsid w:val="009658D9"/>
    <w:rsid w:val="00966110"/>
    <w:rsid w:val="00967E31"/>
    <w:rsid w:val="009706AD"/>
    <w:rsid w:val="0097172D"/>
    <w:rsid w:val="00974804"/>
    <w:rsid w:val="0097499D"/>
    <w:rsid w:val="009749D7"/>
    <w:rsid w:val="009758E3"/>
    <w:rsid w:val="00975ED7"/>
    <w:rsid w:val="009764FD"/>
    <w:rsid w:val="00977F77"/>
    <w:rsid w:val="009810D5"/>
    <w:rsid w:val="00981329"/>
    <w:rsid w:val="00982188"/>
    <w:rsid w:val="009830FD"/>
    <w:rsid w:val="0098311E"/>
    <w:rsid w:val="0098386F"/>
    <w:rsid w:val="009846FA"/>
    <w:rsid w:val="0098676B"/>
    <w:rsid w:val="009908DB"/>
    <w:rsid w:val="009910D0"/>
    <w:rsid w:val="00991293"/>
    <w:rsid w:val="009917C3"/>
    <w:rsid w:val="0099190A"/>
    <w:rsid w:val="00991D2F"/>
    <w:rsid w:val="009923E9"/>
    <w:rsid w:val="009936CA"/>
    <w:rsid w:val="00993B15"/>
    <w:rsid w:val="00993E93"/>
    <w:rsid w:val="00994185"/>
    <w:rsid w:val="00994527"/>
    <w:rsid w:val="009952BC"/>
    <w:rsid w:val="009A1111"/>
    <w:rsid w:val="009A1193"/>
    <w:rsid w:val="009A17A2"/>
    <w:rsid w:val="009A1BC9"/>
    <w:rsid w:val="009A2C03"/>
    <w:rsid w:val="009A3165"/>
    <w:rsid w:val="009A3350"/>
    <w:rsid w:val="009A3721"/>
    <w:rsid w:val="009A434E"/>
    <w:rsid w:val="009A578B"/>
    <w:rsid w:val="009A6607"/>
    <w:rsid w:val="009A71A6"/>
    <w:rsid w:val="009A791D"/>
    <w:rsid w:val="009B0AE1"/>
    <w:rsid w:val="009B1345"/>
    <w:rsid w:val="009B23F7"/>
    <w:rsid w:val="009B24A0"/>
    <w:rsid w:val="009B34EB"/>
    <w:rsid w:val="009B4707"/>
    <w:rsid w:val="009B4F4E"/>
    <w:rsid w:val="009B5E9B"/>
    <w:rsid w:val="009B69C2"/>
    <w:rsid w:val="009C02A6"/>
    <w:rsid w:val="009C0951"/>
    <w:rsid w:val="009C1A48"/>
    <w:rsid w:val="009C3CAC"/>
    <w:rsid w:val="009C4CD1"/>
    <w:rsid w:val="009C5305"/>
    <w:rsid w:val="009C6874"/>
    <w:rsid w:val="009D15AB"/>
    <w:rsid w:val="009D3FAA"/>
    <w:rsid w:val="009D480D"/>
    <w:rsid w:val="009D701C"/>
    <w:rsid w:val="009E0A15"/>
    <w:rsid w:val="009E389C"/>
    <w:rsid w:val="009E3F66"/>
    <w:rsid w:val="009E6013"/>
    <w:rsid w:val="009E6A39"/>
    <w:rsid w:val="009E6C1B"/>
    <w:rsid w:val="009E78C8"/>
    <w:rsid w:val="009E7AE3"/>
    <w:rsid w:val="009E7C9E"/>
    <w:rsid w:val="009F46A0"/>
    <w:rsid w:val="009F6089"/>
    <w:rsid w:val="00A01935"/>
    <w:rsid w:val="00A02AFD"/>
    <w:rsid w:val="00A0389C"/>
    <w:rsid w:val="00A067F9"/>
    <w:rsid w:val="00A068B0"/>
    <w:rsid w:val="00A06900"/>
    <w:rsid w:val="00A06F75"/>
    <w:rsid w:val="00A10985"/>
    <w:rsid w:val="00A120BA"/>
    <w:rsid w:val="00A13B81"/>
    <w:rsid w:val="00A14762"/>
    <w:rsid w:val="00A149C7"/>
    <w:rsid w:val="00A14CDE"/>
    <w:rsid w:val="00A17C74"/>
    <w:rsid w:val="00A17CBF"/>
    <w:rsid w:val="00A21A3A"/>
    <w:rsid w:val="00A21C67"/>
    <w:rsid w:val="00A23D82"/>
    <w:rsid w:val="00A245C4"/>
    <w:rsid w:val="00A25768"/>
    <w:rsid w:val="00A264B3"/>
    <w:rsid w:val="00A26E98"/>
    <w:rsid w:val="00A3139B"/>
    <w:rsid w:val="00A32417"/>
    <w:rsid w:val="00A325A6"/>
    <w:rsid w:val="00A33886"/>
    <w:rsid w:val="00A33BF9"/>
    <w:rsid w:val="00A33E94"/>
    <w:rsid w:val="00A3561D"/>
    <w:rsid w:val="00A36925"/>
    <w:rsid w:val="00A36A77"/>
    <w:rsid w:val="00A36DE5"/>
    <w:rsid w:val="00A370D1"/>
    <w:rsid w:val="00A372EE"/>
    <w:rsid w:val="00A37B33"/>
    <w:rsid w:val="00A40007"/>
    <w:rsid w:val="00A40E87"/>
    <w:rsid w:val="00A40F5B"/>
    <w:rsid w:val="00A416A6"/>
    <w:rsid w:val="00A419B4"/>
    <w:rsid w:val="00A41F5C"/>
    <w:rsid w:val="00A42C1A"/>
    <w:rsid w:val="00A437E8"/>
    <w:rsid w:val="00A440FA"/>
    <w:rsid w:val="00A44411"/>
    <w:rsid w:val="00A4601F"/>
    <w:rsid w:val="00A46965"/>
    <w:rsid w:val="00A479E8"/>
    <w:rsid w:val="00A47B39"/>
    <w:rsid w:val="00A5049E"/>
    <w:rsid w:val="00A550EC"/>
    <w:rsid w:val="00A55C6E"/>
    <w:rsid w:val="00A5670D"/>
    <w:rsid w:val="00A56D36"/>
    <w:rsid w:val="00A60C89"/>
    <w:rsid w:val="00A61759"/>
    <w:rsid w:val="00A62BCE"/>
    <w:rsid w:val="00A64367"/>
    <w:rsid w:val="00A643F5"/>
    <w:rsid w:val="00A6510F"/>
    <w:rsid w:val="00A65F4F"/>
    <w:rsid w:val="00A6636F"/>
    <w:rsid w:val="00A666D3"/>
    <w:rsid w:val="00A674D1"/>
    <w:rsid w:val="00A67CA9"/>
    <w:rsid w:val="00A7228E"/>
    <w:rsid w:val="00A735C4"/>
    <w:rsid w:val="00A7379C"/>
    <w:rsid w:val="00A737BB"/>
    <w:rsid w:val="00A73BED"/>
    <w:rsid w:val="00A73C96"/>
    <w:rsid w:val="00A74F21"/>
    <w:rsid w:val="00A75BE7"/>
    <w:rsid w:val="00A75E74"/>
    <w:rsid w:val="00A76656"/>
    <w:rsid w:val="00A76E73"/>
    <w:rsid w:val="00A7741C"/>
    <w:rsid w:val="00A8093C"/>
    <w:rsid w:val="00A81976"/>
    <w:rsid w:val="00A8198B"/>
    <w:rsid w:val="00A81A65"/>
    <w:rsid w:val="00A84B08"/>
    <w:rsid w:val="00A84C04"/>
    <w:rsid w:val="00A852E4"/>
    <w:rsid w:val="00A8641E"/>
    <w:rsid w:val="00A86F0A"/>
    <w:rsid w:val="00A87CE7"/>
    <w:rsid w:val="00A9065D"/>
    <w:rsid w:val="00A90D16"/>
    <w:rsid w:val="00A91013"/>
    <w:rsid w:val="00A9159F"/>
    <w:rsid w:val="00A92DA4"/>
    <w:rsid w:val="00A92DF5"/>
    <w:rsid w:val="00A93A0F"/>
    <w:rsid w:val="00A93F3D"/>
    <w:rsid w:val="00A943B0"/>
    <w:rsid w:val="00A95F60"/>
    <w:rsid w:val="00A9690B"/>
    <w:rsid w:val="00A96CC7"/>
    <w:rsid w:val="00A974F4"/>
    <w:rsid w:val="00A97753"/>
    <w:rsid w:val="00AA010F"/>
    <w:rsid w:val="00AA0504"/>
    <w:rsid w:val="00AA0D73"/>
    <w:rsid w:val="00AA1C2F"/>
    <w:rsid w:val="00AA467C"/>
    <w:rsid w:val="00AA559E"/>
    <w:rsid w:val="00AA55EC"/>
    <w:rsid w:val="00AA6A79"/>
    <w:rsid w:val="00AB02C7"/>
    <w:rsid w:val="00AB0B1F"/>
    <w:rsid w:val="00AB0EDB"/>
    <w:rsid w:val="00AB1E56"/>
    <w:rsid w:val="00AB2B26"/>
    <w:rsid w:val="00AB3262"/>
    <w:rsid w:val="00AB3A1C"/>
    <w:rsid w:val="00AB5A6C"/>
    <w:rsid w:val="00AB6CEC"/>
    <w:rsid w:val="00AC0A7E"/>
    <w:rsid w:val="00AC184F"/>
    <w:rsid w:val="00AC1C72"/>
    <w:rsid w:val="00AC1EF2"/>
    <w:rsid w:val="00AC351F"/>
    <w:rsid w:val="00AC3893"/>
    <w:rsid w:val="00AC3D9F"/>
    <w:rsid w:val="00AC420F"/>
    <w:rsid w:val="00AC4264"/>
    <w:rsid w:val="00AC52B3"/>
    <w:rsid w:val="00AC5DFF"/>
    <w:rsid w:val="00AC6352"/>
    <w:rsid w:val="00AC6CA0"/>
    <w:rsid w:val="00AC6E5E"/>
    <w:rsid w:val="00AC78F7"/>
    <w:rsid w:val="00AD03F0"/>
    <w:rsid w:val="00AD34D7"/>
    <w:rsid w:val="00AD407D"/>
    <w:rsid w:val="00AD5369"/>
    <w:rsid w:val="00AD5EFD"/>
    <w:rsid w:val="00AD7D12"/>
    <w:rsid w:val="00AE0964"/>
    <w:rsid w:val="00AE0A3B"/>
    <w:rsid w:val="00AE0F51"/>
    <w:rsid w:val="00AE2406"/>
    <w:rsid w:val="00AE274B"/>
    <w:rsid w:val="00AE3443"/>
    <w:rsid w:val="00AE42CF"/>
    <w:rsid w:val="00AE46A7"/>
    <w:rsid w:val="00AE76F2"/>
    <w:rsid w:val="00AF03FF"/>
    <w:rsid w:val="00AF1750"/>
    <w:rsid w:val="00AF1B5B"/>
    <w:rsid w:val="00AF2267"/>
    <w:rsid w:val="00AF2744"/>
    <w:rsid w:val="00AF5D53"/>
    <w:rsid w:val="00AF649A"/>
    <w:rsid w:val="00B00250"/>
    <w:rsid w:val="00B00469"/>
    <w:rsid w:val="00B004C0"/>
    <w:rsid w:val="00B017BB"/>
    <w:rsid w:val="00B0184F"/>
    <w:rsid w:val="00B02074"/>
    <w:rsid w:val="00B03E73"/>
    <w:rsid w:val="00B04352"/>
    <w:rsid w:val="00B04370"/>
    <w:rsid w:val="00B051FD"/>
    <w:rsid w:val="00B059AD"/>
    <w:rsid w:val="00B066BA"/>
    <w:rsid w:val="00B1075A"/>
    <w:rsid w:val="00B11F8F"/>
    <w:rsid w:val="00B15BAF"/>
    <w:rsid w:val="00B16A8F"/>
    <w:rsid w:val="00B209C1"/>
    <w:rsid w:val="00B21087"/>
    <w:rsid w:val="00B22A00"/>
    <w:rsid w:val="00B2427C"/>
    <w:rsid w:val="00B25A2A"/>
    <w:rsid w:val="00B26BFB"/>
    <w:rsid w:val="00B26EDD"/>
    <w:rsid w:val="00B27837"/>
    <w:rsid w:val="00B27F98"/>
    <w:rsid w:val="00B31300"/>
    <w:rsid w:val="00B31E85"/>
    <w:rsid w:val="00B328E6"/>
    <w:rsid w:val="00B33FE7"/>
    <w:rsid w:val="00B3674C"/>
    <w:rsid w:val="00B4072E"/>
    <w:rsid w:val="00B428AC"/>
    <w:rsid w:val="00B445A7"/>
    <w:rsid w:val="00B44CC8"/>
    <w:rsid w:val="00B45502"/>
    <w:rsid w:val="00B50071"/>
    <w:rsid w:val="00B511AB"/>
    <w:rsid w:val="00B517A6"/>
    <w:rsid w:val="00B53AD5"/>
    <w:rsid w:val="00B54109"/>
    <w:rsid w:val="00B54912"/>
    <w:rsid w:val="00B54BB0"/>
    <w:rsid w:val="00B54C58"/>
    <w:rsid w:val="00B55E35"/>
    <w:rsid w:val="00B5715A"/>
    <w:rsid w:val="00B576DA"/>
    <w:rsid w:val="00B60212"/>
    <w:rsid w:val="00B60987"/>
    <w:rsid w:val="00B61335"/>
    <w:rsid w:val="00B61724"/>
    <w:rsid w:val="00B63FAD"/>
    <w:rsid w:val="00B64247"/>
    <w:rsid w:val="00B64E36"/>
    <w:rsid w:val="00B65A5D"/>
    <w:rsid w:val="00B65DD0"/>
    <w:rsid w:val="00B752B9"/>
    <w:rsid w:val="00B7572A"/>
    <w:rsid w:val="00B7586F"/>
    <w:rsid w:val="00B76520"/>
    <w:rsid w:val="00B80915"/>
    <w:rsid w:val="00B813E6"/>
    <w:rsid w:val="00B81B00"/>
    <w:rsid w:val="00B8390A"/>
    <w:rsid w:val="00B84944"/>
    <w:rsid w:val="00B85594"/>
    <w:rsid w:val="00B8588D"/>
    <w:rsid w:val="00B86DB1"/>
    <w:rsid w:val="00B86E7E"/>
    <w:rsid w:val="00B8739C"/>
    <w:rsid w:val="00B87420"/>
    <w:rsid w:val="00B92A92"/>
    <w:rsid w:val="00B94903"/>
    <w:rsid w:val="00B96220"/>
    <w:rsid w:val="00B970F5"/>
    <w:rsid w:val="00BA0C43"/>
    <w:rsid w:val="00BA0D08"/>
    <w:rsid w:val="00BA1369"/>
    <w:rsid w:val="00BA1BE3"/>
    <w:rsid w:val="00BA3204"/>
    <w:rsid w:val="00BA435A"/>
    <w:rsid w:val="00BA536A"/>
    <w:rsid w:val="00BA559A"/>
    <w:rsid w:val="00BA55B4"/>
    <w:rsid w:val="00BA6611"/>
    <w:rsid w:val="00BA6F44"/>
    <w:rsid w:val="00BA712C"/>
    <w:rsid w:val="00BA7368"/>
    <w:rsid w:val="00BB05DA"/>
    <w:rsid w:val="00BB08AF"/>
    <w:rsid w:val="00BB0DC8"/>
    <w:rsid w:val="00BB1CAF"/>
    <w:rsid w:val="00BB27FD"/>
    <w:rsid w:val="00BB41FB"/>
    <w:rsid w:val="00BB444B"/>
    <w:rsid w:val="00BB4D43"/>
    <w:rsid w:val="00BB7FCD"/>
    <w:rsid w:val="00BC0222"/>
    <w:rsid w:val="00BC0E4A"/>
    <w:rsid w:val="00BC1018"/>
    <w:rsid w:val="00BC117F"/>
    <w:rsid w:val="00BC12F9"/>
    <w:rsid w:val="00BC2196"/>
    <w:rsid w:val="00BC29DB"/>
    <w:rsid w:val="00BC3049"/>
    <w:rsid w:val="00BC646D"/>
    <w:rsid w:val="00BC6B72"/>
    <w:rsid w:val="00BD1387"/>
    <w:rsid w:val="00BD2B44"/>
    <w:rsid w:val="00BD31E1"/>
    <w:rsid w:val="00BD4830"/>
    <w:rsid w:val="00BD4901"/>
    <w:rsid w:val="00BD5F04"/>
    <w:rsid w:val="00BD64A0"/>
    <w:rsid w:val="00BE1403"/>
    <w:rsid w:val="00BE1DA3"/>
    <w:rsid w:val="00BE2130"/>
    <w:rsid w:val="00BE401F"/>
    <w:rsid w:val="00BE5845"/>
    <w:rsid w:val="00BE5FC4"/>
    <w:rsid w:val="00BE6C80"/>
    <w:rsid w:val="00BE6FE4"/>
    <w:rsid w:val="00BE7999"/>
    <w:rsid w:val="00BF2F58"/>
    <w:rsid w:val="00BF33F8"/>
    <w:rsid w:val="00BF37DB"/>
    <w:rsid w:val="00BF3A6E"/>
    <w:rsid w:val="00BF4452"/>
    <w:rsid w:val="00BF7C44"/>
    <w:rsid w:val="00C00364"/>
    <w:rsid w:val="00C01044"/>
    <w:rsid w:val="00C0125B"/>
    <w:rsid w:val="00C014B7"/>
    <w:rsid w:val="00C02DEE"/>
    <w:rsid w:val="00C03381"/>
    <w:rsid w:val="00C04C5F"/>
    <w:rsid w:val="00C05C96"/>
    <w:rsid w:val="00C100F3"/>
    <w:rsid w:val="00C104F4"/>
    <w:rsid w:val="00C11817"/>
    <w:rsid w:val="00C12A24"/>
    <w:rsid w:val="00C13F58"/>
    <w:rsid w:val="00C14B9E"/>
    <w:rsid w:val="00C14E7F"/>
    <w:rsid w:val="00C151ED"/>
    <w:rsid w:val="00C159F0"/>
    <w:rsid w:val="00C16664"/>
    <w:rsid w:val="00C17D6B"/>
    <w:rsid w:val="00C207CF"/>
    <w:rsid w:val="00C210B7"/>
    <w:rsid w:val="00C21506"/>
    <w:rsid w:val="00C21B55"/>
    <w:rsid w:val="00C22964"/>
    <w:rsid w:val="00C23572"/>
    <w:rsid w:val="00C27B39"/>
    <w:rsid w:val="00C27BE5"/>
    <w:rsid w:val="00C30304"/>
    <w:rsid w:val="00C31006"/>
    <w:rsid w:val="00C310F8"/>
    <w:rsid w:val="00C317F7"/>
    <w:rsid w:val="00C32B5E"/>
    <w:rsid w:val="00C32D13"/>
    <w:rsid w:val="00C337EC"/>
    <w:rsid w:val="00C348CF"/>
    <w:rsid w:val="00C35016"/>
    <w:rsid w:val="00C35D2C"/>
    <w:rsid w:val="00C40A1C"/>
    <w:rsid w:val="00C4198A"/>
    <w:rsid w:val="00C42070"/>
    <w:rsid w:val="00C4220E"/>
    <w:rsid w:val="00C42410"/>
    <w:rsid w:val="00C433F7"/>
    <w:rsid w:val="00C45B1C"/>
    <w:rsid w:val="00C45BE3"/>
    <w:rsid w:val="00C47DBD"/>
    <w:rsid w:val="00C50A02"/>
    <w:rsid w:val="00C52A62"/>
    <w:rsid w:val="00C53537"/>
    <w:rsid w:val="00C5362A"/>
    <w:rsid w:val="00C53EFA"/>
    <w:rsid w:val="00C55E3F"/>
    <w:rsid w:val="00C55EB3"/>
    <w:rsid w:val="00C55ED5"/>
    <w:rsid w:val="00C57CEC"/>
    <w:rsid w:val="00C60243"/>
    <w:rsid w:val="00C60DDC"/>
    <w:rsid w:val="00C61F80"/>
    <w:rsid w:val="00C62559"/>
    <w:rsid w:val="00C644A6"/>
    <w:rsid w:val="00C659FC"/>
    <w:rsid w:val="00C6619F"/>
    <w:rsid w:val="00C66477"/>
    <w:rsid w:val="00C667B6"/>
    <w:rsid w:val="00C66A32"/>
    <w:rsid w:val="00C66B90"/>
    <w:rsid w:val="00C67311"/>
    <w:rsid w:val="00C67666"/>
    <w:rsid w:val="00C7138F"/>
    <w:rsid w:val="00C7218C"/>
    <w:rsid w:val="00C731BB"/>
    <w:rsid w:val="00C73453"/>
    <w:rsid w:val="00C73941"/>
    <w:rsid w:val="00C7437C"/>
    <w:rsid w:val="00C7781E"/>
    <w:rsid w:val="00C77F72"/>
    <w:rsid w:val="00C803E1"/>
    <w:rsid w:val="00C81962"/>
    <w:rsid w:val="00C81B4C"/>
    <w:rsid w:val="00C84F6A"/>
    <w:rsid w:val="00C86908"/>
    <w:rsid w:val="00C86CA0"/>
    <w:rsid w:val="00C87A6F"/>
    <w:rsid w:val="00C87D2D"/>
    <w:rsid w:val="00C90618"/>
    <w:rsid w:val="00C9089E"/>
    <w:rsid w:val="00C9234A"/>
    <w:rsid w:val="00C94E0C"/>
    <w:rsid w:val="00C957C7"/>
    <w:rsid w:val="00C96E7C"/>
    <w:rsid w:val="00C9718B"/>
    <w:rsid w:val="00CA05C9"/>
    <w:rsid w:val="00CA0FF7"/>
    <w:rsid w:val="00CA1059"/>
    <w:rsid w:val="00CA155C"/>
    <w:rsid w:val="00CA19D5"/>
    <w:rsid w:val="00CA1B94"/>
    <w:rsid w:val="00CA2406"/>
    <w:rsid w:val="00CA2DFD"/>
    <w:rsid w:val="00CA4496"/>
    <w:rsid w:val="00CA49FD"/>
    <w:rsid w:val="00CA4A52"/>
    <w:rsid w:val="00CA693B"/>
    <w:rsid w:val="00CA7156"/>
    <w:rsid w:val="00CA754D"/>
    <w:rsid w:val="00CA7B9B"/>
    <w:rsid w:val="00CB1931"/>
    <w:rsid w:val="00CB255C"/>
    <w:rsid w:val="00CB4928"/>
    <w:rsid w:val="00CB4EA0"/>
    <w:rsid w:val="00CB63DC"/>
    <w:rsid w:val="00CB660C"/>
    <w:rsid w:val="00CB6B98"/>
    <w:rsid w:val="00CB6F20"/>
    <w:rsid w:val="00CB7B32"/>
    <w:rsid w:val="00CB7B45"/>
    <w:rsid w:val="00CC23A4"/>
    <w:rsid w:val="00CC35AE"/>
    <w:rsid w:val="00CC4719"/>
    <w:rsid w:val="00CC4DBA"/>
    <w:rsid w:val="00CC6B6E"/>
    <w:rsid w:val="00CC74A4"/>
    <w:rsid w:val="00CC758B"/>
    <w:rsid w:val="00CC7ACE"/>
    <w:rsid w:val="00CC7E4E"/>
    <w:rsid w:val="00CC7E96"/>
    <w:rsid w:val="00CD138C"/>
    <w:rsid w:val="00CD1D4A"/>
    <w:rsid w:val="00CD1D78"/>
    <w:rsid w:val="00CD2FAD"/>
    <w:rsid w:val="00CD34DD"/>
    <w:rsid w:val="00CD5481"/>
    <w:rsid w:val="00CD5765"/>
    <w:rsid w:val="00CD5D59"/>
    <w:rsid w:val="00CD6BB4"/>
    <w:rsid w:val="00CD74B5"/>
    <w:rsid w:val="00CE1478"/>
    <w:rsid w:val="00CE1C27"/>
    <w:rsid w:val="00CE1C38"/>
    <w:rsid w:val="00CE2070"/>
    <w:rsid w:val="00CE255C"/>
    <w:rsid w:val="00CE256E"/>
    <w:rsid w:val="00CE3C42"/>
    <w:rsid w:val="00CE44F9"/>
    <w:rsid w:val="00CE50A1"/>
    <w:rsid w:val="00CE6DA9"/>
    <w:rsid w:val="00CE7790"/>
    <w:rsid w:val="00CF04B9"/>
    <w:rsid w:val="00CF0FE5"/>
    <w:rsid w:val="00CF1764"/>
    <w:rsid w:val="00CF1B69"/>
    <w:rsid w:val="00CF2CEC"/>
    <w:rsid w:val="00CF3877"/>
    <w:rsid w:val="00CF542E"/>
    <w:rsid w:val="00CF6DD3"/>
    <w:rsid w:val="00CF7E4C"/>
    <w:rsid w:val="00D005CE"/>
    <w:rsid w:val="00D00A2F"/>
    <w:rsid w:val="00D01DEF"/>
    <w:rsid w:val="00D02680"/>
    <w:rsid w:val="00D031C0"/>
    <w:rsid w:val="00D047DD"/>
    <w:rsid w:val="00D05902"/>
    <w:rsid w:val="00D07934"/>
    <w:rsid w:val="00D1057C"/>
    <w:rsid w:val="00D107CC"/>
    <w:rsid w:val="00D10BC4"/>
    <w:rsid w:val="00D10FBA"/>
    <w:rsid w:val="00D16E78"/>
    <w:rsid w:val="00D17FEB"/>
    <w:rsid w:val="00D202F0"/>
    <w:rsid w:val="00D20EA3"/>
    <w:rsid w:val="00D2146A"/>
    <w:rsid w:val="00D22758"/>
    <w:rsid w:val="00D231A4"/>
    <w:rsid w:val="00D33B77"/>
    <w:rsid w:val="00D33C32"/>
    <w:rsid w:val="00D354BA"/>
    <w:rsid w:val="00D35BB1"/>
    <w:rsid w:val="00D35D90"/>
    <w:rsid w:val="00D40355"/>
    <w:rsid w:val="00D431F9"/>
    <w:rsid w:val="00D44FC7"/>
    <w:rsid w:val="00D4550F"/>
    <w:rsid w:val="00D4659D"/>
    <w:rsid w:val="00D46704"/>
    <w:rsid w:val="00D46994"/>
    <w:rsid w:val="00D472B4"/>
    <w:rsid w:val="00D47CFE"/>
    <w:rsid w:val="00D50396"/>
    <w:rsid w:val="00D51E0A"/>
    <w:rsid w:val="00D523B4"/>
    <w:rsid w:val="00D52609"/>
    <w:rsid w:val="00D5280E"/>
    <w:rsid w:val="00D53144"/>
    <w:rsid w:val="00D540A7"/>
    <w:rsid w:val="00D57DD6"/>
    <w:rsid w:val="00D60298"/>
    <w:rsid w:val="00D60AEC"/>
    <w:rsid w:val="00D62CAE"/>
    <w:rsid w:val="00D62F3B"/>
    <w:rsid w:val="00D63BB7"/>
    <w:rsid w:val="00D64F1D"/>
    <w:rsid w:val="00D65606"/>
    <w:rsid w:val="00D67222"/>
    <w:rsid w:val="00D67942"/>
    <w:rsid w:val="00D67E69"/>
    <w:rsid w:val="00D70CDB"/>
    <w:rsid w:val="00D716C4"/>
    <w:rsid w:val="00D71A47"/>
    <w:rsid w:val="00D72FAA"/>
    <w:rsid w:val="00D736DD"/>
    <w:rsid w:val="00D73DEE"/>
    <w:rsid w:val="00D7509E"/>
    <w:rsid w:val="00D75389"/>
    <w:rsid w:val="00D76143"/>
    <w:rsid w:val="00D76D6D"/>
    <w:rsid w:val="00D76E18"/>
    <w:rsid w:val="00D77796"/>
    <w:rsid w:val="00D77C0D"/>
    <w:rsid w:val="00D81877"/>
    <w:rsid w:val="00D81ECC"/>
    <w:rsid w:val="00D84F0B"/>
    <w:rsid w:val="00D8519A"/>
    <w:rsid w:val="00D860A4"/>
    <w:rsid w:val="00D8621E"/>
    <w:rsid w:val="00D8674E"/>
    <w:rsid w:val="00D86D25"/>
    <w:rsid w:val="00D86DA4"/>
    <w:rsid w:val="00D87D4A"/>
    <w:rsid w:val="00D90650"/>
    <w:rsid w:val="00D90E64"/>
    <w:rsid w:val="00D911D9"/>
    <w:rsid w:val="00D917DA"/>
    <w:rsid w:val="00D9223D"/>
    <w:rsid w:val="00D930F6"/>
    <w:rsid w:val="00D94ADB"/>
    <w:rsid w:val="00D94D90"/>
    <w:rsid w:val="00D974EF"/>
    <w:rsid w:val="00D97FE6"/>
    <w:rsid w:val="00DA0776"/>
    <w:rsid w:val="00DA1D0A"/>
    <w:rsid w:val="00DA510B"/>
    <w:rsid w:val="00DA675F"/>
    <w:rsid w:val="00DA67DD"/>
    <w:rsid w:val="00DA7D62"/>
    <w:rsid w:val="00DA7D9F"/>
    <w:rsid w:val="00DB2487"/>
    <w:rsid w:val="00DB28F9"/>
    <w:rsid w:val="00DB37AC"/>
    <w:rsid w:val="00DB57DF"/>
    <w:rsid w:val="00DB61CB"/>
    <w:rsid w:val="00DC1C62"/>
    <w:rsid w:val="00DC2502"/>
    <w:rsid w:val="00DC2D47"/>
    <w:rsid w:val="00DC340B"/>
    <w:rsid w:val="00DC354E"/>
    <w:rsid w:val="00DD1913"/>
    <w:rsid w:val="00DD2600"/>
    <w:rsid w:val="00DD2B4C"/>
    <w:rsid w:val="00DD2DB9"/>
    <w:rsid w:val="00DD4D89"/>
    <w:rsid w:val="00DD4F8B"/>
    <w:rsid w:val="00DD5421"/>
    <w:rsid w:val="00DD5AC5"/>
    <w:rsid w:val="00DD7B6E"/>
    <w:rsid w:val="00DD7CBB"/>
    <w:rsid w:val="00DE0248"/>
    <w:rsid w:val="00DE04CC"/>
    <w:rsid w:val="00DE070A"/>
    <w:rsid w:val="00DE1230"/>
    <w:rsid w:val="00DE157E"/>
    <w:rsid w:val="00DE19E7"/>
    <w:rsid w:val="00DE2BA6"/>
    <w:rsid w:val="00DE39B6"/>
    <w:rsid w:val="00DE3F2F"/>
    <w:rsid w:val="00DF0076"/>
    <w:rsid w:val="00DF14F4"/>
    <w:rsid w:val="00DF48A9"/>
    <w:rsid w:val="00DF52F9"/>
    <w:rsid w:val="00DF5889"/>
    <w:rsid w:val="00E0063E"/>
    <w:rsid w:val="00E00F50"/>
    <w:rsid w:val="00E01CD2"/>
    <w:rsid w:val="00E032B5"/>
    <w:rsid w:val="00E0450D"/>
    <w:rsid w:val="00E04B5E"/>
    <w:rsid w:val="00E04EE6"/>
    <w:rsid w:val="00E067C3"/>
    <w:rsid w:val="00E06D98"/>
    <w:rsid w:val="00E06F81"/>
    <w:rsid w:val="00E10040"/>
    <w:rsid w:val="00E11A85"/>
    <w:rsid w:val="00E12C72"/>
    <w:rsid w:val="00E12E27"/>
    <w:rsid w:val="00E1446F"/>
    <w:rsid w:val="00E15D01"/>
    <w:rsid w:val="00E16119"/>
    <w:rsid w:val="00E17A8B"/>
    <w:rsid w:val="00E20B7A"/>
    <w:rsid w:val="00E21A1D"/>
    <w:rsid w:val="00E24A82"/>
    <w:rsid w:val="00E2543B"/>
    <w:rsid w:val="00E254C3"/>
    <w:rsid w:val="00E266A1"/>
    <w:rsid w:val="00E26DB4"/>
    <w:rsid w:val="00E31521"/>
    <w:rsid w:val="00E326F7"/>
    <w:rsid w:val="00E327C7"/>
    <w:rsid w:val="00E3314D"/>
    <w:rsid w:val="00E343E1"/>
    <w:rsid w:val="00E35FC8"/>
    <w:rsid w:val="00E363AC"/>
    <w:rsid w:val="00E36A19"/>
    <w:rsid w:val="00E40369"/>
    <w:rsid w:val="00E40DC7"/>
    <w:rsid w:val="00E42C35"/>
    <w:rsid w:val="00E43057"/>
    <w:rsid w:val="00E463C4"/>
    <w:rsid w:val="00E502A9"/>
    <w:rsid w:val="00E507C5"/>
    <w:rsid w:val="00E50963"/>
    <w:rsid w:val="00E5230C"/>
    <w:rsid w:val="00E54EB9"/>
    <w:rsid w:val="00E60D63"/>
    <w:rsid w:val="00E61C16"/>
    <w:rsid w:val="00E635A8"/>
    <w:rsid w:val="00E637D4"/>
    <w:rsid w:val="00E646EA"/>
    <w:rsid w:val="00E67F62"/>
    <w:rsid w:val="00E70CFF"/>
    <w:rsid w:val="00E71880"/>
    <w:rsid w:val="00E74191"/>
    <w:rsid w:val="00E75758"/>
    <w:rsid w:val="00E7669F"/>
    <w:rsid w:val="00E77C27"/>
    <w:rsid w:val="00E77D8D"/>
    <w:rsid w:val="00E80B76"/>
    <w:rsid w:val="00E825D8"/>
    <w:rsid w:val="00E85EBC"/>
    <w:rsid w:val="00E9024B"/>
    <w:rsid w:val="00E90AF4"/>
    <w:rsid w:val="00E9265A"/>
    <w:rsid w:val="00E9350F"/>
    <w:rsid w:val="00E93FEE"/>
    <w:rsid w:val="00E961BF"/>
    <w:rsid w:val="00E963BA"/>
    <w:rsid w:val="00E965BC"/>
    <w:rsid w:val="00E96F76"/>
    <w:rsid w:val="00E96F89"/>
    <w:rsid w:val="00E97BD3"/>
    <w:rsid w:val="00E97C1E"/>
    <w:rsid w:val="00EA054C"/>
    <w:rsid w:val="00EA18F3"/>
    <w:rsid w:val="00EA2627"/>
    <w:rsid w:val="00EA2DB8"/>
    <w:rsid w:val="00EA339A"/>
    <w:rsid w:val="00EA3E24"/>
    <w:rsid w:val="00EA6EDD"/>
    <w:rsid w:val="00EA71B4"/>
    <w:rsid w:val="00EA742E"/>
    <w:rsid w:val="00EA7738"/>
    <w:rsid w:val="00EA7F16"/>
    <w:rsid w:val="00EB0C3F"/>
    <w:rsid w:val="00EB173B"/>
    <w:rsid w:val="00EB43BD"/>
    <w:rsid w:val="00EB519E"/>
    <w:rsid w:val="00EB55A0"/>
    <w:rsid w:val="00EC147D"/>
    <w:rsid w:val="00EC17C7"/>
    <w:rsid w:val="00EC2558"/>
    <w:rsid w:val="00EC28CD"/>
    <w:rsid w:val="00EC5756"/>
    <w:rsid w:val="00EC5AD2"/>
    <w:rsid w:val="00EC6FED"/>
    <w:rsid w:val="00ED1981"/>
    <w:rsid w:val="00ED1B93"/>
    <w:rsid w:val="00ED2B64"/>
    <w:rsid w:val="00ED47F6"/>
    <w:rsid w:val="00ED4872"/>
    <w:rsid w:val="00ED5F6C"/>
    <w:rsid w:val="00ED64A7"/>
    <w:rsid w:val="00ED67BE"/>
    <w:rsid w:val="00ED7242"/>
    <w:rsid w:val="00ED74EB"/>
    <w:rsid w:val="00EE0807"/>
    <w:rsid w:val="00EE18EF"/>
    <w:rsid w:val="00EE1BCB"/>
    <w:rsid w:val="00EE3B80"/>
    <w:rsid w:val="00EE4522"/>
    <w:rsid w:val="00EE478D"/>
    <w:rsid w:val="00EE491D"/>
    <w:rsid w:val="00EE4EBA"/>
    <w:rsid w:val="00EE5E85"/>
    <w:rsid w:val="00EE63DF"/>
    <w:rsid w:val="00EE7862"/>
    <w:rsid w:val="00EF23C0"/>
    <w:rsid w:val="00EF276E"/>
    <w:rsid w:val="00EF356B"/>
    <w:rsid w:val="00EF41F4"/>
    <w:rsid w:val="00EF4AAB"/>
    <w:rsid w:val="00EF4D6E"/>
    <w:rsid w:val="00EF6496"/>
    <w:rsid w:val="00EF67A5"/>
    <w:rsid w:val="00EF75AE"/>
    <w:rsid w:val="00EF7A15"/>
    <w:rsid w:val="00F0013D"/>
    <w:rsid w:val="00F0142D"/>
    <w:rsid w:val="00F035B5"/>
    <w:rsid w:val="00F04AC9"/>
    <w:rsid w:val="00F04D00"/>
    <w:rsid w:val="00F06A3A"/>
    <w:rsid w:val="00F06ABF"/>
    <w:rsid w:val="00F10108"/>
    <w:rsid w:val="00F11F82"/>
    <w:rsid w:val="00F137F9"/>
    <w:rsid w:val="00F13BF9"/>
    <w:rsid w:val="00F143C6"/>
    <w:rsid w:val="00F143D3"/>
    <w:rsid w:val="00F14B94"/>
    <w:rsid w:val="00F15A38"/>
    <w:rsid w:val="00F16463"/>
    <w:rsid w:val="00F17B5C"/>
    <w:rsid w:val="00F203DA"/>
    <w:rsid w:val="00F20A4A"/>
    <w:rsid w:val="00F214BE"/>
    <w:rsid w:val="00F218EB"/>
    <w:rsid w:val="00F227CE"/>
    <w:rsid w:val="00F22A4B"/>
    <w:rsid w:val="00F22C1C"/>
    <w:rsid w:val="00F26F7C"/>
    <w:rsid w:val="00F2744F"/>
    <w:rsid w:val="00F27602"/>
    <w:rsid w:val="00F27E97"/>
    <w:rsid w:val="00F316C3"/>
    <w:rsid w:val="00F322BE"/>
    <w:rsid w:val="00F35F27"/>
    <w:rsid w:val="00F36223"/>
    <w:rsid w:val="00F366CC"/>
    <w:rsid w:val="00F3707F"/>
    <w:rsid w:val="00F40311"/>
    <w:rsid w:val="00F40337"/>
    <w:rsid w:val="00F4079A"/>
    <w:rsid w:val="00F40B4A"/>
    <w:rsid w:val="00F4145C"/>
    <w:rsid w:val="00F41B08"/>
    <w:rsid w:val="00F41F33"/>
    <w:rsid w:val="00F42765"/>
    <w:rsid w:val="00F42789"/>
    <w:rsid w:val="00F42893"/>
    <w:rsid w:val="00F42BAB"/>
    <w:rsid w:val="00F4370E"/>
    <w:rsid w:val="00F43807"/>
    <w:rsid w:val="00F45BB3"/>
    <w:rsid w:val="00F45F69"/>
    <w:rsid w:val="00F46304"/>
    <w:rsid w:val="00F47EA0"/>
    <w:rsid w:val="00F50C51"/>
    <w:rsid w:val="00F516CC"/>
    <w:rsid w:val="00F53F77"/>
    <w:rsid w:val="00F57AF1"/>
    <w:rsid w:val="00F57B43"/>
    <w:rsid w:val="00F57DC9"/>
    <w:rsid w:val="00F57F2B"/>
    <w:rsid w:val="00F62180"/>
    <w:rsid w:val="00F6534E"/>
    <w:rsid w:val="00F669D7"/>
    <w:rsid w:val="00F67434"/>
    <w:rsid w:val="00F67C71"/>
    <w:rsid w:val="00F70789"/>
    <w:rsid w:val="00F7130F"/>
    <w:rsid w:val="00F73B92"/>
    <w:rsid w:val="00F73E4B"/>
    <w:rsid w:val="00F75E2B"/>
    <w:rsid w:val="00F76DFB"/>
    <w:rsid w:val="00F76F2F"/>
    <w:rsid w:val="00F77167"/>
    <w:rsid w:val="00F77350"/>
    <w:rsid w:val="00F77E25"/>
    <w:rsid w:val="00F83AB2"/>
    <w:rsid w:val="00F86101"/>
    <w:rsid w:val="00F87747"/>
    <w:rsid w:val="00F87ACF"/>
    <w:rsid w:val="00F90E4F"/>
    <w:rsid w:val="00F9274B"/>
    <w:rsid w:val="00F9331E"/>
    <w:rsid w:val="00F93BD8"/>
    <w:rsid w:val="00F940AB"/>
    <w:rsid w:val="00F95441"/>
    <w:rsid w:val="00F96B4D"/>
    <w:rsid w:val="00F9707E"/>
    <w:rsid w:val="00FA43A1"/>
    <w:rsid w:val="00FA4834"/>
    <w:rsid w:val="00FA6B67"/>
    <w:rsid w:val="00FA73BF"/>
    <w:rsid w:val="00FA7CB0"/>
    <w:rsid w:val="00FA7F43"/>
    <w:rsid w:val="00FB1045"/>
    <w:rsid w:val="00FB1CA5"/>
    <w:rsid w:val="00FB1CBB"/>
    <w:rsid w:val="00FB43A6"/>
    <w:rsid w:val="00FB4493"/>
    <w:rsid w:val="00FB490F"/>
    <w:rsid w:val="00FB5014"/>
    <w:rsid w:val="00FC0F31"/>
    <w:rsid w:val="00FC1206"/>
    <w:rsid w:val="00FC30CF"/>
    <w:rsid w:val="00FC3606"/>
    <w:rsid w:val="00FC493D"/>
    <w:rsid w:val="00FC4EBA"/>
    <w:rsid w:val="00FC51D8"/>
    <w:rsid w:val="00FC6699"/>
    <w:rsid w:val="00FC6D47"/>
    <w:rsid w:val="00FC6EEF"/>
    <w:rsid w:val="00FC7A5F"/>
    <w:rsid w:val="00FD0922"/>
    <w:rsid w:val="00FD0977"/>
    <w:rsid w:val="00FD0C6A"/>
    <w:rsid w:val="00FD2A7D"/>
    <w:rsid w:val="00FD361A"/>
    <w:rsid w:val="00FD40DE"/>
    <w:rsid w:val="00FD4163"/>
    <w:rsid w:val="00FD5B0A"/>
    <w:rsid w:val="00FD7A80"/>
    <w:rsid w:val="00FE06B1"/>
    <w:rsid w:val="00FE06B5"/>
    <w:rsid w:val="00FE46D8"/>
    <w:rsid w:val="00FE6598"/>
    <w:rsid w:val="00FE666E"/>
    <w:rsid w:val="00FE774E"/>
    <w:rsid w:val="00FF1A81"/>
    <w:rsid w:val="00FF2475"/>
    <w:rsid w:val="00FF45E0"/>
    <w:rsid w:val="00FF5208"/>
    <w:rsid w:val="00FF5270"/>
    <w:rsid w:val="00FF6E53"/>
    <w:rsid w:val="00FF6F15"/>
    <w:rsid w:val="00FF739C"/>
    <w:rsid w:val="00FF7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F12038"/>
  <w15:docId w15:val="{4FD5FB23-7B1A-47F6-85CB-A131E9EE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D65"/>
    <w:pPr>
      <w:spacing w:line="480" w:lineRule="auto"/>
    </w:pPr>
    <w:rPr>
      <w:rFonts w:cs="Arial"/>
      <w:sz w:val="24"/>
      <w:szCs w:val="24"/>
    </w:rPr>
  </w:style>
  <w:style w:type="paragraph" w:styleId="Heading1">
    <w:name w:val="heading 1"/>
    <w:basedOn w:val="Normal"/>
    <w:next w:val="Normal"/>
    <w:link w:val="Heading1Char"/>
    <w:autoRedefine/>
    <w:qFormat/>
    <w:rsid w:val="0099190A"/>
    <w:pPr>
      <w:autoSpaceDE w:val="0"/>
      <w:autoSpaceDN w:val="0"/>
      <w:adjustRightInd w:val="0"/>
      <w:spacing w:before="60" w:after="60"/>
      <w:jc w:val="center"/>
      <w:outlineLvl w:val="0"/>
    </w:pPr>
    <w:rPr>
      <w:b/>
      <w:bCs/>
      <w:caps/>
      <w:sz w:val="28"/>
    </w:rPr>
  </w:style>
  <w:style w:type="paragraph" w:styleId="Heading2">
    <w:name w:val="heading 2"/>
    <w:basedOn w:val="Normal"/>
    <w:next w:val="Normal"/>
    <w:link w:val="Heading2Char"/>
    <w:autoRedefine/>
    <w:qFormat/>
    <w:rsid w:val="009B24A0"/>
    <w:pPr>
      <w:keepNext/>
      <w:spacing w:before="60" w:after="60"/>
      <w:jc w:val="center"/>
      <w:outlineLvl w:val="1"/>
    </w:pPr>
    <w:rPr>
      <w:rFonts w:cs="Times New Roman"/>
      <w:b/>
      <w:bCs/>
      <w:iCs/>
      <w:sz w:val="28"/>
      <w:szCs w:val="28"/>
    </w:rPr>
  </w:style>
  <w:style w:type="paragraph" w:styleId="Heading3">
    <w:name w:val="heading 3"/>
    <w:basedOn w:val="Normal"/>
    <w:next w:val="Normal"/>
    <w:link w:val="Heading3Char"/>
    <w:qFormat/>
    <w:rsid w:val="00F95441"/>
    <w:pPr>
      <w:keepNext/>
      <w:spacing w:before="60" w:after="60"/>
      <w:outlineLvl w:val="2"/>
    </w:pPr>
    <w:rPr>
      <w:b/>
      <w:bCs/>
      <w:i/>
      <w:szCs w:val="26"/>
    </w:rPr>
  </w:style>
  <w:style w:type="paragraph" w:styleId="Heading4">
    <w:name w:val="heading 4"/>
    <w:aliases w:val="Figure"/>
    <w:basedOn w:val="Normal"/>
    <w:next w:val="Normal"/>
    <w:link w:val="Heading4Char"/>
    <w:autoRedefine/>
    <w:unhideWhenUsed/>
    <w:qFormat/>
    <w:rsid w:val="00EC28CD"/>
    <w:pPr>
      <w:keepNext/>
      <w:keepLines/>
      <w:jc w:val="center"/>
      <w:outlineLvl w:val="3"/>
    </w:pPr>
    <w:rPr>
      <w:rFonts w:eastAsiaTheme="majorEastAsia" w:cstheme="majorBidi"/>
      <w:b/>
      <w:bCs/>
      <w:iCs/>
    </w:rPr>
  </w:style>
  <w:style w:type="paragraph" w:styleId="Heading5">
    <w:name w:val="heading 5"/>
    <w:aliases w:val="Table"/>
    <w:basedOn w:val="Normal"/>
    <w:next w:val="Normal"/>
    <w:link w:val="Heading5Char"/>
    <w:unhideWhenUsed/>
    <w:qFormat/>
    <w:rsid w:val="00C731BB"/>
    <w:pPr>
      <w:keepNext/>
      <w:keepLines/>
      <w:outlineLvl w:val="4"/>
    </w:pPr>
    <w:rPr>
      <w:rFonts w:eastAsiaTheme="majorEastAsia" w:cstheme="majorBidi"/>
      <w:b/>
    </w:rPr>
  </w:style>
  <w:style w:type="paragraph" w:styleId="Heading6">
    <w:name w:val="heading 6"/>
    <w:basedOn w:val="Normal"/>
    <w:next w:val="Normal"/>
    <w:link w:val="Heading6Char"/>
    <w:semiHidden/>
    <w:unhideWhenUsed/>
    <w:qFormat/>
    <w:rsid w:val="00043399"/>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043399"/>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04339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04339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9190A"/>
    <w:rPr>
      <w:rFonts w:cs="Arial"/>
      <w:b/>
      <w:bCs/>
      <w:caps/>
      <w:sz w:val="28"/>
      <w:szCs w:val="24"/>
    </w:rPr>
  </w:style>
  <w:style w:type="character" w:customStyle="1" w:styleId="Heading2Char">
    <w:name w:val="Heading 2 Char"/>
    <w:basedOn w:val="DefaultParagraphFont"/>
    <w:link w:val="Heading2"/>
    <w:rsid w:val="009B24A0"/>
    <w:rPr>
      <w:b/>
      <w:bCs/>
      <w:iCs/>
      <w:sz w:val="28"/>
      <w:szCs w:val="28"/>
    </w:rPr>
  </w:style>
  <w:style w:type="character" w:customStyle="1" w:styleId="Heading3Char">
    <w:name w:val="Heading 3 Char"/>
    <w:link w:val="Heading3"/>
    <w:rsid w:val="00F95441"/>
    <w:rPr>
      <w:rFonts w:cs="Arial"/>
      <w:b/>
      <w:bCs/>
      <w:i/>
      <w:sz w:val="24"/>
      <w:szCs w:val="26"/>
    </w:rPr>
  </w:style>
  <w:style w:type="character" w:customStyle="1" w:styleId="Heading4Char">
    <w:name w:val="Heading 4 Char"/>
    <w:aliases w:val="Figure Char"/>
    <w:basedOn w:val="DefaultParagraphFont"/>
    <w:link w:val="Heading4"/>
    <w:rsid w:val="00EC28CD"/>
    <w:rPr>
      <w:rFonts w:eastAsiaTheme="majorEastAsia" w:cstheme="majorBidi"/>
      <w:b/>
      <w:bCs/>
      <w:iCs/>
      <w:sz w:val="24"/>
      <w:szCs w:val="24"/>
    </w:rPr>
  </w:style>
  <w:style w:type="character" w:customStyle="1" w:styleId="Heading5Char">
    <w:name w:val="Heading 5 Char"/>
    <w:aliases w:val="Table Char"/>
    <w:basedOn w:val="DefaultParagraphFont"/>
    <w:link w:val="Heading5"/>
    <w:rsid w:val="00C731BB"/>
    <w:rPr>
      <w:rFonts w:eastAsiaTheme="majorEastAsia" w:cstheme="majorBidi"/>
      <w:b/>
      <w:sz w:val="24"/>
      <w:szCs w:val="24"/>
    </w:rPr>
  </w:style>
  <w:style w:type="paragraph" w:styleId="BodyText">
    <w:name w:val="Body Text"/>
    <w:basedOn w:val="Normal"/>
    <w:rsid w:val="00301182"/>
    <w:pPr>
      <w:jc w:val="center"/>
    </w:pPr>
    <w:rPr>
      <w:b/>
      <w:bCs/>
      <w:sz w:val="28"/>
    </w:rPr>
  </w:style>
  <w:style w:type="paragraph" w:styleId="BodyText2">
    <w:name w:val="Body Text 2"/>
    <w:basedOn w:val="Normal"/>
    <w:rsid w:val="00301182"/>
    <w:rPr>
      <w:b/>
      <w:bCs/>
    </w:rPr>
  </w:style>
  <w:style w:type="paragraph" w:styleId="BodyTextIndent">
    <w:name w:val="Body Text Indent"/>
    <w:basedOn w:val="Normal"/>
    <w:link w:val="BodyTextIndentChar"/>
    <w:uiPriority w:val="99"/>
    <w:rsid w:val="00301182"/>
    <w:pPr>
      <w:ind w:firstLine="720"/>
    </w:pPr>
  </w:style>
  <w:style w:type="character" w:customStyle="1" w:styleId="BodyTextIndentChar">
    <w:name w:val="Body Text Indent Char"/>
    <w:basedOn w:val="DefaultParagraphFont"/>
    <w:link w:val="BodyTextIndent"/>
    <w:uiPriority w:val="99"/>
    <w:rsid w:val="004C7D65"/>
    <w:rPr>
      <w:rFonts w:cs="Arial"/>
      <w:sz w:val="24"/>
      <w:szCs w:val="24"/>
    </w:rPr>
  </w:style>
  <w:style w:type="character" w:styleId="Hyperlink">
    <w:name w:val="Hyperlink"/>
    <w:uiPriority w:val="99"/>
    <w:rsid w:val="00301182"/>
    <w:rPr>
      <w:color w:val="0000FF"/>
      <w:u w:val="single"/>
    </w:rPr>
  </w:style>
  <w:style w:type="paragraph" w:styleId="BodyText3">
    <w:name w:val="Body Text 3"/>
    <w:basedOn w:val="Normal"/>
    <w:rsid w:val="00301182"/>
    <w:pPr>
      <w:spacing w:after="120"/>
    </w:pPr>
    <w:rPr>
      <w:sz w:val="16"/>
      <w:szCs w:val="16"/>
    </w:rPr>
  </w:style>
  <w:style w:type="character" w:customStyle="1" w:styleId="textbold">
    <w:name w:val="textbold"/>
    <w:basedOn w:val="DefaultParagraphFont"/>
    <w:rsid w:val="00301182"/>
  </w:style>
  <w:style w:type="character" w:customStyle="1" w:styleId="text">
    <w:name w:val="text"/>
    <w:basedOn w:val="DefaultParagraphFont"/>
    <w:rsid w:val="00301182"/>
  </w:style>
  <w:style w:type="character" w:customStyle="1" w:styleId="textitalics">
    <w:name w:val="textitalics"/>
    <w:basedOn w:val="DefaultParagraphFont"/>
    <w:rsid w:val="00301182"/>
  </w:style>
  <w:style w:type="paragraph" w:customStyle="1" w:styleId="12">
    <w:name w:val="12"/>
    <w:basedOn w:val="Normal"/>
    <w:rsid w:val="00301182"/>
    <w:rPr>
      <w:rFonts w:ascii="Arial" w:hAnsi="Arial"/>
    </w:rPr>
  </w:style>
  <w:style w:type="paragraph" w:customStyle="1" w:styleId="10">
    <w:name w:val="10"/>
    <w:basedOn w:val="Normal"/>
    <w:rsid w:val="00301182"/>
    <w:rPr>
      <w:color w:val="000000"/>
      <w:sz w:val="20"/>
      <w:szCs w:val="20"/>
    </w:rPr>
  </w:style>
  <w:style w:type="paragraph" w:styleId="NormalWeb">
    <w:name w:val="Normal (Web)"/>
    <w:basedOn w:val="Normal"/>
    <w:uiPriority w:val="99"/>
    <w:rsid w:val="00301182"/>
    <w:pPr>
      <w:spacing w:before="100" w:beforeAutospacing="1" w:after="100" w:afterAutospacing="1"/>
    </w:pPr>
    <w:rPr>
      <w:rFonts w:ascii="Arial Unicode MS" w:eastAsia="Arial Unicode MS" w:hAnsi="Arial Unicode MS" w:cs="Arial Unicode MS"/>
    </w:rPr>
  </w:style>
  <w:style w:type="character" w:customStyle="1" w:styleId="pbllt">
    <w:name w:val="pbllt·"/>
    <w:rsid w:val="00301182"/>
    <w:rPr>
      <w:rFonts w:ascii="Symbol" w:hAnsi="Symbol"/>
      <w:sz w:val="20"/>
      <w:szCs w:val="20"/>
    </w:rPr>
  </w:style>
  <w:style w:type="character" w:customStyle="1" w:styleId="description">
    <w:name w:val="description"/>
    <w:basedOn w:val="DefaultParagraphFont"/>
    <w:rsid w:val="00301182"/>
  </w:style>
  <w:style w:type="character" w:styleId="LineNumber">
    <w:name w:val="line number"/>
    <w:basedOn w:val="DefaultParagraphFont"/>
    <w:rsid w:val="00301182"/>
  </w:style>
  <w:style w:type="paragraph" w:styleId="BalloonText">
    <w:name w:val="Balloon Text"/>
    <w:basedOn w:val="Normal"/>
    <w:link w:val="BalloonTextChar"/>
    <w:uiPriority w:val="99"/>
    <w:semiHidden/>
    <w:rsid w:val="00301182"/>
    <w:rPr>
      <w:rFonts w:ascii="Tahoma" w:hAnsi="Tahoma" w:cs="Tahoma"/>
      <w:sz w:val="16"/>
      <w:szCs w:val="16"/>
    </w:rPr>
  </w:style>
  <w:style w:type="character" w:customStyle="1" w:styleId="BalloonTextChar">
    <w:name w:val="Balloon Text Char"/>
    <w:basedOn w:val="DefaultParagraphFont"/>
    <w:link w:val="BalloonText"/>
    <w:uiPriority w:val="99"/>
    <w:semiHidden/>
    <w:rsid w:val="004C7D65"/>
    <w:rPr>
      <w:rFonts w:ascii="Tahoma" w:hAnsi="Tahoma" w:cs="Tahoma"/>
      <w:sz w:val="16"/>
      <w:szCs w:val="16"/>
    </w:rPr>
  </w:style>
  <w:style w:type="paragraph" w:styleId="Header">
    <w:name w:val="header"/>
    <w:basedOn w:val="Normal"/>
    <w:link w:val="HeaderChar"/>
    <w:uiPriority w:val="99"/>
    <w:rsid w:val="00301182"/>
    <w:pPr>
      <w:tabs>
        <w:tab w:val="center" w:pos="4320"/>
        <w:tab w:val="right" w:pos="8640"/>
      </w:tabs>
    </w:pPr>
  </w:style>
  <w:style w:type="character" w:customStyle="1" w:styleId="HeaderChar">
    <w:name w:val="Header Char"/>
    <w:basedOn w:val="DefaultParagraphFont"/>
    <w:link w:val="Header"/>
    <w:uiPriority w:val="99"/>
    <w:rsid w:val="004C7D65"/>
    <w:rPr>
      <w:rFonts w:cs="Arial"/>
      <w:sz w:val="24"/>
      <w:szCs w:val="24"/>
    </w:rPr>
  </w:style>
  <w:style w:type="paragraph" w:styleId="Footer">
    <w:name w:val="footer"/>
    <w:basedOn w:val="Normal"/>
    <w:link w:val="FooterChar"/>
    <w:uiPriority w:val="99"/>
    <w:rsid w:val="00301182"/>
    <w:pPr>
      <w:tabs>
        <w:tab w:val="center" w:pos="4320"/>
        <w:tab w:val="right" w:pos="8640"/>
      </w:tabs>
    </w:pPr>
  </w:style>
  <w:style w:type="character" w:customStyle="1" w:styleId="FooterChar">
    <w:name w:val="Footer Char"/>
    <w:link w:val="Footer"/>
    <w:uiPriority w:val="99"/>
    <w:rsid w:val="00DD7B6E"/>
    <w:rPr>
      <w:sz w:val="24"/>
      <w:szCs w:val="24"/>
    </w:rPr>
  </w:style>
  <w:style w:type="character" w:styleId="PageNumber">
    <w:name w:val="page number"/>
    <w:basedOn w:val="DefaultParagraphFont"/>
    <w:rsid w:val="00301182"/>
  </w:style>
  <w:style w:type="character" w:customStyle="1" w:styleId="search1">
    <w:name w:val="search1"/>
    <w:rsid w:val="00301182"/>
    <w:rPr>
      <w:color w:val="228622"/>
    </w:rPr>
  </w:style>
  <w:style w:type="character" w:styleId="Emphasis">
    <w:name w:val="Emphasis"/>
    <w:basedOn w:val="DefaultParagraphFont"/>
    <w:qFormat/>
    <w:rsid w:val="004C7D65"/>
    <w:rPr>
      <w:rFonts w:ascii="Times New Roman" w:hAnsi="Times New Roman"/>
      <w:i/>
      <w:iCs/>
    </w:rPr>
  </w:style>
  <w:style w:type="character" w:customStyle="1" w:styleId="journaltitle3">
    <w:name w:val="journal_title3"/>
    <w:rsid w:val="00301182"/>
    <w:rPr>
      <w:i/>
      <w:iCs/>
    </w:rPr>
  </w:style>
  <w:style w:type="character" w:customStyle="1" w:styleId="volume5">
    <w:name w:val="volume5"/>
    <w:rsid w:val="00301182"/>
    <w:rPr>
      <w:b/>
      <w:bCs/>
    </w:rPr>
  </w:style>
  <w:style w:type="character" w:customStyle="1" w:styleId="medium-font1">
    <w:name w:val="medium-font1"/>
    <w:rsid w:val="00301182"/>
    <w:rPr>
      <w:sz w:val="19"/>
      <w:szCs w:val="19"/>
    </w:rPr>
  </w:style>
  <w:style w:type="character" w:styleId="FollowedHyperlink">
    <w:name w:val="FollowedHyperlink"/>
    <w:rsid w:val="00301182"/>
    <w:rPr>
      <w:color w:val="800080"/>
      <w:u w:val="single"/>
    </w:rPr>
  </w:style>
  <w:style w:type="character" w:customStyle="1" w:styleId="st1">
    <w:name w:val="st1"/>
    <w:basedOn w:val="DefaultParagraphFont"/>
    <w:rsid w:val="00573D91"/>
  </w:style>
  <w:style w:type="paragraph" w:customStyle="1" w:styleId="ETDTitle">
    <w:name w:val="ETD Title"/>
    <w:basedOn w:val="Normal"/>
    <w:autoRedefine/>
    <w:qFormat/>
    <w:rsid w:val="004C7D65"/>
    <w:pPr>
      <w:jc w:val="center"/>
    </w:pPr>
    <w:rPr>
      <w:b/>
      <w:lang w:val="en-CA"/>
    </w:rPr>
  </w:style>
  <w:style w:type="paragraph" w:styleId="Caption">
    <w:name w:val="caption"/>
    <w:basedOn w:val="Normal"/>
    <w:next w:val="Normal"/>
    <w:autoRedefine/>
    <w:qFormat/>
    <w:rsid w:val="00596A40"/>
    <w:pPr>
      <w:keepNext/>
      <w:spacing w:before="120" w:after="120"/>
    </w:pPr>
    <w:rPr>
      <w:b/>
      <w:bCs/>
    </w:rPr>
  </w:style>
  <w:style w:type="paragraph" w:styleId="Title">
    <w:name w:val="Title"/>
    <w:basedOn w:val="ETDTitle"/>
    <w:link w:val="TitleChar"/>
    <w:qFormat/>
    <w:rsid w:val="00DD5AC5"/>
    <w:rPr>
      <w:sz w:val="28"/>
    </w:rPr>
  </w:style>
  <w:style w:type="character" w:customStyle="1" w:styleId="TitleChar">
    <w:name w:val="Title Char"/>
    <w:link w:val="Title"/>
    <w:rsid w:val="00DD5AC5"/>
    <w:rPr>
      <w:rFonts w:cs="Arial"/>
      <w:b/>
      <w:sz w:val="28"/>
      <w:szCs w:val="24"/>
      <w:lang w:val="en-CA"/>
    </w:rPr>
  </w:style>
  <w:style w:type="paragraph" w:styleId="ListParagraph">
    <w:name w:val="List Paragraph"/>
    <w:basedOn w:val="Normal"/>
    <w:uiPriority w:val="34"/>
    <w:qFormat/>
    <w:rsid w:val="004C7D65"/>
    <w:pPr>
      <w:ind w:left="720"/>
      <w:contextualSpacing/>
    </w:pPr>
    <w:rPr>
      <w:rFonts w:eastAsiaTheme="minorHAnsi"/>
    </w:rPr>
  </w:style>
  <w:style w:type="paragraph" w:styleId="TOCHeading">
    <w:name w:val="TOC Heading"/>
    <w:basedOn w:val="Heading1"/>
    <w:next w:val="Normal"/>
    <w:uiPriority w:val="39"/>
    <w:unhideWhenUsed/>
    <w:qFormat/>
    <w:rsid w:val="004C7D65"/>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table" w:styleId="TableGrid">
    <w:name w:val="Table Grid"/>
    <w:basedOn w:val="TableNormal"/>
    <w:uiPriority w:val="59"/>
    <w:rsid w:val="004C7D65"/>
    <w:pPr>
      <w:spacing w:line="480" w:lineRule="auto"/>
    </w:pPr>
    <w:rPr>
      <w:rFonts w:asciiTheme="minorHAnsi" w:eastAsiaTheme="minorHAnsi" w:hAnsiTheme="minorHAnsi" w:cstheme="minorBid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qFormat/>
    <w:rsid w:val="004C7D65"/>
    <w:pPr>
      <w:spacing w:after="100" w:line="276" w:lineRule="auto"/>
      <w:ind w:left="220"/>
    </w:pPr>
    <w:rPr>
      <w:rFonts w:eastAsiaTheme="minorEastAsia" w:cstheme="minorBidi"/>
      <w:lang w:eastAsia="ja-JP"/>
    </w:rPr>
  </w:style>
  <w:style w:type="paragraph" w:styleId="TOC1">
    <w:name w:val="toc 1"/>
    <w:basedOn w:val="Normal"/>
    <w:next w:val="Normal"/>
    <w:autoRedefine/>
    <w:uiPriority w:val="39"/>
    <w:unhideWhenUsed/>
    <w:qFormat/>
    <w:rsid w:val="004C7D65"/>
    <w:pPr>
      <w:spacing w:after="100" w:line="276" w:lineRule="auto"/>
    </w:pPr>
    <w:rPr>
      <w:rFonts w:eastAsiaTheme="minorEastAsia" w:cstheme="minorBidi"/>
      <w:lang w:eastAsia="ja-JP"/>
    </w:rPr>
  </w:style>
  <w:style w:type="paragraph" w:styleId="TOC3">
    <w:name w:val="toc 3"/>
    <w:basedOn w:val="Normal"/>
    <w:next w:val="Normal"/>
    <w:autoRedefine/>
    <w:uiPriority w:val="39"/>
    <w:unhideWhenUsed/>
    <w:qFormat/>
    <w:rsid w:val="004C7D65"/>
    <w:pPr>
      <w:spacing w:after="100" w:line="276" w:lineRule="auto"/>
      <w:ind w:left="440"/>
    </w:pPr>
    <w:rPr>
      <w:rFonts w:eastAsiaTheme="minorEastAsia" w:cstheme="minorBidi"/>
      <w:lang w:eastAsia="ja-JP"/>
    </w:rPr>
  </w:style>
  <w:style w:type="paragraph" w:styleId="TableofFigures">
    <w:name w:val="table of figures"/>
    <w:aliases w:val="Table of Tables"/>
    <w:basedOn w:val="Normal"/>
    <w:next w:val="Normal"/>
    <w:uiPriority w:val="99"/>
    <w:unhideWhenUsed/>
    <w:rsid w:val="00C731BB"/>
    <w:pPr>
      <w:ind w:left="480" w:hanging="480"/>
    </w:pPr>
    <w:rPr>
      <w:rFonts w:eastAsiaTheme="minorHAnsi" w:cstheme="minorHAnsi"/>
      <w:bCs/>
      <w:szCs w:val="20"/>
    </w:rPr>
  </w:style>
  <w:style w:type="paragraph" w:customStyle="1" w:styleId="Standard">
    <w:name w:val="Standard"/>
    <w:rsid w:val="00686D2D"/>
    <w:pPr>
      <w:widowControl w:val="0"/>
      <w:suppressAutoHyphens/>
      <w:autoSpaceDN w:val="0"/>
      <w:textAlignment w:val="baseline"/>
    </w:pPr>
    <w:rPr>
      <w:rFonts w:eastAsia="Arial Unicode MS" w:cs="Tahoma"/>
      <w:kern w:val="3"/>
      <w:sz w:val="24"/>
      <w:szCs w:val="24"/>
    </w:rPr>
  </w:style>
  <w:style w:type="character" w:customStyle="1" w:styleId="apple-style-span">
    <w:name w:val="apple-style-span"/>
    <w:basedOn w:val="DefaultParagraphFont"/>
    <w:rsid w:val="00686D2D"/>
  </w:style>
  <w:style w:type="character" w:customStyle="1" w:styleId="apple-converted-space">
    <w:name w:val="apple-converted-space"/>
    <w:basedOn w:val="DefaultParagraphFont"/>
    <w:rsid w:val="00686D2D"/>
  </w:style>
  <w:style w:type="character" w:customStyle="1" w:styleId="element-citation">
    <w:name w:val="element-citation"/>
    <w:basedOn w:val="DefaultParagraphFont"/>
    <w:rsid w:val="00686D2D"/>
  </w:style>
  <w:style w:type="character" w:customStyle="1" w:styleId="ref-journal">
    <w:name w:val="ref-journal"/>
    <w:basedOn w:val="DefaultParagraphFont"/>
    <w:rsid w:val="00686D2D"/>
  </w:style>
  <w:style w:type="character" w:customStyle="1" w:styleId="ref-vol">
    <w:name w:val="ref-vol"/>
    <w:basedOn w:val="DefaultParagraphFont"/>
    <w:rsid w:val="00686D2D"/>
  </w:style>
  <w:style w:type="character" w:customStyle="1" w:styleId="nowrap">
    <w:name w:val="nowrap"/>
    <w:basedOn w:val="DefaultParagraphFont"/>
    <w:rsid w:val="00686D2D"/>
  </w:style>
  <w:style w:type="character" w:customStyle="1" w:styleId="hithilite">
    <w:name w:val="hithilite"/>
    <w:basedOn w:val="DefaultParagraphFont"/>
    <w:rsid w:val="00686D2D"/>
  </w:style>
  <w:style w:type="paragraph" w:customStyle="1" w:styleId="frfield">
    <w:name w:val="fr_field"/>
    <w:basedOn w:val="Normal"/>
    <w:rsid w:val="00686D2D"/>
    <w:pPr>
      <w:spacing w:before="100" w:beforeAutospacing="1" w:after="100" w:afterAutospacing="1" w:line="240" w:lineRule="auto"/>
    </w:pPr>
    <w:rPr>
      <w:rFonts w:cs="Times New Roman"/>
    </w:rPr>
  </w:style>
  <w:style w:type="character" w:customStyle="1" w:styleId="frlabel">
    <w:name w:val="fr_label"/>
    <w:basedOn w:val="DefaultParagraphFont"/>
    <w:rsid w:val="00686D2D"/>
  </w:style>
  <w:style w:type="paragraph" w:customStyle="1" w:styleId="sourcetitle">
    <w:name w:val="sourcetitle"/>
    <w:basedOn w:val="Normal"/>
    <w:rsid w:val="00686D2D"/>
    <w:pPr>
      <w:spacing w:before="100" w:beforeAutospacing="1" w:after="100" w:afterAutospacing="1" w:line="240" w:lineRule="auto"/>
    </w:pPr>
    <w:rPr>
      <w:rFonts w:cs="Times New Roman"/>
    </w:rPr>
  </w:style>
  <w:style w:type="paragraph" w:customStyle="1" w:styleId="EndNoteBibliographyTitle">
    <w:name w:val="EndNote Bibliography Title"/>
    <w:basedOn w:val="Normal"/>
    <w:link w:val="EndNoteBibliographyTitleChar"/>
    <w:rsid w:val="00686D2D"/>
    <w:pPr>
      <w:spacing w:line="240" w:lineRule="auto"/>
      <w:jc w:val="center"/>
    </w:pPr>
    <w:rPr>
      <w:rFonts w:eastAsiaTheme="minorHAnsi" w:cs="Times New Roman"/>
      <w:noProof/>
      <w:szCs w:val="22"/>
    </w:rPr>
  </w:style>
  <w:style w:type="character" w:customStyle="1" w:styleId="EndNoteBibliographyTitleChar">
    <w:name w:val="EndNote Bibliography Title Char"/>
    <w:basedOn w:val="DefaultParagraphFont"/>
    <w:link w:val="EndNoteBibliographyTitle"/>
    <w:rsid w:val="00686D2D"/>
    <w:rPr>
      <w:rFonts w:eastAsiaTheme="minorHAnsi"/>
      <w:noProof/>
      <w:sz w:val="24"/>
      <w:szCs w:val="22"/>
    </w:rPr>
  </w:style>
  <w:style w:type="paragraph" w:customStyle="1" w:styleId="EndNoteBibliography">
    <w:name w:val="EndNote Bibliography"/>
    <w:basedOn w:val="Normal"/>
    <w:link w:val="EndNoteBibliographyChar"/>
    <w:rsid w:val="00686D2D"/>
    <w:rPr>
      <w:rFonts w:eastAsiaTheme="minorHAnsi" w:cs="Times New Roman"/>
      <w:noProof/>
      <w:szCs w:val="22"/>
    </w:rPr>
  </w:style>
  <w:style w:type="character" w:customStyle="1" w:styleId="EndNoteBibliographyChar">
    <w:name w:val="EndNote Bibliography Char"/>
    <w:basedOn w:val="DefaultParagraphFont"/>
    <w:link w:val="EndNoteBibliography"/>
    <w:rsid w:val="00686D2D"/>
    <w:rPr>
      <w:rFonts w:eastAsiaTheme="minorHAnsi"/>
      <w:noProof/>
      <w:sz w:val="24"/>
      <w:szCs w:val="22"/>
    </w:rPr>
  </w:style>
  <w:style w:type="character" w:styleId="CommentReference">
    <w:name w:val="annotation reference"/>
    <w:basedOn w:val="DefaultParagraphFont"/>
    <w:uiPriority w:val="99"/>
    <w:unhideWhenUsed/>
    <w:rsid w:val="00686D2D"/>
    <w:rPr>
      <w:sz w:val="16"/>
      <w:szCs w:val="16"/>
    </w:rPr>
  </w:style>
  <w:style w:type="paragraph" w:styleId="CommentText">
    <w:name w:val="annotation text"/>
    <w:basedOn w:val="Normal"/>
    <w:link w:val="CommentTextChar"/>
    <w:uiPriority w:val="99"/>
    <w:unhideWhenUsed/>
    <w:rsid w:val="00686D2D"/>
    <w:pPr>
      <w:spacing w:line="240" w:lineRule="auto"/>
    </w:pPr>
    <w:rPr>
      <w:rFonts w:eastAsiaTheme="minorHAnsi" w:cstheme="minorBidi"/>
      <w:sz w:val="20"/>
      <w:szCs w:val="20"/>
    </w:rPr>
  </w:style>
  <w:style w:type="character" w:customStyle="1" w:styleId="CommentTextChar">
    <w:name w:val="Comment Text Char"/>
    <w:basedOn w:val="DefaultParagraphFont"/>
    <w:link w:val="CommentText"/>
    <w:uiPriority w:val="99"/>
    <w:rsid w:val="00686D2D"/>
    <w:rPr>
      <w:rFonts w:eastAsiaTheme="minorHAnsi" w:cstheme="minorBidi"/>
    </w:rPr>
  </w:style>
  <w:style w:type="paragraph" w:styleId="CommentSubject">
    <w:name w:val="annotation subject"/>
    <w:basedOn w:val="CommentText"/>
    <w:next w:val="CommentText"/>
    <w:link w:val="CommentSubjectChar"/>
    <w:uiPriority w:val="99"/>
    <w:unhideWhenUsed/>
    <w:rsid w:val="00686D2D"/>
    <w:rPr>
      <w:b/>
      <w:bCs/>
    </w:rPr>
  </w:style>
  <w:style w:type="character" w:customStyle="1" w:styleId="CommentSubjectChar">
    <w:name w:val="Comment Subject Char"/>
    <w:basedOn w:val="CommentTextChar"/>
    <w:link w:val="CommentSubject"/>
    <w:uiPriority w:val="99"/>
    <w:rsid w:val="00686D2D"/>
    <w:rPr>
      <w:rFonts w:eastAsiaTheme="minorHAnsi" w:cstheme="minorBidi"/>
      <w:b/>
      <w:bCs/>
    </w:rPr>
  </w:style>
  <w:style w:type="paragraph" w:customStyle="1" w:styleId="EndNoteCategoryHeading">
    <w:name w:val="EndNote Category Heading"/>
    <w:basedOn w:val="Normal"/>
    <w:link w:val="EndNoteCategoryHeadingChar"/>
    <w:rsid w:val="00382C84"/>
    <w:pPr>
      <w:spacing w:before="120" w:after="120"/>
    </w:pPr>
    <w:rPr>
      <w:b/>
      <w:noProof/>
    </w:rPr>
  </w:style>
  <w:style w:type="character" w:customStyle="1" w:styleId="EndNoteCategoryHeadingChar">
    <w:name w:val="EndNote Category Heading Char"/>
    <w:basedOn w:val="DefaultParagraphFont"/>
    <w:link w:val="EndNoteCategoryHeading"/>
    <w:rsid w:val="00382C84"/>
    <w:rPr>
      <w:rFonts w:cs="Arial"/>
      <w:b/>
      <w:noProof/>
      <w:sz w:val="24"/>
      <w:szCs w:val="24"/>
    </w:rPr>
  </w:style>
  <w:style w:type="numbering" w:customStyle="1" w:styleId="NoList1">
    <w:name w:val="No List1"/>
    <w:next w:val="NoList"/>
    <w:uiPriority w:val="99"/>
    <w:semiHidden/>
    <w:unhideWhenUsed/>
    <w:rsid w:val="00596A40"/>
  </w:style>
  <w:style w:type="character" w:styleId="PlaceholderText">
    <w:name w:val="Placeholder Text"/>
    <w:basedOn w:val="DefaultParagraphFont"/>
    <w:uiPriority w:val="99"/>
    <w:semiHidden/>
    <w:rsid w:val="00596A40"/>
    <w:rPr>
      <w:color w:val="808080"/>
    </w:rPr>
  </w:style>
  <w:style w:type="character" w:customStyle="1" w:styleId="Heading6Char">
    <w:name w:val="Heading 6 Char"/>
    <w:basedOn w:val="DefaultParagraphFont"/>
    <w:link w:val="Heading6"/>
    <w:semiHidden/>
    <w:rsid w:val="00043399"/>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043399"/>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043399"/>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043399"/>
    <w:rPr>
      <w:rFonts w:asciiTheme="majorHAnsi" w:eastAsiaTheme="majorEastAsia" w:hAnsiTheme="majorHAnsi" w:cstheme="majorBidi"/>
      <w:i/>
      <w:iCs/>
      <w:color w:val="404040" w:themeColor="text1" w:themeTint="BF"/>
    </w:rPr>
  </w:style>
  <w:style w:type="paragraph" w:styleId="Subtitle">
    <w:name w:val="Subtitle"/>
    <w:basedOn w:val="Normal"/>
    <w:next w:val="Normal"/>
    <w:link w:val="SubtitleChar"/>
    <w:autoRedefine/>
    <w:qFormat/>
    <w:rsid w:val="0071032E"/>
    <w:pPr>
      <w:numPr>
        <w:ilvl w:val="1"/>
      </w:numPr>
    </w:pPr>
    <w:rPr>
      <w:rFonts w:eastAsiaTheme="majorEastAsia" w:cstheme="majorBidi"/>
      <w:iCs/>
    </w:rPr>
  </w:style>
  <w:style w:type="character" w:customStyle="1" w:styleId="SubtitleChar">
    <w:name w:val="Subtitle Char"/>
    <w:basedOn w:val="DefaultParagraphFont"/>
    <w:link w:val="Subtitle"/>
    <w:rsid w:val="0071032E"/>
    <w:rPr>
      <w:rFonts w:eastAsiaTheme="majorEastAsia" w:cstheme="majorBidi"/>
      <w:iCs/>
      <w:sz w:val="24"/>
      <w:szCs w:val="24"/>
    </w:rPr>
  </w:style>
  <w:style w:type="character" w:styleId="Strong">
    <w:name w:val="Strong"/>
    <w:basedOn w:val="DefaultParagraphFont"/>
    <w:qFormat/>
    <w:rsid w:val="00043399"/>
    <w:rPr>
      <w:b/>
      <w:bCs/>
    </w:rPr>
  </w:style>
  <w:style w:type="paragraph" w:styleId="NoSpacing">
    <w:name w:val="No Spacing"/>
    <w:basedOn w:val="Normal"/>
    <w:link w:val="NoSpacingChar"/>
    <w:uiPriority w:val="1"/>
    <w:qFormat/>
    <w:rsid w:val="00043399"/>
    <w:pPr>
      <w:spacing w:line="240" w:lineRule="auto"/>
    </w:pPr>
  </w:style>
  <w:style w:type="character" w:customStyle="1" w:styleId="NoSpacingChar">
    <w:name w:val="No Spacing Char"/>
    <w:basedOn w:val="DefaultParagraphFont"/>
    <w:link w:val="NoSpacing"/>
    <w:uiPriority w:val="1"/>
    <w:rsid w:val="00043399"/>
    <w:rPr>
      <w:rFonts w:cs="Arial"/>
      <w:sz w:val="24"/>
      <w:szCs w:val="24"/>
    </w:rPr>
  </w:style>
  <w:style w:type="paragraph" w:styleId="Quote">
    <w:name w:val="Quote"/>
    <w:basedOn w:val="Normal"/>
    <w:next w:val="Normal"/>
    <w:link w:val="QuoteChar"/>
    <w:uiPriority w:val="29"/>
    <w:qFormat/>
    <w:rsid w:val="00043399"/>
    <w:rPr>
      <w:rFonts w:eastAsiaTheme="majorEastAsia"/>
      <w:i/>
      <w:iCs/>
      <w:color w:val="000000" w:themeColor="text1"/>
    </w:rPr>
  </w:style>
  <w:style w:type="character" w:customStyle="1" w:styleId="QuoteChar">
    <w:name w:val="Quote Char"/>
    <w:basedOn w:val="DefaultParagraphFont"/>
    <w:link w:val="Quote"/>
    <w:uiPriority w:val="29"/>
    <w:rsid w:val="00043399"/>
    <w:rPr>
      <w:rFonts w:eastAsiaTheme="majorEastAsia" w:cs="Arial"/>
      <w:i/>
      <w:iCs/>
      <w:color w:val="000000" w:themeColor="text1"/>
      <w:sz w:val="24"/>
      <w:szCs w:val="24"/>
    </w:rPr>
  </w:style>
  <w:style w:type="paragraph" w:styleId="IntenseQuote">
    <w:name w:val="Intense Quote"/>
    <w:basedOn w:val="Normal"/>
    <w:next w:val="Normal"/>
    <w:link w:val="IntenseQuoteChar"/>
    <w:uiPriority w:val="30"/>
    <w:qFormat/>
    <w:rsid w:val="00043399"/>
    <w:pPr>
      <w:pBdr>
        <w:bottom w:val="single" w:sz="4" w:space="4" w:color="4F81BD" w:themeColor="accent1"/>
      </w:pBdr>
      <w:spacing w:before="200" w:after="280"/>
      <w:ind w:left="936" w:right="936"/>
    </w:pPr>
    <w:rPr>
      <w:rFonts w:eastAsiaTheme="majorEastAsia"/>
      <w:b/>
      <w:bCs/>
      <w:i/>
      <w:iCs/>
      <w:color w:val="4F81BD" w:themeColor="accent1"/>
    </w:rPr>
  </w:style>
  <w:style w:type="character" w:customStyle="1" w:styleId="IntenseQuoteChar">
    <w:name w:val="Intense Quote Char"/>
    <w:basedOn w:val="DefaultParagraphFont"/>
    <w:link w:val="IntenseQuote"/>
    <w:uiPriority w:val="30"/>
    <w:rsid w:val="00043399"/>
    <w:rPr>
      <w:rFonts w:eastAsiaTheme="majorEastAsia" w:cs="Arial"/>
      <w:b/>
      <w:bCs/>
      <w:i/>
      <w:iCs/>
      <w:color w:val="4F81BD" w:themeColor="accent1"/>
      <w:sz w:val="24"/>
      <w:szCs w:val="24"/>
    </w:rPr>
  </w:style>
  <w:style w:type="character" w:styleId="SubtleEmphasis">
    <w:name w:val="Subtle Emphasis"/>
    <w:uiPriority w:val="19"/>
    <w:qFormat/>
    <w:rsid w:val="00043399"/>
    <w:rPr>
      <w:i/>
      <w:iCs/>
      <w:color w:val="808080" w:themeColor="text1" w:themeTint="7F"/>
    </w:rPr>
  </w:style>
  <w:style w:type="character" w:styleId="IntenseEmphasis">
    <w:name w:val="Intense Emphasis"/>
    <w:uiPriority w:val="21"/>
    <w:qFormat/>
    <w:rsid w:val="00043399"/>
    <w:rPr>
      <w:b/>
      <w:bCs/>
      <w:i/>
      <w:iCs/>
      <w:color w:val="4F81BD" w:themeColor="accent1"/>
    </w:rPr>
  </w:style>
  <w:style w:type="character" w:styleId="SubtleReference">
    <w:name w:val="Subtle Reference"/>
    <w:uiPriority w:val="31"/>
    <w:qFormat/>
    <w:rsid w:val="00043399"/>
    <w:rPr>
      <w:smallCaps/>
      <w:color w:val="C0504D" w:themeColor="accent2"/>
      <w:u w:val="single"/>
    </w:rPr>
  </w:style>
  <w:style w:type="character" w:styleId="IntenseReference">
    <w:name w:val="Intense Reference"/>
    <w:basedOn w:val="DefaultParagraphFont"/>
    <w:uiPriority w:val="32"/>
    <w:qFormat/>
    <w:rsid w:val="00043399"/>
    <w:rPr>
      <w:b/>
      <w:bCs/>
      <w:smallCaps/>
      <w:color w:val="C0504D" w:themeColor="accent2"/>
      <w:spacing w:val="5"/>
      <w:u w:val="single"/>
    </w:rPr>
  </w:style>
  <w:style w:type="character" w:styleId="BookTitle">
    <w:name w:val="Book Title"/>
    <w:basedOn w:val="DefaultParagraphFont"/>
    <w:uiPriority w:val="33"/>
    <w:qFormat/>
    <w:rsid w:val="00043399"/>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7345">
      <w:bodyDiv w:val="1"/>
      <w:marLeft w:val="0"/>
      <w:marRight w:val="0"/>
      <w:marTop w:val="0"/>
      <w:marBottom w:val="0"/>
      <w:divBdr>
        <w:top w:val="none" w:sz="0" w:space="0" w:color="auto"/>
        <w:left w:val="none" w:sz="0" w:space="0" w:color="auto"/>
        <w:bottom w:val="none" w:sz="0" w:space="0" w:color="auto"/>
        <w:right w:val="none" w:sz="0" w:space="0" w:color="auto"/>
      </w:divBdr>
    </w:div>
    <w:div w:id="23289613">
      <w:bodyDiv w:val="1"/>
      <w:marLeft w:val="0"/>
      <w:marRight w:val="0"/>
      <w:marTop w:val="0"/>
      <w:marBottom w:val="0"/>
      <w:divBdr>
        <w:top w:val="none" w:sz="0" w:space="0" w:color="auto"/>
        <w:left w:val="none" w:sz="0" w:space="0" w:color="auto"/>
        <w:bottom w:val="none" w:sz="0" w:space="0" w:color="auto"/>
        <w:right w:val="none" w:sz="0" w:space="0" w:color="auto"/>
      </w:divBdr>
    </w:div>
    <w:div w:id="28380642">
      <w:bodyDiv w:val="1"/>
      <w:marLeft w:val="0"/>
      <w:marRight w:val="0"/>
      <w:marTop w:val="0"/>
      <w:marBottom w:val="0"/>
      <w:divBdr>
        <w:top w:val="none" w:sz="0" w:space="0" w:color="auto"/>
        <w:left w:val="none" w:sz="0" w:space="0" w:color="auto"/>
        <w:bottom w:val="none" w:sz="0" w:space="0" w:color="auto"/>
        <w:right w:val="none" w:sz="0" w:space="0" w:color="auto"/>
      </w:divBdr>
    </w:div>
    <w:div w:id="31731826">
      <w:bodyDiv w:val="1"/>
      <w:marLeft w:val="0"/>
      <w:marRight w:val="0"/>
      <w:marTop w:val="0"/>
      <w:marBottom w:val="0"/>
      <w:divBdr>
        <w:top w:val="none" w:sz="0" w:space="0" w:color="auto"/>
        <w:left w:val="none" w:sz="0" w:space="0" w:color="auto"/>
        <w:bottom w:val="none" w:sz="0" w:space="0" w:color="auto"/>
        <w:right w:val="none" w:sz="0" w:space="0" w:color="auto"/>
      </w:divBdr>
    </w:div>
    <w:div w:id="33699170">
      <w:bodyDiv w:val="1"/>
      <w:marLeft w:val="0"/>
      <w:marRight w:val="0"/>
      <w:marTop w:val="0"/>
      <w:marBottom w:val="0"/>
      <w:divBdr>
        <w:top w:val="none" w:sz="0" w:space="0" w:color="auto"/>
        <w:left w:val="none" w:sz="0" w:space="0" w:color="auto"/>
        <w:bottom w:val="none" w:sz="0" w:space="0" w:color="auto"/>
        <w:right w:val="none" w:sz="0" w:space="0" w:color="auto"/>
      </w:divBdr>
    </w:div>
    <w:div w:id="54550867">
      <w:bodyDiv w:val="1"/>
      <w:marLeft w:val="0"/>
      <w:marRight w:val="0"/>
      <w:marTop w:val="0"/>
      <w:marBottom w:val="0"/>
      <w:divBdr>
        <w:top w:val="none" w:sz="0" w:space="0" w:color="auto"/>
        <w:left w:val="none" w:sz="0" w:space="0" w:color="auto"/>
        <w:bottom w:val="none" w:sz="0" w:space="0" w:color="auto"/>
        <w:right w:val="none" w:sz="0" w:space="0" w:color="auto"/>
      </w:divBdr>
    </w:div>
    <w:div w:id="55398329">
      <w:bodyDiv w:val="1"/>
      <w:marLeft w:val="0"/>
      <w:marRight w:val="0"/>
      <w:marTop w:val="0"/>
      <w:marBottom w:val="0"/>
      <w:divBdr>
        <w:top w:val="none" w:sz="0" w:space="0" w:color="auto"/>
        <w:left w:val="none" w:sz="0" w:space="0" w:color="auto"/>
        <w:bottom w:val="none" w:sz="0" w:space="0" w:color="auto"/>
        <w:right w:val="none" w:sz="0" w:space="0" w:color="auto"/>
      </w:divBdr>
    </w:div>
    <w:div w:id="79758659">
      <w:bodyDiv w:val="1"/>
      <w:marLeft w:val="0"/>
      <w:marRight w:val="0"/>
      <w:marTop w:val="0"/>
      <w:marBottom w:val="0"/>
      <w:divBdr>
        <w:top w:val="none" w:sz="0" w:space="0" w:color="auto"/>
        <w:left w:val="none" w:sz="0" w:space="0" w:color="auto"/>
        <w:bottom w:val="none" w:sz="0" w:space="0" w:color="auto"/>
        <w:right w:val="none" w:sz="0" w:space="0" w:color="auto"/>
      </w:divBdr>
    </w:div>
    <w:div w:id="81688194">
      <w:bodyDiv w:val="1"/>
      <w:marLeft w:val="0"/>
      <w:marRight w:val="0"/>
      <w:marTop w:val="0"/>
      <w:marBottom w:val="0"/>
      <w:divBdr>
        <w:top w:val="none" w:sz="0" w:space="0" w:color="auto"/>
        <w:left w:val="none" w:sz="0" w:space="0" w:color="auto"/>
        <w:bottom w:val="none" w:sz="0" w:space="0" w:color="auto"/>
        <w:right w:val="none" w:sz="0" w:space="0" w:color="auto"/>
      </w:divBdr>
    </w:div>
    <w:div w:id="96222443">
      <w:bodyDiv w:val="1"/>
      <w:marLeft w:val="0"/>
      <w:marRight w:val="0"/>
      <w:marTop w:val="0"/>
      <w:marBottom w:val="0"/>
      <w:divBdr>
        <w:top w:val="none" w:sz="0" w:space="0" w:color="auto"/>
        <w:left w:val="none" w:sz="0" w:space="0" w:color="auto"/>
        <w:bottom w:val="none" w:sz="0" w:space="0" w:color="auto"/>
        <w:right w:val="none" w:sz="0" w:space="0" w:color="auto"/>
      </w:divBdr>
    </w:div>
    <w:div w:id="127170624">
      <w:bodyDiv w:val="1"/>
      <w:marLeft w:val="0"/>
      <w:marRight w:val="0"/>
      <w:marTop w:val="0"/>
      <w:marBottom w:val="0"/>
      <w:divBdr>
        <w:top w:val="none" w:sz="0" w:space="0" w:color="auto"/>
        <w:left w:val="none" w:sz="0" w:space="0" w:color="auto"/>
        <w:bottom w:val="none" w:sz="0" w:space="0" w:color="auto"/>
        <w:right w:val="none" w:sz="0" w:space="0" w:color="auto"/>
      </w:divBdr>
    </w:div>
    <w:div w:id="136344407">
      <w:bodyDiv w:val="1"/>
      <w:marLeft w:val="0"/>
      <w:marRight w:val="0"/>
      <w:marTop w:val="0"/>
      <w:marBottom w:val="0"/>
      <w:divBdr>
        <w:top w:val="none" w:sz="0" w:space="0" w:color="auto"/>
        <w:left w:val="none" w:sz="0" w:space="0" w:color="auto"/>
        <w:bottom w:val="none" w:sz="0" w:space="0" w:color="auto"/>
        <w:right w:val="none" w:sz="0" w:space="0" w:color="auto"/>
      </w:divBdr>
    </w:div>
    <w:div w:id="170487726">
      <w:bodyDiv w:val="1"/>
      <w:marLeft w:val="0"/>
      <w:marRight w:val="0"/>
      <w:marTop w:val="0"/>
      <w:marBottom w:val="0"/>
      <w:divBdr>
        <w:top w:val="none" w:sz="0" w:space="0" w:color="auto"/>
        <w:left w:val="none" w:sz="0" w:space="0" w:color="auto"/>
        <w:bottom w:val="none" w:sz="0" w:space="0" w:color="auto"/>
        <w:right w:val="none" w:sz="0" w:space="0" w:color="auto"/>
      </w:divBdr>
    </w:div>
    <w:div w:id="170604228">
      <w:bodyDiv w:val="1"/>
      <w:marLeft w:val="0"/>
      <w:marRight w:val="0"/>
      <w:marTop w:val="0"/>
      <w:marBottom w:val="0"/>
      <w:divBdr>
        <w:top w:val="none" w:sz="0" w:space="0" w:color="auto"/>
        <w:left w:val="none" w:sz="0" w:space="0" w:color="auto"/>
        <w:bottom w:val="none" w:sz="0" w:space="0" w:color="auto"/>
        <w:right w:val="none" w:sz="0" w:space="0" w:color="auto"/>
      </w:divBdr>
    </w:div>
    <w:div w:id="185751354">
      <w:bodyDiv w:val="1"/>
      <w:marLeft w:val="0"/>
      <w:marRight w:val="0"/>
      <w:marTop w:val="0"/>
      <w:marBottom w:val="0"/>
      <w:divBdr>
        <w:top w:val="none" w:sz="0" w:space="0" w:color="auto"/>
        <w:left w:val="none" w:sz="0" w:space="0" w:color="auto"/>
        <w:bottom w:val="none" w:sz="0" w:space="0" w:color="auto"/>
        <w:right w:val="none" w:sz="0" w:space="0" w:color="auto"/>
      </w:divBdr>
    </w:div>
    <w:div w:id="189613368">
      <w:bodyDiv w:val="1"/>
      <w:marLeft w:val="0"/>
      <w:marRight w:val="0"/>
      <w:marTop w:val="0"/>
      <w:marBottom w:val="0"/>
      <w:divBdr>
        <w:top w:val="none" w:sz="0" w:space="0" w:color="auto"/>
        <w:left w:val="none" w:sz="0" w:space="0" w:color="auto"/>
        <w:bottom w:val="none" w:sz="0" w:space="0" w:color="auto"/>
        <w:right w:val="none" w:sz="0" w:space="0" w:color="auto"/>
      </w:divBdr>
    </w:div>
    <w:div w:id="239095290">
      <w:bodyDiv w:val="1"/>
      <w:marLeft w:val="0"/>
      <w:marRight w:val="0"/>
      <w:marTop w:val="0"/>
      <w:marBottom w:val="0"/>
      <w:divBdr>
        <w:top w:val="none" w:sz="0" w:space="0" w:color="auto"/>
        <w:left w:val="none" w:sz="0" w:space="0" w:color="auto"/>
        <w:bottom w:val="none" w:sz="0" w:space="0" w:color="auto"/>
        <w:right w:val="none" w:sz="0" w:space="0" w:color="auto"/>
      </w:divBdr>
    </w:div>
    <w:div w:id="244386266">
      <w:bodyDiv w:val="1"/>
      <w:marLeft w:val="0"/>
      <w:marRight w:val="0"/>
      <w:marTop w:val="0"/>
      <w:marBottom w:val="0"/>
      <w:divBdr>
        <w:top w:val="none" w:sz="0" w:space="0" w:color="auto"/>
        <w:left w:val="none" w:sz="0" w:space="0" w:color="auto"/>
        <w:bottom w:val="none" w:sz="0" w:space="0" w:color="auto"/>
        <w:right w:val="none" w:sz="0" w:space="0" w:color="auto"/>
      </w:divBdr>
    </w:div>
    <w:div w:id="258029748">
      <w:bodyDiv w:val="1"/>
      <w:marLeft w:val="0"/>
      <w:marRight w:val="0"/>
      <w:marTop w:val="0"/>
      <w:marBottom w:val="0"/>
      <w:divBdr>
        <w:top w:val="none" w:sz="0" w:space="0" w:color="auto"/>
        <w:left w:val="none" w:sz="0" w:space="0" w:color="auto"/>
        <w:bottom w:val="none" w:sz="0" w:space="0" w:color="auto"/>
        <w:right w:val="none" w:sz="0" w:space="0" w:color="auto"/>
      </w:divBdr>
    </w:div>
    <w:div w:id="264732389">
      <w:bodyDiv w:val="1"/>
      <w:marLeft w:val="0"/>
      <w:marRight w:val="0"/>
      <w:marTop w:val="0"/>
      <w:marBottom w:val="0"/>
      <w:divBdr>
        <w:top w:val="none" w:sz="0" w:space="0" w:color="auto"/>
        <w:left w:val="none" w:sz="0" w:space="0" w:color="auto"/>
        <w:bottom w:val="none" w:sz="0" w:space="0" w:color="auto"/>
        <w:right w:val="none" w:sz="0" w:space="0" w:color="auto"/>
      </w:divBdr>
    </w:div>
    <w:div w:id="265769262">
      <w:bodyDiv w:val="1"/>
      <w:marLeft w:val="0"/>
      <w:marRight w:val="0"/>
      <w:marTop w:val="0"/>
      <w:marBottom w:val="0"/>
      <w:divBdr>
        <w:top w:val="none" w:sz="0" w:space="0" w:color="auto"/>
        <w:left w:val="none" w:sz="0" w:space="0" w:color="auto"/>
        <w:bottom w:val="none" w:sz="0" w:space="0" w:color="auto"/>
        <w:right w:val="none" w:sz="0" w:space="0" w:color="auto"/>
      </w:divBdr>
    </w:div>
    <w:div w:id="295067749">
      <w:bodyDiv w:val="1"/>
      <w:marLeft w:val="0"/>
      <w:marRight w:val="0"/>
      <w:marTop w:val="0"/>
      <w:marBottom w:val="0"/>
      <w:divBdr>
        <w:top w:val="none" w:sz="0" w:space="0" w:color="auto"/>
        <w:left w:val="none" w:sz="0" w:space="0" w:color="auto"/>
        <w:bottom w:val="none" w:sz="0" w:space="0" w:color="auto"/>
        <w:right w:val="none" w:sz="0" w:space="0" w:color="auto"/>
      </w:divBdr>
    </w:div>
    <w:div w:id="299699996">
      <w:bodyDiv w:val="1"/>
      <w:marLeft w:val="0"/>
      <w:marRight w:val="0"/>
      <w:marTop w:val="0"/>
      <w:marBottom w:val="0"/>
      <w:divBdr>
        <w:top w:val="none" w:sz="0" w:space="0" w:color="auto"/>
        <w:left w:val="none" w:sz="0" w:space="0" w:color="auto"/>
        <w:bottom w:val="none" w:sz="0" w:space="0" w:color="auto"/>
        <w:right w:val="none" w:sz="0" w:space="0" w:color="auto"/>
      </w:divBdr>
    </w:div>
    <w:div w:id="322515413">
      <w:bodyDiv w:val="1"/>
      <w:marLeft w:val="0"/>
      <w:marRight w:val="0"/>
      <w:marTop w:val="0"/>
      <w:marBottom w:val="0"/>
      <w:divBdr>
        <w:top w:val="none" w:sz="0" w:space="0" w:color="auto"/>
        <w:left w:val="none" w:sz="0" w:space="0" w:color="auto"/>
        <w:bottom w:val="none" w:sz="0" w:space="0" w:color="auto"/>
        <w:right w:val="none" w:sz="0" w:space="0" w:color="auto"/>
      </w:divBdr>
    </w:div>
    <w:div w:id="327632645">
      <w:bodyDiv w:val="1"/>
      <w:marLeft w:val="0"/>
      <w:marRight w:val="0"/>
      <w:marTop w:val="0"/>
      <w:marBottom w:val="0"/>
      <w:divBdr>
        <w:top w:val="none" w:sz="0" w:space="0" w:color="auto"/>
        <w:left w:val="none" w:sz="0" w:space="0" w:color="auto"/>
        <w:bottom w:val="none" w:sz="0" w:space="0" w:color="auto"/>
        <w:right w:val="none" w:sz="0" w:space="0" w:color="auto"/>
      </w:divBdr>
    </w:div>
    <w:div w:id="345180252">
      <w:bodyDiv w:val="1"/>
      <w:marLeft w:val="0"/>
      <w:marRight w:val="0"/>
      <w:marTop w:val="0"/>
      <w:marBottom w:val="0"/>
      <w:divBdr>
        <w:top w:val="none" w:sz="0" w:space="0" w:color="auto"/>
        <w:left w:val="none" w:sz="0" w:space="0" w:color="auto"/>
        <w:bottom w:val="none" w:sz="0" w:space="0" w:color="auto"/>
        <w:right w:val="none" w:sz="0" w:space="0" w:color="auto"/>
      </w:divBdr>
    </w:div>
    <w:div w:id="352612080">
      <w:bodyDiv w:val="1"/>
      <w:marLeft w:val="0"/>
      <w:marRight w:val="0"/>
      <w:marTop w:val="0"/>
      <w:marBottom w:val="0"/>
      <w:divBdr>
        <w:top w:val="none" w:sz="0" w:space="0" w:color="auto"/>
        <w:left w:val="none" w:sz="0" w:space="0" w:color="auto"/>
        <w:bottom w:val="none" w:sz="0" w:space="0" w:color="auto"/>
        <w:right w:val="none" w:sz="0" w:space="0" w:color="auto"/>
      </w:divBdr>
    </w:div>
    <w:div w:id="352921403">
      <w:bodyDiv w:val="1"/>
      <w:marLeft w:val="0"/>
      <w:marRight w:val="0"/>
      <w:marTop w:val="0"/>
      <w:marBottom w:val="0"/>
      <w:divBdr>
        <w:top w:val="none" w:sz="0" w:space="0" w:color="auto"/>
        <w:left w:val="none" w:sz="0" w:space="0" w:color="auto"/>
        <w:bottom w:val="none" w:sz="0" w:space="0" w:color="auto"/>
        <w:right w:val="none" w:sz="0" w:space="0" w:color="auto"/>
      </w:divBdr>
    </w:div>
    <w:div w:id="355349404">
      <w:bodyDiv w:val="1"/>
      <w:marLeft w:val="0"/>
      <w:marRight w:val="0"/>
      <w:marTop w:val="0"/>
      <w:marBottom w:val="0"/>
      <w:divBdr>
        <w:top w:val="none" w:sz="0" w:space="0" w:color="auto"/>
        <w:left w:val="none" w:sz="0" w:space="0" w:color="auto"/>
        <w:bottom w:val="none" w:sz="0" w:space="0" w:color="auto"/>
        <w:right w:val="none" w:sz="0" w:space="0" w:color="auto"/>
      </w:divBdr>
    </w:div>
    <w:div w:id="384065164">
      <w:bodyDiv w:val="1"/>
      <w:marLeft w:val="0"/>
      <w:marRight w:val="0"/>
      <w:marTop w:val="0"/>
      <w:marBottom w:val="0"/>
      <w:divBdr>
        <w:top w:val="none" w:sz="0" w:space="0" w:color="auto"/>
        <w:left w:val="none" w:sz="0" w:space="0" w:color="auto"/>
        <w:bottom w:val="none" w:sz="0" w:space="0" w:color="auto"/>
        <w:right w:val="none" w:sz="0" w:space="0" w:color="auto"/>
      </w:divBdr>
    </w:div>
    <w:div w:id="386538007">
      <w:bodyDiv w:val="1"/>
      <w:marLeft w:val="0"/>
      <w:marRight w:val="0"/>
      <w:marTop w:val="0"/>
      <w:marBottom w:val="0"/>
      <w:divBdr>
        <w:top w:val="none" w:sz="0" w:space="0" w:color="auto"/>
        <w:left w:val="none" w:sz="0" w:space="0" w:color="auto"/>
        <w:bottom w:val="none" w:sz="0" w:space="0" w:color="auto"/>
        <w:right w:val="none" w:sz="0" w:space="0" w:color="auto"/>
      </w:divBdr>
    </w:div>
    <w:div w:id="391656290">
      <w:bodyDiv w:val="1"/>
      <w:marLeft w:val="0"/>
      <w:marRight w:val="0"/>
      <w:marTop w:val="0"/>
      <w:marBottom w:val="0"/>
      <w:divBdr>
        <w:top w:val="none" w:sz="0" w:space="0" w:color="auto"/>
        <w:left w:val="none" w:sz="0" w:space="0" w:color="auto"/>
        <w:bottom w:val="none" w:sz="0" w:space="0" w:color="auto"/>
        <w:right w:val="none" w:sz="0" w:space="0" w:color="auto"/>
      </w:divBdr>
    </w:div>
    <w:div w:id="424037846">
      <w:bodyDiv w:val="1"/>
      <w:marLeft w:val="0"/>
      <w:marRight w:val="0"/>
      <w:marTop w:val="0"/>
      <w:marBottom w:val="0"/>
      <w:divBdr>
        <w:top w:val="none" w:sz="0" w:space="0" w:color="auto"/>
        <w:left w:val="none" w:sz="0" w:space="0" w:color="auto"/>
        <w:bottom w:val="none" w:sz="0" w:space="0" w:color="auto"/>
        <w:right w:val="none" w:sz="0" w:space="0" w:color="auto"/>
      </w:divBdr>
    </w:div>
    <w:div w:id="433979538">
      <w:bodyDiv w:val="1"/>
      <w:marLeft w:val="0"/>
      <w:marRight w:val="0"/>
      <w:marTop w:val="0"/>
      <w:marBottom w:val="0"/>
      <w:divBdr>
        <w:top w:val="none" w:sz="0" w:space="0" w:color="auto"/>
        <w:left w:val="none" w:sz="0" w:space="0" w:color="auto"/>
        <w:bottom w:val="none" w:sz="0" w:space="0" w:color="auto"/>
        <w:right w:val="none" w:sz="0" w:space="0" w:color="auto"/>
      </w:divBdr>
    </w:div>
    <w:div w:id="439451326">
      <w:bodyDiv w:val="1"/>
      <w:marLeft w:val="0"/>
      <w:marRight w:val="0"/>
      <w:marTop w:val="0"/>
      <w:marBottom w:val="0"/>
      <w:divBdr>
        <w:top w:val="none" w:sz="0" w:space="0" w:color="auto"/>
        <w:left w:val="none" w:sz="0" w:space="0" w:color="auto"/>
        <w:bottom w:val="none" w:sz="0" w:space="0" w:color="auto"/>
        <w:right w:val="none" w:sz="0" w:space="0" w:color="auto"/>
      </w:divBdr>
    </w:div>
    <w:div w:id="467672905">
      <w:bodyDiv w:val="1"/>
      <w:marLeft w:val="0"/>
      <w:marRight w:val="0"/>
      <w:marTop w:val="0"/>
      <w:marBottom w:val="0"/>
      <w:divBdr>
        <w:top w:val="none" w:sz="0" w:space="0" w:color="auto"/>
        <w:left w:val="none" w:sz="0" w:space="0" w:color="auto"/>
        <w:bottom w:val="none" w:sz="0" w:space="0" w:color="auto"/>
        <w:right w:val="none" w:sz="0" w:space="0" w:color="auto"/>
      </w:divBdr>
    </w:div>
    <w:div w:id="529341071">
      <w:bodyDiv w:val="1"/>
      <w:marLeft w:val="0"/>
      <w:marRight w:val="0"/>
      <w:marTop w:val="0"/>
      <w:marBottom w:val="0"/>
      <w:divBdr>
        <w:top w:val="none" w:sz="0" w:space="0" w:color="auto"/>
        <w:left w:val="none" w:sz="0" w:space="0" w:color="auto"/>
        <w:bottom w:val="none" w:sz="0" w:space="0" w:color="auto"/>
        <w:right w:val="none" w:sz="0" w:space="0" w:color="auto"/>
      </w:divBdr>
    </w:div>
    <w:div w:id="529492367">
      <w:bodyDiv w:val="1"/>
      <w:marLeft w:val="0"/>
      <w:marRight w:val="0"/>
      <w:marTop w:val="0"/>
      <w:marBottom w:val="0"/>
      <w:divBdr>
        <w:top w:val="none" w:sz="0" w:space="0" w:color="auto"/>
        <w:left w:val="none" w:sz="0" w:space="0" w:color="auto"/>
        <w:bottom w:val="none" w:sz="0" w:space="0" w:color="auto"/>
        <w:right w:val="none" w:sz="0" w:space="0" w:color="auto"/>
      </w:divBdr>
    </w:div>
    <w:div w:id="533811768">
      <w:bodyDiv w:val="1"/>
      <w:marLeft w:val="0"/>
      <w:marRight w:val="0"/>
      <w:marTop w:val="0"/>
      <w:marBottom w:val="0"/>
      <w:divBdr>
        <w:top w:val="none" w:sz="0" w:space="0" w:color="auto"/>
        <w:left w:val="none" w:sz="0" w:space="0" w:color="auto"/>
        <w:bottom w:val="none" w:sz="0" w:space="0" w:color="auto"/>
        <w:right w:val="none" w:sz="0" w:space="0" w:color="auto"/>
      </w:divBdr>
    </w:div>
    <w:div w:id="541868490">
      <w:bodyDiv w:val="1"/>
      <w:marLeft w:val="0"/>
      <w:marRight w:val="0"/>
      <w:marTop w:val="0"/>
      <w:marBottom w:val="0"/>
      <w:divBdr>
        <w:top w:val="none" w:sz="0" w:space="0" w:color="auto"/>
        <w:left w:val="none" w:sz="0" w:space="0" w:color="auto"/>
        <w:bottom w:val="none" w:sz="0" w:space="0" w:color="auto"/>
        <w:right w:val="none" w:sz="0" w:space="0" w:color="auto"/>
      </w:divBdr>
    </w:div>
    <w:div w:id="552085681">
      <w:bodyDiv w:val="1"/>
      <w:marLeft w:val="0"/>
      <w:marRight w:val="0"/>
      <w:marTop w:val="0"/>
      <w:marBottom w:val="0"/>
      <w:divBdr>
        <w:top w:val="none" w:sz="0" w:space="0" w:color="auto"/>
        <w:left w:val="none" w:sz="0" w:space="0" w:color="auto"/>
        <w:bottom w:val="none" w:sz="0" w:space="0" w:color="auto"/>
        <w:right w:val="none" w:sz="0" w:space="0" w:color="auto"/>
      </w:divBdr>
    </w:div>
    <w:div w:id="575866781">
      <w:bodyDiv w:val="1"/>
      <w:marLeft w:val="0"/>
      <w:marRight w:val="0"/>
      <w:marTop w:val="0"/>
      <w:marBottom w:val="0"/>
      <w:divBdr>
        <w:top w:val="none" w:sz="0" w:space="0" w:color="auto"/>
        <w:left w:val="none" w:sz="0" w:space="0" w:color="auto"/>
        <w:bottom w:val="none" w:sz="0" w:space="0" w:color="auto"/>
        <w:right w:val="none" w:sz="0" w:space="0" w:color="auto"/>
      </w:divBdr>
    </w:div>
    <w:div w:id="631910501">
      <w:bodyDiv w:val="1"/>
      <w:marLeft w:val="0"/>
      <w:marRight w:val="0"/>
      <w:marTop w:val="0"/>
      <w:marBottom w:val="0"/>
      <w:divBdr>
        <w:top w:val="none" w:sz="0" w:space="0" w:color="auto"/>
        <w:left w:val="none" w:sz="0" w:space="0" w:color="auto"/>
        <w:bottom w:val="none" w:sz="0" w:space="0" w:color="auto"/>
        <w:right w:val="none" w:sz="0" w:space="0" w:color="auto"/>
      </w:divBdr>
    </w:div>
    <w:div w:id="660694882">
      <w:bodyDiv w:val="1"/>
      <w:marLeft w:val="0"/>
      <w:marRight w:val="0"/>
      <w:marTop w:val="0"/>
      <w:marBottom w:val="0"/>
      <w:divBdr>
        <w:top w:val="none" w:sz="0" w:space="0" w:color="auto"/>
        <w:left w:val="none" w:sz="0" w:space="0" w:color="auto"/>
        <w:bottom w:val="none" w:sz="0" w:space="0" w:color="auto"/>
        <w:right w:val="none" w:sz="0" w:space="0" w:color="auto"/>
      </w:divBdr>
    </w:div>
    <w:div w:id="671682581">
      <w:bodyDiv w:val="1"/>
      <w:marLeft w:val="0"/>
      <w:marRight w:val="0"/>
      <w:marTop w:val="0"/>
      <w:marBottom w:val="0"/>
      <w:divBdr>
        <w:top w:val="none" w:sz="0" w:space="0" w:color="auto"/>
        <w:left w:val="none" w:sz="0" w:space="0" w:color="auto"/>
        <w:bottom w:val="none" w:sz="0" w:space="0" w:color="auto"/>
        <w:right w:val="none" w:sz="0" w:space="0" w:color="auto"/>
      </w:divBdr>
    </w:div>
    <w:div w:id="703869075">
      <w:bodyDiv w:val="1"/>
      <w:marLeft w:val="0"/>
      <w:marRight w:val="0"/>
      <w:marTop w:val="0"/>
      <w:marBottom w:val="0"/>
      <w:divBdr>
        <w:top w:val="none" w:sz="0" w:space="0" w:color="auto"/>
        <w:left w:val="none" w:sz="0" w:space="0" w:color="auto"/>
        <w:bottom w:val="none" w:sz="0" w:space="0" w:color="auto"/>
        <w:right w:val="none" w:sz="0" w:space="0" w:color="auto"/>
      </w:divBdr>
    </w:div>
    <w:div w:id="719478856">
      <w:bodyDiv w:val="1"/>
      <w:marLeft w:val="0"/>
      <w:marRight w:val="0"/>
      <w:marTop w:val="0"/>
      <w:marBottom w:val="0"/>
      <w:divBdr>
        <w:top w:val="none" w:sz="0" w:space="0" w:color="auto"/>
        <w:left w:val="none" w:sz="0" w:space="0" w:color="auto"/>
        <w:bottom w:val="none" w:sz="0" w:space="0" w:color="auto"/>
        <w:right w:val="none" w:sz="0" w:space="0" w:color="auto"/>
      </w:divBdr>
    </w:div>
    <w:div w:id="719937552">
      <w:bodyDiv w:val="1"/>
      <w:marLeft w:val="0"/>
      <w:marRight w:val="0"/>
      <w:marTop w:val="0"/>
      <w:marBottom w:val="0"/>
      <w:divBdr>
        <w:top w:val="none" w:sz="0" w:space="0" w:color="auto"/>
        <w:left w:val="none" w:sz="0" w:space="0" w:color="auto"/>
        <w:bottom w:val="none" w:sz="0" w:space="0" w:color="auto"/>
        <w:right w:val="none" w:sz="0" w:space="0" w:color="auto"/>
      </w:divBdr>
    </w:div>
    <w:div w:id="729382423">
      <w:bodyDiv w:val="1"/>
      <w:marLeft w:val="0"/>
      <w:marRight w:val="0"/>
      <w:marTop w:val="0"/>
      <w:marBottom w:val="0"/>
      <w:divBdr>
        <w:top w:val="none" w:sz="0" w:space="0" w:color="auto"/>
        <w:left w:val="none" w:sz="0" w:space="0" w:color="auto"/>
        <w:bottom w:val="none" w:sz="0" w:space="0" w:color="auto"/>
        <w:right w:val="none" w:sz="0" w:space="0" w:color="auto"/>
      </w:divBdr>
    </w:div>
    <w:div w:id="732197833">
      <w:bodyDiv w:val="1"/>
      <w:marLeft w:val="0"/>
      <w:marRight w:val="0"/>
      <w:marTop w:val="0"/>
      <w:marBottom w:val="0"/>
      <w:divBdr>
        <w:top w:val="none" w:sz="0" w:space="0" w:color="auto"/>
        <w:left w:val="none" w:sz="0" w:space="0" w:color="auto"/>
        <w:bottom w:val="none" w:sz="0" w:space="0" w:color="auto"/>
        <w:right w:val="none" w:sz="0" w:space="0" w:color="auto"/>
      </w:divBdr>
    </w:div>
    <w:div w:id="737289975">
      <w:bodyDiv w:val="1"/>
      <w:marLeft w:val="0"/>
      <w:marRight w:val="0"/>
      <w:marTop w:val="0"/>
      <w:marBottom w:val="0"/>
      <w:divBdr>
        <w:top w:val="none" w:sz="0" w:space="0" w:color="auto"/>
        <w:left w:val="none" w:sz="0" w:space="0" w:color="auto"/>
        <w:bottom w:val="none" w:sz="0" w:space="0" w:color="auto"/>
        <w:right w:val="none" w:sz="0" w:space="0" w:color="auto"/>
      </w:divBdr>
    </w:div>
    <w:div w:id="739181468">
      <w:bodyDiv w:val="1"/>
      <w:marLeft w:val="0"/>
      <w:marRight w:val="0"/>
      <w:marTop w:val="0"/>
      <w:marBottom w:val="0"/>
      <w:divBdr>
        <w:top w:val="none" w:sz="0" w:space="0" w:color="auto"/>
        <w:left w:val="none" w:sz="0" w:space="0" w:color="auto"/>
        <w:bottom w:val="none" w:sz="0" w:space="0" w:color="auto"/>
        <w:right w:val="none" w:sz="0" w:space="0" w:color="auto"/>
      </w:divBdr>
    </w:div>
    <w:div w:id="741756058">
      <w:bodyDiv w:val="1"/>
      <w:marLeft w:val="0"/>
      <w:marRight w:val="0"/>
      <w:marTop w:val="0"/>
      <w:marBottom w:val="0"/>
      <w:divBdr>
        <w:top w:val="none" w:sz="0" w:space="0" w:color="auto"/>
        <w:left w:val="none" w:sz="0" w:space="0" w:color="auto"/>
        <w:bottom w:val="none" w:sz="0" w:space="0" w:color="auto"/>
        <w:right w:val="none" w:sz="0" w:space="0" w:color="auto"/>
      </w:divBdr>
    </w:div>
    <w:div w:id="744185213">
      <w:bodyDiv w:val="1"/>
      <w:marLeft w:val="0"/>
      <w:marRight w:val="0"/>
      <w:marTop w:val="0"/>
      <w:marBottom w:val="0"/>
      <w:divBdr>
        <w:top w:val="none" w:sz="0" w:space="0" w:color="auto"/>
        <w:left w:val="none" w:sz="0" w:space="0" w:color="auto"/>
        <w:bottom w:val="none" w:sz="0" w:space="0" w:color="auto"/>
        <w:right w:val="none" w:sz="0" w:space="0" w:color="auto"/>
      </w:divBdr>
    </w:div>
    <w:div w:id="744230703">
      <w:bodyDiv w:val="1"/>
      <w:marLeft w:val="0"/>
      <w:marRight w:val="0"/>
      <w:marTop w:val="0"/>
      <w:marBottom w:val="0"/>
      <w:divBdr>
        <w:top w:val="none" w:sz="0" w:space="0" w:color="auto"/>
        <w:left w:val="none" w:sz="0" w:space="0" w:color="auto"/>
        <w:bottom w:val="none" w:sz="0" w:space="0" w:color="auto"/>
        <w:right w:val="none" w:sz="0" w:space="0" w:color="auto"/>
      </w:divBdr>
    </w:div>
    <w:div w:id="752052154">
      <w:bodyDiv w:val="1"/>
      <w:marLeft w:val="0"/>
      <w:marRight w:val="0"/>
      <w:marTop w:val="0"/>
      <w:marBottom w:val="0"/>
      <w:divBdr>
        <w:top w:val="none" w:sz="0" w:space="0" w:color="auto"/>
        <w:left w:val="none" w:sz="0" w:space="0" w:color="auto"/>
        <w:bottom w:val="none" w:sz="0" w:space="0" w:color="auto"/>
        <w:right w:val="none" w:sz="0" w:space="0" w:color="auto"/>
      </w:divBdr>
    </w:div>
    <w:div w:id="754057401">
      <w:bodyDiv w:val="1"/>
      <w:marLeft w:val="0"/>
      <w:marRight w:val="0"/>
      <w:marTop w:val="0"/>
      <w:marBottom w:val="0"/>
      <w:divBdr>
        <w:top w:val="none" w:sz="0" w:space="0" w:color="auto"/>
        <w:left w:val="none" w:sz="0" w:space="0" w:color="auto"/>
        <w:bottom w:val="none" w:sz="0" w:space="0" w:color="auto"/>
        <w:right w:val="none" w:sz="0" w:space="0" w:color="auto"/>
      </w:divBdr>
    </w:div>
    <w:div w:id="762845885">
      <w:bodyDiv w:val="1"/>
      <w:marLeft w:val="0"/>
      <w:marRight w:val="0"/>
      <w:marTop w:val="0"/>
      <w:marBottom w:val="0"/>
      <w:divBdr>
        <w:top w:val="none" w:sz="0" w:space="0" w:color="auto"/>
        <w:left w:val="none" w:sz="0" w:space="0" w:color="auto"/>
        <w:bottom w:val="none" w:sz="0" w:space="0" w:color="auto"/>
        <w:right w:val="none" w:sz="0" w:space="0" w:color="auto"/>
      </w:divBdr>
    </w:div>
    <w:div w:id="768427481">
      <w:bodyDiv w:val="1"/>
      <w:marLeft w:val="0"/>
      <w:marRight w:val="0"/>
      <w:marTop w:val="0"/>
      <w:marBottom w:val="0"/>
      <w:divBdr>
        <w:top w:val="none" w:sz="0" w:space="0" w:color="auto"/>
        <w:left w:val="none" w:sz="0" w:space="0" w:color="auto"/>
        <w:bottom w:val="none" w:sz="0" w:space="0" w:color="auto"/>
        <w:right w:val="none" w:sz="0" w:space="0" w:color="auto"/>
      </w:divBdr>
    </w:div>
    <w:div w:id="782766257">
      <w:bodyDiv w:val="1"/>
      <w:marLeft w:val="0"/>
      <w:marRight w:val="0"/>
      <w:marTop w:val="0"/>
      <w:marBottom w:val="0"/>
      <w:divBdr>
        <w:top w:val="none" w:sz="0" w:space="0" w:color="auto"/>
        <w:left w:val="none" w:sz="0" w:space="0" w:color="auto"/>
        <w:bottom w:val="none" w:sz="0" w:space="0" w:color="auto"/>
        <w:right w:val="none" w:sz="0" w:space="0" w:color="auto"/>
      </w:divBdr>
    </w:div>
    <w:div w:id="782924274">
      <w:bodyDiv w:val="1"/>
      <w:marLeft w:val="0"/>
      <w:marRight w:val="0"/>
      <w:marTop w:val="0"/>
      <w:marBottom w:val="0"/>
      <w:divBdr>
        <w:top w:val="none" w:sz="0" w:space="0" w:color="auto"/>
        <w:left w:val="none" w:sz="0" w:space="0" w:color="auto"/>
        <w:bottom w:val="none" w:sz="0" w:space="0" w:color="auto"/>
        <w:right w:val="none" w:sz="0" w:space="0" w:color="auto"/>
      </w:divBdr>
    </w:div>
    <w:div w:id="787311327">
      <w:bodyDiv w:val="1"/>
      <w:marLeft w:val="0"/>
      <w:marRight w:val="0"/>
      <w:marTop w:val="0"/>
      <w:marBottom w:val="0"/>
      <w:divBdr>
        <w:top w:val="none" w:sz="0" w:space="0" w:color="auto"/>
        <w:left w:val="none" w:sz="0" w:space="0" w:color="auto"/>
        <w:bottom w:val="none" w:sz="0" w:space="0" w:color="auto"/>
        <w:right w:val="none" w:sz="0" w:space="0" w:color="auto"/>
      </w:divBdr>
    </w:div>
    <w:div w:id="793911454">
      <w:bodyDiv w:val="1"/>
      <w:marLeft w:val="0"/>
      <w:marRight w:val="0"/>
      <w:marTop w:val="0"/>
      <w:marBottom w:val="0"/>
      <w:divBdr>
        <w:top w:val="none" w:sz="0" w:space="0" w:color="auto"/>
        <w:left w:val="none" w:sz="0" w:space="0" w:color="auto"/>
        <w:bottom w:val="none" w:sz="0" w:space="0" w:color="auto"/>
        <w:right w:val="none" w:sz="0" w:space="0" w:color="auto"/>
      </w:divBdr>
    </w:div>
    <w:div w:id="825243094">
      <w:bodyDiv w:val="1"/>
      <w:marLeft w:val="0"/>
      <w:marRight w:val="0"/>
      <w:marTop w:val="0"/>
      <w:marBottom w:val="0"/>
      <w:divBdr>
        <w:top w:val="none" w:sz="0" w:space="0" w:color="auto"/>
        <w:left w:val="none" w:sz="0" w:space="0" w:color="auto"/>
        <w:bottom w:val="none" w:sz="0" w:space="0" w:color="auto"/>
        <w:right w:val="none" w:sz="0" w:space="0" w:color="auto"/>
      </w:divBdr>
    </w:div>
    <w:div w:id="828520881">
      <w:bodyDiv w:val="1"/>
      <w:marLeft w:val="0"/>
      <w:marRight w:val="0"/>
      <w:marTop w:val="0"/>
      <w:marBottom w:val="0"/>
      <w:divBdr>
        <w:top w:val="none" w:sz="0" w:space="0" w:color="auto"/>
        <w:left w:val="none" w:sz="0" w:space="0" w:color="auto"/>
        <w:bottom w:val="none" w:sz="0" w:space="0" w:color="auto"/>
        <w:right w:val="none" w:sz="0" w:space="0" w:color="auto"/>
      </w:divBdr>
    </w:div>
    <w:div w:id="829295770">
      <w:bodyDiv w:val="1"/>
      <w:marLeft w:val="0"/>
      <w:marRight w:val="0"/>
      <w:marTop w:val="0"/>
      <w:marBottom w:val="0"/>
      <w:divBdr>
        <w:top w:val="none" w:sz="0" w:space="0" w:color="auto"/>
        <w:left w:val="none" w:sz="0" w:space="0" w:color="auto"/>
        <w:bottom w:val="none" w:sz="0" w:space="0" w:color="auto"/>
        <w:right w:val="none" w:sz="0" w:space="0" w:color="auto"/>
      </w:divBdr>
    </w:div>
    <w:div w:id="833183444">
      <w:bodyDiv w:val="1"/>
      <w:marLeft w:val="0"/>
      <w:marRight w:val="0"/>
      <w:marTop w:val="0"/>
      <w:marBottom w:val="0"/>
      <w:divBdr>
        <w:top w:val="none" w:sz="0" w:space="0" w:color="auto"/>
        <w:left w:val="none" w:sz="0" w:space="0" w:color="auto"/>
        <w:bottom w:val="none" w:sz="0" w:space="0" w:color="auto"/>
        <w:right w:val="none" w:sz="0" w:space="0" w:color="auto"/>
      </w:divBdr>
    </w:div>
    <w:div w:id="841238503">
      <w:bodyDiv w:val="1"/>
      <w:marLeft w:val="0"/>
      <w:marRight w:val="0"/>
      <w:marTop w:val="0"/>
      <w:marBottom w:val="0"/>
      <w:divBdr>
        <w:top w:val="none" w:sz="0" w:space="0" w:color="auto"/>
        <w:left w:val="none" w:sz="0" w:space="0" w:color="auto"/>
        <w:bottom w:val="none" w:sz="0" w:space="0" w:color="auto"/>
        <w:right w:val="none" w:sz="0" w:space="0" w:color="auto"/>
      </w:divBdr>
    </w:div>
    <w:div w:id="846679855">
      <w:bodyDiv w:val="1"/>
      <w:marLeft w:val="0"/>
      <w:marRight w:val="0"/>
      <w:marTop w:val="0"/>
      <w:marBottom w:val="0"/>
      <w:divBdr>
        <w:top w:val="none" w:sz="0" w:space="0" w:color="auto"/>
        <w:left w:val="none" w:sz="0" w:space="0" w:color="auto"/>
        <w:bottom w:val="none" w:sz="0" w:space="0" w:color="auto"/>
        <w:right w:val="none" w:sz="0" w:space="0" w:color="auto"/>
      </w:divBdr>
    </w:div>
    <w:div w:id="849218258">
      <w:bodyDiv w:val="1"/>
      <w:marLeft w:val="0"/>
      <w:marRight w:val="0"/>
      <w:marTop w:val="0"/>
      <w:marBottom w:val="0"/>
      <w:divBdr>
        <w:top w:val="none" w:sz="0" w:space="0" w:color="auto"/>
        <w:left w:val="none" w:sz="0" w:space="0" w:color="auto"/>
        <w:bottom w:val="none" w:sz="0" w:space="0" w:color="auto"/>
        <w:right w:val="none" w:sz="0" w:space="0" w:color="auto"/>
      </w:divBdr>
    </w:div>
    <w:div w:id="876623993">
      <w:bodyDiv w:val="1"/>
      <w:marLeft w:val="0"/>
      <w:marRight w:val="0"/>
      <w:marTop w:val="0"/>
      <w:marBottom w:val="0"/>
      <w:divBdr>
        <w:top w:val="none" w:sz="0" w:space="0" w:color="auto"/>
        <w:left w:val="none" w:sz="0" w:space="0" w:color="auto"/>
        <w:bottom w:val="none" w:sz="0" w:space="0" w:color="auto"/>
        <w:right w:val="none" w:sz="0" w:space="0" w:color="auto"/>
      </w:divBdr>
    </w:div>
    <w:div w:id="893781127">
      <w:bodyDiv w:val="1"/>
      <w:marLeft w:val="0"/>
      <w:marRight w:val="0"/>
      <w:marTop w:val="0"/>
      <w:marBottom w:val="0"/>
      <w:divBdr>
        <w:top w:val="none" w:sz="0" w:space="0" w:color="auto"/>
        <w:left w:val="none" w:sz="0" w:space="0" w:color="auto"/>
        <w:bottom w:val="none" w:sz="0" w:space="0" w:color="auto"/>
        <w:right w:val="none" w:sz="0" w:space="0" w:color="auto"/>
      </w:divBdr>
    </w:div>
    <w:div w:id="906182488">
      <w:bodyDiv w:val="1"/>
      <w:marLeft w:val="0"/>
      <w:marRight w:val="0"/>
      <w:marTop w:val="0"/>
      <w:marBottom w:val="0"/>
      <w:divBdr>
        <w:top w:val="none" w:sz="0" w:space="0" w:color="auto"/>
        <w:left w:val="none" w:sz="0" w:space="0" w:color="auto"/>
        <w:bottom w:val="none" w:sz="0" w:space="0" w:color="auto"/>
        <w:right w:val="none" w:sz="0" w:space="0" w:color="auto"/>
      </w:divBdr>
    </w:div>
    <w:div w:id="907112036">
      <w:bodyDiv w:val="1"/>
      <w:marLeft w:val="0"/>
      <w:marRight w:val="0"/>
      <w:marTop w:val="0"/>
      <w:marBottom w:val="0"/>
      <w:divBdr>
        <w:top w:val="none" w:sz="0" w:space="0" w:color="auto"/>
        <w:left w:val="none" w:sz="0" w:space="0" w:color="auto"/>
        <w:bottom w:val="none" w:sz="0" w:space="0" w:color="auto"/>
        <w:right w:val="none" w:sz="0" w:space="0" w:color="auto"/>
      </w:divBdr>
    </w:div>
    <w:div w:id="908155950">
      <w:bodyDiv w:val="1"/>
      <w:marLeft w:val="0"/>
      <w:marRight w:val="0"/>
      <w:marTop w:val="0"/>
      <w:marBottom w:val="0"/>
      <w:divBdr>
        <w:top w:val="none" w:sz="0" w:space="0" w:color="auto"/>
        <w:left w:val="none" w:sz="0" w:space="0" w:color="auto"/>
        <w:bottom w:val="none" w:sz="0" w:space="0" w:color="auto"/>
        <w:right w:val="none" w:sz="0" w:space="0" w:color="auto"/>
      </w:divBdr>
    </w:div>
    <w:div w:id="914169055">
      <w:bodyDiv w:val="1"/>
      <w:marLeft w:val="0"/>
      <w:marRight w:val="0"/>
      <w:marTop w:val="0"/>
      <w:marBottom w:val="0"/>
      <w:divBdr>
        <w:top w:val="none" w:sz="0" w:space="0" w:color="auto"/>
        <w:left w:val="none" w:sz="0" w:space="0" w:color="auto"/>
        <w:bottom w:val="none" w:sz="0" w:space="0" w:color="auto"/>
        <w:right w:val="none" w:sz="0" w:space="0" w:color="auto"/>
      </w:divBdr>
    </w:div>
    <w:div w:id="919407508">
      <w:bodyDiv w:val="1"/>
      <w:marLeft w:val="0"/>
      <w:marRight w:val="0"/>
      <w:marTop w:val="0"/>
      <w:marBottom w:val="0"/>
      <w:divBdr>
        <w:top w:val="none" w:sz="0" w:space="0" w:color="auto"/>
        <w:left w:val="none" w:sz="0" w:space="0" w:color="auto"/>
        <w:bottom w:val="none" w:sz="0" w:space="0" w:color="auto"/>
        <w:right w:val="none" w:sz="0" w:space="0" w:color="auto"/>
      </w:divBdr>
    </w:div>
    <w:div w:id="929778970">
      <w:bodyDiv w:val="1"/>
      <w:marLeft w:val="0"/>
      <w:marRight w:val="0"/>
      <w:marTop w:val="0"/>
      <w:marBottom w:val="0"/>
      <w:divBdr>
        <w:top w:val="none" w:sz="0" w:space="0" w:color="auto"/>
        <w:left w:val="none" w:sz="0" w:space="0" w:color="auto"/>
        <w:bottom w:val="none" w:sz="0" w:space="0" w:color="auto"/>
        <w:right w:val="none" w:sz="0" w:space="0" w:color="auto"/>
      </w:divBdr>
    </w:div>
    <w:div w:id="930701193">
      <w:bodyDiv w:val="1"/>
      <w:marLeft w:val="0"/>
      <w:marRight w:val="0"/>
      <w:marTop w:val="0"/>
      <w:marBottom w:val="0"/>
      <w:divBdr>
        <w:top w:val="none" w:sz="0" w:space="0" w:color="auto"/>
        <w:left w:val="none" w:sz="0" w:space="0" w:color="auto"/>
        <w:bottom w:val="none" w:sz="0" w:space="0" w:color="auto"/>
        <w:right w:val="none" w:sz="0" w:space="0" w:color="auto"/>
      </w:divBdr>
    </w:div>
    <w:div w:id="934822495">
      <w:bodyDiv w:val="1"/>
      <w:marLeft w:val="0"/>
      <w:marRight w:val="0"/>
      <w:marTop w:val="0"/>
      <w:marBottom w:val="0"/>
      <w:divBdr>
        <w:top w:val="none" w:sz="0" w:space="0" w:color="auto"/>
        <w:left w:val="none" w:sz="0" w:space="0" w:color="auto"/>
        <w:bottom w:val="none" w:sz="0" w:space="0" w:color="auto"/>
        <w:right w:val="none" w:sz="0" w:space="0" w:color="auto"/>
      </w:divBdr>
    </w:div>
    <w:div w:id="938756732">
      <w:bodyDiv w:val="1"/>
      <w:marLeft w:val="0"/>
      <w:marRight w:val="0"/>
      <w:marTop w:val="0"/>
      <w:marBottom w:val="0"/>
      <w:divBdr>
        <w:top w:val="none" w:sz="0" w:space="0" w:color="auto"/>
        <w:left w:val="none" w:sz="0" w:space="0" w:color="auto"/>
        <w:bottom w:val="none" w:sz="0" w:space="0" w:color="auto"/>
        <w:right w:val="none" w:sz="0" w:space="0" w:color="auto"/>
      </w:divBdr>
    </w:div>
    <w:div w:id="956369569">
      <w:bodyDiv w:val="1"/>
      <w:marLeft w:val="0"/>
      <w:marRight w:val="0"/>
      <w:marTop w:val="0"/>
      <w:marBottom w:val="0"/>
      <w:divBdr>
        <w:top w:val="none" w:sz="0" w:space="0" w:color="auto"/>
        <w:left w:val="none" w:sz="0" w:space="0" w:color="auto"/>
        <w:bottom w:val="none" w:sz="0" w:space="0" w:color="auto"/>
        <w:right w:val="none" w:sz="0" w:space="0" w:color="auto"/>
      </w:divBdr>
    </w:div>
    <w:div w:id="963195238">
      <w:bodyDiv w:val="1"/>
      <w:marLeft w:val="0"/>
      <w:marRight w:val="0"/>
      <w:marTop w:val="0"/>
      <w:marBottom w:val="0"/>
      <w:divBdr>
        <w:top w:val="none" w:sz="0" w:space="0" w:color="auto"/>
        <w:left w:val="none" w:sz="0" w:space="0" w:color="auto"/>
        <w:bottom w:val="none" w:sz="0" w:space="0" w:color="auto"/>
        <w:right w:val="none" w:sz="0" w:space="0" w:color="auto"/>
      </w:divBdr>
    </w:div>
    <w:div w:id="967777118">
      <w:bodyDiv w:val="1"/>
      <w:marLeft w:val="0"/>
      <w:marRight w:val="0"/>
      <w:marTop w:val="0"/>
      <w:marBottom w:val="0"/>
      <w:divBdr>
        <w:top w:val="none" w:sz="0" w:space="0" w:color="auto"/>
        <w:left w:val="none" w:sz="0" w:space="0" w:color="auto"/>
        <w:bottom w:val="none" w:sz="0" w:space="0" w:color="auto"/>
        <w:right w:val="none" w:sz="0" w:space="0" w:color="auto"/>
      </w:divBdr>
    </w:div>
    <w:div w:id="969945487">
      <w:bodyDiv w:val="1"/>
      <w:marLeft w:val="0"/>
      <w:marRight w:val="0"/>
      <w:marTop w:val="0"/>
      <w:marBottom w:val="0"/>
      <w:divBdr>
        <w:top w:val="none" w:sz="0" w:space="0" w:color="auto"/>
        <w:left w:val="none" w:sz="0" w:space="0" w:color="auto"/>
        <w:bottom w:val="none" w:sz="0" w:space="0" w:color="auto"/>
        <w:right w:val="none" w:sz="0" w:space="0" w:color="auto"/>
      </w:divBdr>
    </w:div>
    <w:div w:id="974677440">
      <w:bodyDiv w:val="1"/>
      <w:marLeft w:val="0"/>
      <w:marRight w:val="0"/>
      <w:marTop w:val="0"/>
      <w:marBottom w:val="0"/>
      <w:divBdr>
        <w:top w:val="none" w:sz="0" w:space="0" w:color="auto"/>
        <w:left w:val="none" w:sz="0" w:space="0" w:color="auto"/>
        <w:bottom w:val="none" w:sz="0" w:space="0" w:color="auto"/>
        <w:right w:val="none" w:sz="0" w:space="0" w:color="auto"/>
      </w:divBdr>
    </w:div>
    <w:div w:id="976954255">
      <w:bodyDiv w:val="1"/>
      <w:marLeft w:val="0"/>
      <w:marRight w:val="0"/>
      <w:marTop w:val="0"/>
      <w:marBottom w:val="0"/>
      <w:divBdr>
        <w:top w:val="none" w:sz="0" w:space="0" w:color="auto"/>
        <w:left w:val="none" w:sz="0" w:space="0" w:color="auto"/>
        <w:bottom w:val="none" w:sz="0" w:space="0" w:color="auto"/>
        <w:right w:val="none" w:sz="0" w:space="0" w:color="auto"/>
      </w:divBdr>
    </w:div>
    <w:div w:id="999430936">
      <w:bodyDiv w:val="1"/>
      <w:marLeft w:val="0"/>
      <w:marRight w:val="0"/>
      <w:marTop w:val="0"/>
      <w:marBottom w:val="0"/>
      <w:divBdr>
        <w:top w:val="none" w:sz="0" w:space="0" w:color="auto"/>
        <w:left w:val="none" w:sz="0" w:space="0" w:color="auto"/>
        <w:bottom w:val="none" w:sz="0" w:space="0" w:color="auto"/>
        <w:right w:val="none" w:sz="0" w:space="0" w:color="auto"/>
      </w:divBdr>
    </w:div>
    <w:div w:id="1002856634">
      <w:bodyDiv w:val="1"/>
      <w:marLeft w:val="0"/>
      <w:marRight w:val="0"/>
      <w:marTop w:val="0"/>
      <w:marBottom w:val="0"/>
      <w:divBdr>
        <w:top w:val="none" w:sz="0" w:space="0" w:color="auto"/>
        <w:left w:val="none" w:sz="0" w:space="0" w:color="auto"/>
        <w:bottom w:val="none" w:sz="0" w:space="0" w:color="auto"/>
        <w:right w:val="none" w:sz="0" w:space="0" w:color="auto"/>
      </w:divBdr>
    </w:div>
    <w:div w:id="1059019458">
      <w:bodyDiv w:val="1"/>
      <w:marLeft w:val="0"/>
      <w:marRight w:val="0"/>
      <w:marTop w:val="0"/>
      <w:marBottom w:val="0"/>
      <w:divBdr>
        <w:top w:val="none" w:sz="0" w:space="0" w:color="auto"/>
        <w:left w:val="none" w:sz="0" w:space="0" w:color="auto"/>
        <w:bottom w:val="none" w:sz="0" w:space="0" w:color="auto"/>
        <w:right w:val="none" w:sz="0" w:space="0" w:color="auto"/>
      </w:divBdr>
    </w:div>
    <w:div w:id="1070881882">
      <w:bodyDiv w:val="1"/>
      <w:marLeft w:val="0"/>
      <w:marRight w:val="0"/>
      <w:marTop w:val="0"/>
      <w:marBottom w:val="0"/>
      <w:divBdr>
        <w:top w:val="none" w:sz="0" w:space="0" w:color="auto"/>
        <w:left w:val="none" w:sz="0" w:space="0" w:color="auto"/>
        <w:bottom w:val="none" w:sz="0" w:space="0" w:color="auto"/>
        <w:right w:val="none" w:sz="0" w:space="0" w:color="auto"/>
      </w:divBdr>
    </w:div>
    <w:div w:id="1093863727">
      <w:bodyDiv w:val="1"/>
      <w:marLeft w:val="0"/>
      <w:marRight w:val="0"/>
      <w:marTop w:val="0"/>
      <w:marBottom w:val="0"/>
      <w:divBdr>
        <w:top w:val="none" w:sz="0" w:space="0" w:color="auto"/>
        <w:left w:val="none" w:sz="0" w:space="0" w:color="auto"/>
        <w:bottom w:val="none" w:sz="0" w:space="0" w:color="auto"/>
        <w:right w:val="none" w:sz="0" w:space="0" w:color="auto"/>
      </w:divBdr>
    </w:div>
    <w:div w:id="1097212595">
      <w:bodyDiv w:val="1"/>
      <w:marLeft w:val="0"/>
      <w:marRight w:val="0"/>
      <w:marTop w:val="0"/>
      <w:marBottom w:val="0"/>
      <w:divBdr>
        <w:top w:val="none" w:sz="0" w:space="0" w:color="auto"/>
        <w:left w:val="none" w:sz="0" w:space="0" w:color="auto"/>
        <w:bottom w:val="none" w:sz="0" w:space="0" w:color="auto"/>
        <w:right w:val="none" w:sz="0" w:space="0" w:color="auto"/>
      </w:divBdr>
    </w:div>
    <w:div w:id="1101877870">
      <w:bodyDiv w:val="1"/>
      <w:marLeft w:val="0"/>
      <w:marRight w:val="0"/>
      <w:marTop w:val="0"/>
      <w:marBottom w:val="0"/>
      <w:divBdr>
        <w:top w:val="none" w:sz="0" w:space="0" w:color="auto"/>
        <w:left w:val="none" w:sz="0" w:space="0" w:color="auto"/>
        <w:bottom w:val="none" w:sz="0" w:space="0" w:color="auto"/>
        <w:right w:val="none" w:sz="0" w:space="0" w:color="auto"/>
      </w:divBdr>
    </w:div>
    <w:div w:id="1141653598">
      <w:bodyDiv w:val="1"/>
      <w:marLeft w:val="0"/>
      <w:marRight w:val="0"/>
      <w:marTop w:val="0"/>
      <w:marBottom w:val="0"/>
      <w:divBdr>
        <w:top w:val="none" w:sz="0" w:space="0" w:color="auto"/>
        <w:left w:val="none" w:sz="0" w:space="0" w:color="auto"/>
        <w:bottom w:val="none" w:sz="0" w:space="0" w:color="auto"/>
        <w:right w:val="none" w:sz="0" w:space="0" w:color="auto"/>
      </w:divBdr>
    </w:div>
    <w:div w:id="1143698616">
      <w:bodyDiv w:val="1"/>
      <w:marLeft w:val="0"/>
      <w:marRight w:val="0"/>
      <w:marTop w:val="0"/>
      <w:marBottom w:val="0"/>
      <w:divBdr>
        <w:top w:val="none" w:sz="0" w:space="0" w:color="auto"/>
        <w:left w:val="none" w:sz="0" w:space="0" w:color="auto"/>
        <w:bottom w:val="none" w:sz="0" w:space="0" w:color="auto"/>
        <w:right w:val="none" w:sz="0" w:space="0" w:color="auto"/>
      </w:divBdr>
    </w:div>
    <w:div w:id="1160270067">
      <w:bodyDiv w:val="1"/>
      <w:marLeft w:val="0"/>
      <w:marRight w:val="0"/>
      <w:marTop w:val="0"/>
      <w:marBottom w:val="0"/>
      <w:divBdr>
        <w:top w:val="none" w:sz="0" w:space="0" w:color="auto"/>
        <w:left w:val="none" w:sz="0" w:space="0" w:color="auto"/>
        <w:bottom w:val="none" w:sz="0" w:space="0" w:color="auto"/>
        <w:right w:val="none" w:sz="0" w:space="0" w:color="auto"/>
      </w:divBdr>
    </w:div>
    <w:div w:id="1163743700">
      <w:bodyDiv w:val="1"/>
      <w:marLeft w:val="0"/>
      <w:marRight w:val="0"/>
      <w:marTop w:val="0"/>
      <w:marBottom w:val="0"/>
      <w:divBdr>
        <w:top w:val="none" w:sz="0" w:space="0" w:color="auto"/>
        <w:left w:val="none" w:sz="0" w:space="0" w:color="auto"/>
        <w:bottom w:val="none" w:sz="0" w:space="0" w:color="auto"/>
        <w:right w:val="none" w:sz="0" w:space="0" w:color="auto"/>
      </w:divBdr>
    </w:div>
    <w:div w:id="1191920229">
      <w:bodyDiv w:val="1"/>
      <w:marLeft w:val="0"/>
      <w:marRight w:val="0"/>
      <w:marTop w:val="0"/>
      <w:marBottom w:val="0"/>
      <w:divBdr>
        <w:top w:val="none" w:sz="0" w:space="0" w:color="auto"/>
        <w:left w:val="none" w:sz="0" w:space="0" w:color="auto"/>
        <w:bottom w:val="none" w:sz="0" w:space="0" w:color="auto"/>
        <w:right w:val="none" w:sz="0" w:space="0" w:color="auto"/>
      </w:divBdr>
    </w:div>
    <w:div w:id="1195924315">
      <w:bodyDiv w:val="1"/>
      <w:marLeft w:val="0"/>
      <w:marRight w:val="0"/>
      <w:marTop w:val="0"/>
      <w:marBottom w:val="0"/>
      <w:divBdr>
        <w:top w:val="none" w:sz="0" w:space="0" w:color="auto"/>
        <w:left w:val="none" w:sz="0" w:space="0" w:color="auto"/>
        <w:bottom w:val="none" w:sz="0" w:space="0" w:color="auto"/>
        <w:right w:val="none" w:sz="0" w:space="0" w:color="auto"/>
      </w:divBdr>
    </w:div>
    <w:div w:id="1196623964">
      <w:bodyDiv w:val="1"/>
      <w:marLeft w:val="0"/>
      <w:marRight w:val="0"/>
      <w:marTop w:val="0"/>
      <w:marBottom w:val="0"/>
      <w:divBdr>
        <w:top w:val="none" w:sz="0" w:space="0" w:color="auto"/>
        <w:left w:val="none" w:sz="0" w:space="0" w:color="auto"/>
        <w:bottom w:val="none" w:sz="0" w:space="0" w:color="auto"/>
        <w:right w:val="none" w:sz="0" w:space="0" w:color="auto"/>
      </w:divBdr>
    </w:div>
    <w:div w:id="1208028459">
      <w:bodyDiv w:val="1"/>
      <w:marLeft w:val="0"/>
      <w:marRight w:val="0"/>
      <w:marTop w:val="0"/>
      <w:marBottom w:val="0"/>
      <w:divBdr>
        <w:top w:val="none" w:sz="0" w:space="0" w:color="auto"/>
        <w:left w:val="none" w:sz="0" w:space="0" w:color="auto"/>
        <w:bottom w:val="none" w:sz="0" w:space="0" w:color="auto"/>
        <w:right w:val="none" w:sz="0" w:space="0" w:color="auto"/>
      </w:divBdr>
    </w:div>
    <w:div w:id="1210654452">
      <w:bodyDiv w:val="1"/>
      <w:marLeft w:val="0"/>
      <w:marRight w:val="0"/>
      <w:marTop w:val="0"/>
      <w:marBottom w:val="0"/>
      <w:divBdr>
        <w:top w:val="none" w:sz="0" w:space="0" w:color="auto"/>
        <w:left w:val="none" w:sz="0" w:space="0" w:color="auto"/>
        <w:bottom w:val="none" w:sz="0" w:space="0" w:color="auto"/>
        <w:right w:val="none" w:sz="0" w:space="0" w:color="auto"/>
      </w:divBdr>
    </w:div>
    <w:div w:id="1238902702">
      <w:bodyDiv w:val="1"/>
      <w:marLeft w:val="0"/>
      <w:marRight w:val="0"/>
      <w:marTop w:val="0"/>
      <w:marBottom w:val="0"/>
      <w:divBdr>
        <w:top w:val="none" w:sz="0" w:space="0" w:color="auto"/>
        <w:left w:val="none" w:sz="0" w:space="0" w:color="auto"/>
        <w:bottom w:val="none" w:sz="0" w:space="0" w:color="auto"/>
        <w:right w:val="none" w:sz="0" w:space="0" w:color="auto"/>
      </w:divBdr>
    </w:div>
    <w:div w:id="1253736378">
      <w:bodyDiv w:val="1"/>
      <w:marLeft w:val="0"/>
      <w:marRight w:val="0"/>
      <w:marTop w:val="0"/>
      <w:marBottom w:val="0"/>
      <w:divBdr>
        <w:top w:val="none" w:sz="0" w:space="0" w:color="auto"/>
        <w:left w:val="none" w:sz="0" w:space="0" w:color="auto"/>
        <w:bottom w:val="none" w:sz="0" w:space="0" w:color="auto"/>
        <w:right w:val="none" w:sz="0" w:space="0" w:color="auto"/>
      </w:divBdr>
    </w:div>
    <w:div w:id="1255825590">
      <w:bodyDiv w:val="1"/>
      <w:marLeft w:val="0"/>
      <w:marRight w:val="0"/>
      <w:marTop w:val="0"/>
      <w:marBottom w:val="0"/>
      <w:divBdr>
        <w:top w:val="none" w:sz="0" w:space="0" w:color="auto"/>
        <w:left w:val="none" w:sz="0" w:space="0" w:color="auto"/>
        <w:bottom w:val="none" w:sz="0" w:space="0" w:color="auto"/>
        <w:right w:val="none" w:sz="0" w:space="0" w:color="auto"/>
      </w:divBdr>
    </w:div>
    <w:div w:id="1335063695">
      <w:bodyDiv w:val="1"/>
      <w:marLeft w:val="0"/>
      <w:marRight w:val="0"/>
      <w:marTop w:val="0"/>
      <w:marBottom w:val="0"/>
      <w:divBdr>
        <w:top w:val="none" w:sz="0" w:space="0" w:color="auto"/>
        <w:left w:val="none" w:sz="0" w:space="0" w:color="auto"/>
        <w:bottom w:val="none" w:sz="0" w:space="0" w:color="auto"/>
        <w:right w:val="none" w:sz="0" w:space="0" w:color="auto"/>
      </w:divBdr>
    </w:div>
    <w:div w:id="1357000634">
      <w:bodyDiv w:val="1"/>
      <w:marLeft w:val="0"/>
      <w:marRight w:val="0"/>
      <w:marTop w:val="0"/>
      <w:marBottom w:val="0"/>
      <w:divBdr>
        <w:top w:val="none" w:sz="0" w:space="0" w:color="auto"/>
        <w:left w:val="none" w:sz="0" w:space="0" w:color="auto"/>
        <w:bottom w:val="none" w:sz="0" w:space="0" w:color="auto"/>
        <w:right w:val="none" w:sz="0" w:space="0" w:color="auto"/>
      </w:divBdr>
    </w:div>
    <w:div w:id="1361198701">
      <w:bodyDiv w:val="1"/>
      <w:marLeft w:val="0"/>
      <w:marRight w:val="0"/>
      <w:marTop w:val="0"/>
      <w:marBottom w:val="0"/>
      <w:divBdr>
        <w:top w:val="none" w:sz="0" w:space="0" w:color="auto"/>
        <w:left w:val="none" w:sz="0" w:space="0" w:color="auto"/>
        <w:bottom w:val="none" w:sz="0" w:space="0" w:color="auto"/>
        <w:right w:val="none" w:sz="0" w:space="0" w:color="auto"/>
      </w:divBdr>
    </w:div>
    <w:div w:id="1379934885">
      <w:bodyDiv w:val="1"/>
      <w:marLeft w:val="0"/>
      <w:marRight w:val="0"/>
      <w:marTop w:val="0"/>
      <w:marBottom w:val="0"/>
      <w:divBdr>
        <w:top w:val="none" w:sz="0" w:space="0" w:color="auto"/>
        <w:left w:val="none" w:sz="0" w:space="0" w:color="auto"/>
        <w:bottom w:val="none" w:sz="0" w:space="0" w:color="auto"/>
        <w:right w:val="none" w:sz="0" w:space="0" w:color="auto"/>
      </w:divBdr>
    </w:div>
    <w:div w:id="1382559040">
      <w:bodyDiv w:val="1"/>
      <w:marLeft w:val="0"/>
      <w:marRight w:val="0"/>
      <w:marTop w:val="0"/>
      <w:marBottom w:val="0"/>
      <w:divBdr>
        <w:top w:val="none" w:sz="0" w:space="0" w:color="auto"/>
        <w:left w:val="none" w:sz="0" w:space="0" w:color="auto"/>
        <w:bottom w:val="none" w:sz="0" w:space="0" w:color="auto"/>
        <w:right w:val="none" w:sz="0" w:space="0" w:color="auto"/>
      </w:divBdr>
    </w:div>
    <w:div w:id="1394894199">
      <w:bodyDiv w:val="1"/>
      <w:marLeft w:val="0"/>
      <w:marRight w:val="0"/>
      <w:marTop w:val="0"/>
      <w:marBottom w:val="0"/>
      <w:divBdr>
        <w:top w:val="none" w:sz="0" w:space="0" w:color="auto"/>
        <w:left w:val="none" w:sz="0" w:space="0" w:color="auto"/>
        <w:bottom w:val="none" w:sz="0" w:space="0" w:color="auto"/>
        <w:right w:val="none" w:sz="0" w:space="0" w:color="auto"/>
      </w:divBdr>
    </w:div>
    <w:div w:id="1435250226">
      <w:bodyDiv w:val="1"/>
      <w:marLeft w:val="0"/>
      <w:marRight w:val="0"/>
      <w:marTop w:val="0"/>
      <w:marBottom w:val="0"/>
      <w:divBdr>
        <w:top w:val="none" w:sz="0" w:space="0" w:color="auto"/>
        <w:left w:val="none" w:sz="0" w:space="0" w:color="auto"/>
        <w:bottom w:val="none" w:sz="0" w:space="0" w:color="auto"/>
        <w:right w:val="none" w:sz="0" w:space="0" w:color="auto"/>
      </w:divBdr>
    </w:div>
    <w:div w:id="1463419591">
      <w:bodyDiv w:val="1"/>
      <w:marLeft w:val="0"/>
      <w:marRight w:val="0"/>
      <w:marTop w:val="0"/>
      <w:marBottom w:val="0"/>
      <w:divBdr>
        <w:top w:val="none" w:sz="0" w:space="0" w:color="auto"/>
        <w:left w:val="none" w:sz="0" w:space="0" w:color="auto"/>
        <w:bottom w:val="none" w:sz="0" w:space="0" w:color="auto"/>
        <w:right w:val="none" w:sz="0" w:space="0" w:color="auto"/>
      </w:divBdr>
    </w:div>
    <w:div w:id="1470900449">
      <w:bodyDiv w:val="1"/>
      <w:marLeft w:val="0"/>
      <w:marRight w:val="0"/>
      <w:marTop w:val="0"/>
      <w:marBottom w:val="0"/>
      <w:divBdr>
        <w:top w:val="none" w:sz="0" w:space="0" w:color="auto"/>
        <w:left w:val="none" w:sz="0" w:space="0" w:color="auto"/>
        <w:bottom w:val="none" w:sz="0" w:space="0" w:color="auto"/>
        <w:right w:val="none" w:sz="0" w:space="0" w:color="auto"/>
      </w:divBdr>
    </w:div>
    <w:div w:id="1472870244">
      <w:bodyDiv w:val="1"/>
      <w:marLeft w:val="0"/>
      <w:marRight w:val="0"/>
      <w:marTop w:val="0"/>
      <w:marBottom w:val="0"/>
      <w:divBdr>
        <w:top w:val="none" w:sz="0" w:space="0" w:color="auto"/>
        <w:left w:val="none" w:sz="0" w:space="0" w:color="auto"/>
        <w:bottom w:val="none" w:sz="0" w:space="0" w:color="auto"/>
        <w:right w:val="none" w:sz="0" w:space="0" w:color="auto"/>
      </w:divBdr>
    </w:div>
    <w:div w:id="1474523795">
      <w:bodyDiv w:val="1"/>
      <w:marLeft w:val="0"/>
      <w:marRight w:val="0"/>
      <w:marTop w:val="0"/>
      <w:marBottom w:val="0"/>
      <w:divBdr>
        <w:top w:val="none" w:sz="0" w:space="0" w:color="auto"/>
        <w:left w:val="none" w:sz="0" w:space="0" w:color="auto"/>
        <w:bottom w:val="none" w:sz="0" w:space="0" w:color="auto"/>
        <w:right w:val="none" w:sz="0" w:space="0" w:color="auto"/>
      </w:divBdr>
    </w:div>
    <w:div w:id="1486433920">
      <w:bodyDiv w:val="1"/>
      <w:marLeft w:val="0"/>
      <w:marRight w:val="0"/>
      <w:marTop w:val="0"/>
      <w:marBottom w:val="0"/>
      <w:divBdr>
        <w:top w:val="none" w:sz="0" w:space="0" w:color="auto"/>
        <w:left w:val="none" w:sz="0" w:space="0" w:color="auto"/>
        <w:bottom w:val="none" w:sz="0" w:space="0" w:color="auto"/>
        <w:right w:val="none" w:sz="0" w:space="0" w:color="auto"/>
      </w:divBdr>
    </w:div>
    <w:div w:id="1500346857">
      <w:bodyDiv w:val="1"/>
      <w:marLeft w:val="0"/>
      <w:marRight w:val="0"/>
      <w:marTop w:val="0"/>
      <w:marBottom w:val="0"/>
      <w:divBdr>
        <w:top w:val="none" w:sz="0" w:space="0" w:color="auto"/>
        <w:left w:val="none" w:sz="0" w:space="0" w:color="auto"/>
        <w:bottom w:val="none" w:sz="0" w:space="0" w:color="auto"/>
        <w:right w:val="none" w:sz="0" w:space="0" w:color="auto"/>
      </w:divBdr>
    </w:div>
    <w:div w:id="1517884992">
      <w:bodyDiv w:val="1"/>
      <w:marLeft w:val="0"/>
      <w:marRight w:val="0"/>
      <w:marTop w:val="0"/>
      <w:marBottom w:val="0"/>
      <w:divBdr>
        <w:top w:val="none" w:sz="0" w:space="0" w:color="auto"/>
        <w:left w:val="none" w:sz="0" w:space="0" w:color="auto"/>
        <w:bottom w:val="none" w:sz="0" w:space="0" w:color="auto"/>
        <w:right w:val="none" w:sz="0" w:space="0" w:color="auto"/>
      </w:divBdr>
    </w:div>
    <w:div w:id="1518155305">
      <w:bodyDiv w:val="1"/>
      <w:marLeft w:val="0"/>
      <w:marRight w:val="0"/>
      <w:marTop w:val="0"/>
      <w:marBottom w:val="0"/>
      <w:divBdr>
        <w:top w:val="none" w:sz="0" w:space="0" w:color="auto"/>
        <w:left w:val="none" w:sz="0" w:space="0" w:color="auto"/>
        <w:bottom w:val="none" w:sz="0" w:space="0" w:color="auto"/>
        <w:right w:val="none" w:sz="0" w:space="0" w:color="auto"/>
      </w:divBdr>
    </w:div>
    <w:div w:id="1525292025">
      <w:bodyDiv w:val="1"/>
      <w:marLeft w:val="0"/>
      <w:marRight w:val="0"/>
      <w:marTop w:val="0"/>
      <w:marBottom w:val="0"/>
      <w:divBdr>
        <w:top w:val="none" w:sz="0" w:space="0" w:color="auto"/>
        <w:left w:val="none" w:sz="0" w:space="0" w:color="auto"/>
        <w:bottom w:val="none" w:sz="0" w:space="0" w:color="auto"/>
        <w:right w:val="none" w:sz="0" w:space="0" w:color="auto"/>
      </w:divBdr>
    </w:div>
    <w:div w:id="1529559608">
      <w:bodyDiv w:val="1"/>
      <w:marLeft w:val="0"/>
      <w:marRight w:val="0"/>
      <w:marTop w:val="0"/>
      <w:marBottom w:val="0"/>
      <w:divBdr>
        <w:top w:val="none" w:sz="0" w:space="0" w:color="auto"/>
        <w:left w:val="none" w:sz="0" w:space="0" w:color="auto"/>
        <w:bottom w:val="none" w:sz="0" w:space="0" w:color="auto"/>
        <w:right w:val="none" w:sz="0" w:space="0" w:color="auto"/>
      </w:divBdr>
    </w:div>
    <w:div w:id="1533952677">
      <w:bodyDiv w:val="1"/>
      <w:marLeft w:val="0"/>
      <w:marRight w:val="0"/>
      <w:marTop w:val="0"/>
      <w:marBottom w:val="0"/>
      <w:divBdr>
        <w:top w:val="none" w:sz="0" w:space="0" w:color="auto"/>
        <w:left w:val="none" w:sz="0" w:space="0" w:color="auto"/>
        <w:bottom w:val="none" w:sz="0" w:space="0" w:color="auto"/>
        <w:right w:val="none" w:sz="0" w:space="0" w:color="auto"/>
      </w:divBdr>
    </w:div>
    <w:div w:id="1543176909">
      <w:bodyDiv w:val="1"/>
      <w:marLeft w:val="0"/>
      <w:marRight w:val="0"/>
      <w:marTop w:val="0"/>
      <w:marBottom w:val="0"/>
      <w:divBdr>
        <w:top w:val="none" w:sz="0" w:space="0" w:color="auto"/>
        <w:left w:val="none" w:sz="0" w:space="0" w:color="auto"/>
        <w:bottom w:val="none" w:sz="0" w:space="0" w:color="auto"/>
        <w:right w:val="none" w:sz="0" w:space="0" w:color="auto"/>
      </w:divBdr>
    </w:div>
    <w:div w:id="1551916739">
      <w:bodyDiv w:val="1"/>
      <w:marLeft w:val="0"/>
      <w:marRight w:val="0"/>
      <w:marTop w:val="0"/>
      <w:marBottom w:val="0"/>
      <w:divBdr>
        <w:top w:val="none" w:sz="0" w:space="0" w:color="auto"/>
        <w:left w:val="none" w:sz="0" w:space="0" w:color="auto"/>
        <w:bottom w:val="none" w:sz="0" w:space="0" w:color="auto"/>
        <w:right w:val="none" w:sz="0" w:space="0" w:color="auto"/>
      </w:divBdr>
    </w:div>
    <w:div w:id="1588346611">
      <w:bodyDiv w:val="1"/>
      <w:marLeft w:val="0"/>
      <w:marRight w:val="0"/>
      <w:marTop w:val="0"/>
      <w:marBottom w:val="0"/>
      <w:divBdr>
        <w:top w:val="none" w:sz="0" w:space="0" w:color="auto"/>
        <w:left w:val="none" w:sz="0" w:space="0" w:color="auto"/>
        <w:bottom w:val="none" w:sz="0" w:space="0" w:color="auto"/>
        <w:right w:val="none" w:sz="0" w:space="0" w:color="auto"/>
      </w:divBdr>
    </w:div>
    <w:div w:id="1592741837">
      <w:bodyDiv w:val="1"/>
      <w:marLeft w:val="0"/>
      <w:marRight w:val="0"/>
      <w:marTop w:val="0"/>
      <w:marBottom w:val="0"/>
      <w:divBdr>
        <w:top w:val="none" w:sz="0" w:space="0" w:color="auto"/>
        <w:left w:val="none" w:sz="0" w:space="0" w:color="auto"/>
        <w:bottom w:val="none" w:sz="0" w:space="0" w:color="auto"/>
        <w:right w:val="none" w:sz="0" w:space="0" w:color="auto"/>
      </w:divBdr>
    </w:div>
    <w:div w:id="1642229456">
      <w:bodyDiv w:val="1"/>
      <w:marLeft w:val="0"/>
      <w:marRight w:val="0"/>
      <w:marTop w:val="0"/>
      <w:marBottom w:val="0"/>
      <w:divBdr>
        <w:top w:val="none" w:sz="0" w:space="0" w:color="auto"/>
        <w:left w:val="none" w:sz="0" w:space="0" w:color="auto"/>
        <w:bottom w:val="none" w:sz="0" w:space="0" w:color="auto"/>
        <w:right w:val="none" w:sz="0" w:space="0" w:color="auto"/>
      </w:divBdr>
    </w:div>
    <w:div w:id="1674525932">
      <w:bodyDiv w:val="1"/>
      <w:marLeft w:val="0"/>
      <w:marRight w:val="0"/>
      <w:marTop w:val="0"/>
      <w:marBottom w:val="0"/>
      <w:divBdr>
        <w:top w:val="none" w:sz="0" w:space="0" w:color="auto"/>
        <w:left w:val="none" w:sz="0" w:space="0" w:color="auto"/>
        <w:bottom w:val="none" w:sz="0" w:space="0" w:color="auto"/>
        <w:right w:val="none" w:sz="0" w:space="0" w:color="auto"/>
      </w:divBdr>
    </w:div>
    <w:div w:id="1683966495">
      <w:bodyDiv w:val="1"/>
      <w:marLeft w:val="0"/>
      <w:marRight w:val="0"/>
      <w:marTop w:val="0"/>
      <w:marBottom w:val="0"/>
      <w:divBdr>
        <w:top w:val="none" w:sz="0" w:space="0" w:color="auto"/>
        <w:left w:val="none" w:sz="0" w:space="0" w:color="auto"/>
        <w:bottom w:val="none" w:sz="0" w:space="0" w:color="auto"/>
        <w:right w:val="none" w:sz="0" w:space="0" w:color="auto"/>
      </w:divBdr>
    </w:div>
    <w:div w:id="1683975990">
      <w:bodyDiv w:val="1"/>
      <w:marLeft w:val="0"/>
      <w:marRight w:val="0"/>
      <w:marTop w:val="0"/>
      <w:marBottom w:val="0"/>
      <w:divBdr>
        <w:top w:val="none" w:sz="0" w:space="0" w:color="auto"/>
        <w:left w:val="none" w:sz="0" w:space="0" w:color="auto"/>
        <w:bottom w:val="none" w:sz="0" w:space="0" w:color="auto"/>
        <w:right w:val="none" w:sz="0" w:space="0" w:color="auto"/>
      </w:divBdr>
    </w:div>
    <w:div w:id="1703096501">
      <w:bodyDiv w:val="1"/>
      <w:marLeft w:val="0"/>
      <w:marRight w:val="0"/>
      <w:marTop w:val="0"/>
      <w:marBottom w:val="0"/>
      <w:divBdr>
        <w:top w:val="none" w:sz="0" w:space="0" w:color="auto"/>
        <w:left w:val="none" w:sz="0" w:space="0" w:color="auto"/>
        <w:bottom w:val="none" w:sz="0" w:space="0" w:color="auto"/>
        <w:right w:val="none" w:sz="0" w:space="0" w:color="auto"/>
      </w:divBdr>
    </w:div>
    <w:div w:id="1704669743">
      <w:bodyDiv w:val="1"/>
      <w:marLeft w:val="0"/>
      <w:marRight w:val="0"/>
      <w:marTop w:val="0"/>
      <w:marBottom w:val="0"/>
      <w:divBdr>
        <w:top w:val="none" w:sz="0" w:space="0" w:color="auto"/>
        <w:left w:val="none" w:sz="0" w:space="0" w:color="auto"/>
        <w:bottom w:val="none" w:sz="0" w:space="0" w:color="auto"/>
        <w:right w:val="none" w:sz="0" w:space="0" w:color="auto"/>
      </w:divBdr>
    </w:div>
    <w:div w:id="1725834242">
      <w:bodyDiv w:val="1"/>
      <w:marLeft w:val="0"/>
      <w:marRight w:val="0"/>
      <w:marTop w:val="0"/>
      <w:marBottom w:val="0"/>
      <w:divBdr>
        <w:top w:val="none" w:sz="0" w:space="0" w:color="auto"/>
        <w:left w:val="none" w:sz="0" w:space="0" w:color="auto"/>
        <w:bottom w:val="none" w:sz="0" w:space="0" w:color="auto"/>
        <w:right w:val="none" w:sz="0" w:space="0" w:color="auto"/>
      </w:divBdr>
    </w:div>
    <w:div w:id="1728994476">
      <w:bodyDiv w:val="1"/>
      <w:marLeft w:val="0"/>
      <w:marRight w:val="0"/>
      <w:marTop w:val="0"/>
      <w:marBottom w:val="0"/>
      <w:divBdr>
        <w:top w:val="none" w:sz="0" w:space="0" w:color="auto"/>
        <w:left w:val="none" w:sz="0" w:space="0" w:color="auto"/>
        <w:bottom w:val="none" w:sz="0" w:space="0" w:color="auto"/>
        <w:right w:val="none" w:sz="0" w:space="0" w:color="auto"/>
      </w:divBdr>
    </w:div>
    <w:div w:id="1729379163">
      <w:bodyDiv w:val="1"/>
      <w:marLeft w:val="0"/>
      <w:marRight w:val="0"/>
      <w:marTop w:val="0"/>
      <w:marBottom w:val="0"/>
      <w:divBdr>
        <w:top w:val="none" w:sz="0" w:space="0" w:color="auto"/>
        <w:left w:val="none" w:sz="0" w:space="0" w:color="auto"/>
        <w:bottom w:val="none" w:sz="0" w:space="0" w:color="auto"/>
        <w:right w:val="none" w:sz="0" w:space="0" w:color="auto"/>
      </w:divBdr>
    </w:div>
    <w:div w:id="1734547573">
      <w:bodyDiv w:val="1"/>
      <w:marLeft w:val="0"/>
      <w:marRight w:val="0"/>
      <w:marTop w:val="0"/>
      <w:marBottom w:val="0"/>
      <w:divBdr>
        <w:top w:val="none" w:sz="0" w:space="0" w:color="auto"/>
        <w:left w:val="none" w:sz="0" w:space="0" w:color="auto"/>
        <w:bottom w:val="none" w:sz="0" w:space="0" w:color="auto"/>
        <w:right w:val="none" w:sz="0" w:space="0" w:color="auto"/>
      </w:divBdr>
    </w:div>
    <w:div w:id="1783257113">
      <w:bodyDiv w:val="1"/>
      <w:marLeft w:val="0"/>
      <w:marRight w:val="0"/>
      <w:marTop w:val="0"/>
      <w:marBottom w:val="0"/>
      <w:divBdr>
        <w:top w:val="none" w:sz="0" w:space="0" w:color="auto"/>
        <w:left w:val="none" w:sz="0" w:space="0" w:color="auto"/>
        <w:bottom w:val="none" w:sz="0" w:space="0" w:color="auto"/>
        <w:right w:val="none" w:sz="0" w:space="0" w:color="auto"/>
      </w:divBdr>
    </w:div>
    <w:div w:id="1795369438">
      <w:bodyDiv w:val="1"/>
      <w:marLeft w:val="0"/>
      <w:marRight w:val="0"/>
      <w:marTop w:val="0"/>
      <w:marBottom w:val="0"/>
      <w:divBdr>
        <w:top w:val="none" w:sz="0" w:space="0" w:color="auto"/>
        <w:left w:val="none" w:sz="0" w:space="0" w:color="auto"/>
        <w:bottom w:val="none" w:sz="0" w:space="0" w:color="auto"/>
        <w:right w:val="none" w:sz="0" w:space="0" w:color="auto"/>
      </w:divBdr>
    </w:div>
    <w:div w:id="1813056320">
      <w:bodyDiv w:val="1"/>
      <w:marLeft w:val="0"/>
      <w:marRight w:val="0"/>
      <w:marTop w:val="0"/>
      <w:marBottom w:val="0"/>
      <w:divBdr>
        <w:top w:val="none" w:sz="0" w:space="0" w:color="auto"/>
        <w:left w:val="none" w:sz="0" w:space="0" w:color="auto"/>
        <w:bottom w:val="none" w:sz="0" w:space="0" w:color="auto"/>
        <w:right w:val="none" w:sz="0" w:space="0" w:color="auto"/>
      </w:divBdr>
    </w:div>
    <w:div w:id="1855224390">
      <w:bodyDiv w:val="1"/>
      <w:marLeft w:val="0"/>
      <w:marRight w:val="0"/>
      <w:marTop w:val="0"/>
      <w:marBottom w:val="0"/>
      <w:divBdr>
        <w:top w:val="none" w:sz="0" w:space="0" w:color="auto"/>
        <w:left w:val="none" w:sz="0" w:space="0" w:color="auto"/>
        <w:bottom w:val="none" w:sz="0" w:space="0" w:color="auto"/>
        <w:right w:val="none" w:sz="0" w:space="0" w:color="auto"/>
      </w:divBdr>
    </w:div>
    <w:div w:id="1891309432">
      <w:bodyDiv w:val="1"/>
      <w:marLeft w:val="0"/>
      <w:marRight w:val="0"/>
      <w:marTop w:val="0"/>
      <w:marBottom w:val="0"/>
      <w:divBdr>
        <w:top w:val="none" w:sz="0" w:space="0" w:color="auto"/>
        <w:left w:val="none" w:sz="0" w:space="0" w:color="auto"/>
        <w:bottom w:val="none" w:sz="0" w:space="0" w:color="auto"/>
        <w:right w:val="none" w:sz="0" w:space="0" w:color="auto"/>
      </w:divBdr>
    </w:div>
    <w:div w:id="1930040124">
      <w:bodyDiv w:val="1"/>
      <w:marLeft w:val="0"/>
      <w:marRight w:val="0"/>
      <w:marTop w:val="0"/>
      <w:marBottom w:val="0"/>
      <w:divBdr>
        <w:top w:val="none" w:sz="0" w:space="0" w:color="auto"/>
        <w:left w:val="none" w:sz="0" w:space="0" w:color="auto"/>
        <w:bottom w:val="none" w:sz="0" w:space="0" w:color="auto"/>
        <w:right w:val="none" w:sz="0" w:space="0" w:color="auto"/>
      </w:divBdr>
    </w:div>
    <w:div w:id="1978802767">
      <w:bodyDiv w:val="1"/>
      <w:marLeft w:val="0"/>
      <w:marRight w:val="0"/>
      <w:marTop w:val="0"/>
      <w:marBottom w:val="0"/>
      <w:divBdr>
        <w:top w:val="none" w:sz="0" w:space="0" w:color="auto"/>
        <w:left w:val="none" w:sz="0" w:space="0" w:color="auto"/>
        <w:bottom w:val="none" w:sz="0" w:space="0" w:color="auto"/>
        <w:right w:val="none" w:sz="0" w:space="0" w:color="auto"/>
      </w:divBdr>
    </w:div>
    <w:div w:id="1983926619">
      <w:bodyDiv w:val="1"/>
      <w:marLeft w:val="0"/>
      <w:marRight w:val="0"/>
      <w:marTop w:val="0"/>
      <w:marBottom w:val="0"/>
      <w:divBdr>
        <w:top w:val="none" w:sz="0" w:space="0" w:color="auto"/>
        <w:left w:val="none" w:sz="0" w:space="0" w:color="auto"/>
        <w:bottom w:val="none" w:sz="0" w:space="0" w:color="auto"/>
        <w:right w:val="none" w:sz="0" w:space="0" w:color="auto"/>
      </w:divBdr>
    </w:div>
    <w:div w:id="1997608128">
      <w:bodyDiv w:val="1"/>
      <w:marLeft w:val="0"/>
      <w:marRight w:val="0"/>
      <w:marTop w:val="0"/>
      <w:marBottom w:val="0"/>
      <w:divBdr>
        <w:top w:val="none" w:sz="0" w:space="0" w:color="auto"/>
        <w:left w:val="none" w:sz="0" w:space="0" w:color="auto"/>
        <w:bottom w:val="none" w:sz="0" w:space="0" w:color="auto"/>
        <w:right w:val="none" w:sz="0" w:space="0" w:color="auto"/>
      </w:divBdr>
    </w:div>
    <w:div w:id="2020697111">
      <w:bodyDiv w:val="1"/>
      <w:marLeft w:val="0"/>
      <w:marRight w:val="0"/>
      <w:marTop w:val="0"/>
      <w:marBottom w:val="0"/>
      <w:divBdr>
        <w:top w:val="none" w:sz="0" w:space="0" w:color="auto"/>
        <w:left w:val="none" w:sz="0" w:space="0" w:color="auto"/>
        <w:bottom w:val="none" w:sz="0" w:space="0" w:color="auto"/>
        <w:right w:val="none" w:sz="0" w:space="0" w:color="auto"/>
      </w:divBdr>
    </w:div>
    <w:div w:id="2041006494">
      <w:bodyDiv w:val="1"/>
      <w:marLeft w:val="0"/>
      <w:marRight w:val="0"/>
      <w:marTop w:val="0"/>
      <w:marBottom w:val="0"/>
      <w:divBdr>
        <w:top w:val="none" w:sz="0" w:space="0" w:color="auto"/>
        <w:left w:val="none" w:sz="0" w:space="0" w:color="auto"/>
        <w:bottom w:val="none" w:sz="0" w:space="0" w:color="auto"/>
        <w:right w:val="none" w:sz="0" w:space="0" w:color="auto"/>
      </w:divBdr>
    </w:div>
    <w:div w:id="2057967139">
      <w:bodyDiv w:val="1"/>
      <w:marLeft w:val="0"/>
      <w:marRight w:val="0"/>
      <w:marTop w:val="0"/>
      <w:marBottom w:val="0"/>
      <w:divBdr>
        <w:top w:val="none" w:sz="0" w:space="0" w:color="auto"/>
        <w:left w:val="none" w:sz="0" w:space="0" w:color="auto"/>
        <w:bottom w:val="none" w:sz="0" w:space="0" w:color="auto"/>
        <w:right w:val="none" w:sz="0" w:space="0" w:color="auto"/>
      </w:divBdr>
    </w:div>
    <w:div w:id="2061975277">
      <w:bodyDiv w:val="1"/>
      <w:marLeft w:val="0"/>
      <w:marRight w:val="0"/>
      <w:marTop w:val="0"/>
      <w:marBottom w:val="0"/>
      <w:divBdr>
        <w:top w:val="none" w:sz="0" w:space="0" w:color="auto"/>
        <w:left w:val="none" w:sz="0" w:space="0" w:color="auto"/>
        <w:bottom w:val="none" w:sz="0" w:space="0" w:color="auto"/>
        <w:right w:val="none" w:sz="0" w:space="0" w:color="auto"/>
      </w:divBdr>
    </w:div>
    <w:div w:id="2094087241">
      <w:bodyDiv w:val="1"/>
      <w:marLeft w:val="0"/>
      <w:marRight w:val="0"/>
      <w:marTop w:val="0"/>
      <w:marBottom w:val="0"/>
      <w:divBdr>
        <w:top w:val="none" w:sz="0" w:space="0" w:color="auto"/>
        <w:left w:val="none" w:sz="0" w:space="0" w:color="auto"/>
        <w:bottom w:val="none" w:sz="0" w:space="0" w:color="auto"/>
        <w:right w:val="none" w:sz="0" w:space="0" w:color="auto"/>
      </w:divBdr>
    </w:div>
    <w:div w:id="2099984454">
      <w:bodyDiv w:val="1"/>
      <w:marLeft w:val="0"/>
      <w:marRight w:val="0"/>
      <w:marTop w:val="0"/>
      <w:marBottom w:val="0"/>
      <w:divBdr>
        <w:top w:val="none" w:sz="0" w:space="0" w:color="auto"/>
        <w:left w:val="none" w:sz="0" w:space="0" w:color="auto"/>
        <w:bottom w:val="none" w:sz="0" w:space="0" w:color="auto"/>
        <w:right w:val="none" w:sz="0" w:space="0" w:color="auto"/>
      </w:divBdr>
    </w:div>
    <w:div w:id="2109807562">
      <w:bodyDiv w:val="1"/>
      <w:marLeft w:val="0"/>
      <w:marRight w:val="0"/>
      <w:marTop w:val="0"/>
      <w:marBottom w:val="0"/>
      <w:divBdr>
        <w:top w:val="none" w:sz="0" w:space="0" w:color="auto"/>
        <w:left w:val="none" w:sz="0" w:space="0" w:color="auto"/>
        <w:bottom w:val="none" w:sz="0" w:space="0" w:color="auto"/>
        <w:right w:val="none" w:sz="0" w:space="0" w:color="auto"/>
      </w:divBdr>
    </w:div>
    <w:div w:id="213995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5.xml"/><Relationship Id="rId26" Type="http://schemas.openxmlformats.org/officeDocument/2006/relationships/chart" Target="charts/chart13.xml"/><Relationship Id="rId39" Type="http://schemas.openxmlformats.org/officeDocument/2006/relationships/image" Target="media/image14.png"/><Relationship Id="rId21" Type="http://schemas.openxmlformats.org/officeDocument/2006/relationships/chart" Target="charts/chart8.xml"/><Relationship Id="rId34" Type="http://schemas.openxmlformats.org/officeDocument/2006/relationships/image" Target="media/image9.png"/><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image" Target="media/image30.png"/><Relationship Id="rId63" Type="http://schemas.openxmlformats.org/officeDocument/2006/relationships/chart" Target="charts/chart19.xml"/><Relationship Id="rId68" Type="http://schemas.openxmlformats.org/officeDocument/2006/relationships/chart" Target="charts/chart24.xml"/><Relationship Id="rId76" Type="http://schemas.openxmlformats.org/officeDocument/2006/relationships/image" Target="media/image40.png"/><Relationship Id="rId84" Type="http://schemas.openxmlformats.org/officeDocument/2006/relationships/chart" Target="charts/chart26.xml"/><Relationship Id="rId7" Type="http://schemas.openxmlformats.org/officeDocument/2006/relationships/endnotes" Target="endnotes.xml"/><Relationship Id="rId71" Type="http://schemas.openxmlformats.org/officeDocument/2006/relationships/image" Target="media/image35.png"/><Relationship Id="rId2" Type="http://schemas.openxmlformats.org/officeDocument/2006/relationships/numbering" Target="numbering.xml"/><Relationship Id="rId16" Type="http://schemas.openxmlformats.org/officeDocument/2006/relationships/chart" Target="charts/chart3.xml"/><Relationship Id="rId29" Type="http://schemas.openxmlformats.org/officeDocument/2006/relationships/image" Target="media/image4.png"/><Relationship Id="rId11" Type="http://schemas.openxmlformats.org/officeDocument/2006/relationships/image" Target="media/image1.jpeg"/><Relationship Id="rId24" Type="http://schemas.openxmlformats.org/officeDocument/2006/relationships/chart" Target="charts/chart11.xm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20.png"/><Relationship Id="rId53" Type="http://schemas.openxmlformats.org/officeDocument/2006/relationships/image" Target="media/image28.png"/><Relationship Id="rId58" Type="http://schemas.openxmlformats.org/officeDocument/2006/relationships/image" Target="media/image33.png"/><Relationship Id="rId66" Type="http://schemas.openxmlformats.org/officeDocument/2006/relationships/chart" Target="charts/chart22.xml"/><Relationship Id="rId74" Type="http://schemas.openxmlformats.org/officeDocument/2006/relationships/image" Target="media/image38.png"/><Relationship Id="rId79" Type="http://schemas.openxmlformats.org/officeDocument/2006/relationships/image" Target="media/image43.png"/><Relationship Id="rId5" Type="http://schemas.openxmlformats.org/officeDocument/2006/relationships/webSettings" Target="webSettings.xml"/><Relationship Id="rId61" Type="http://schemas.openxmlformats.org/officeDocument/2006/relationships/chart" Target="charts/chart17.xml"/><Relationship Id="rId82" Type="http://schemas.openxmlformats.org/officeDocument/2006/relationships/image" Target="media/image46.png"/><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image" Target="media/image23.png"/><Relationship Id="rId56" Type="http://schemas.openxmlformats.org/officeDocument/2006/relationships/image" Target="media/image31.png"/><Relationship Id="rId64" Type="http://schemas.openxmlformats.org/officeDocument/2006/relationships/chart" Target="charts/chart20.xml"/><Relationship Id="rId69" Type="http://schemas.openxmlformats.org/officeDocument/2006/relationships/chart" Target="charts/chart25.xml"/><Relationship Id="rId77" Type="http://schemas.openxmlformats.org/officeDocument/2006/relationships/image" Target="media/image41.png"/><Relationship Id="rId8" Type="http://schemas.openxmlformats.org/officeDocument/2006/relationships/header" Target="header1.xml"/><Relationship Id="rId51" Type="http://schemas.openxmlformats.org/officeDocument/2006/relationships/image" Target="media/image26.png"/><Relationship Id="rId72" Type="http://schemas.openxmlformats.org/officeDocument/2006/relationships/image" Target="media/image36.png"/><Relationship Id="rId80" Type="http://schemas.openxmlformats.org/officeDocument/2006/relationships/image" Target="media/image44.pn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image" Target="media/image21.png"/><Relationship Id="rId59" Type="http://schemas.openxmlformats.org/officeDocument/2006/relationships/chart" Target="charts/chart15.xml"/><Relationship Id="rId67" Type="http://schemas.openxmlformats.org/officeDocument/2006/relationships/chart" Target="charts/chart23.xml"/><Relationship Id="rId20" Type="http://schemas.openxmlformats.org/officeDocument/2006/relationships/chart" Target="charts/chart7.xml"/><Relationship Id="rId41" Type="http://schemas.openxmlformats.org/officeDocument/2006/relationships/image" Target="media/image16.png"/><Relationship Id="rId54" Type="http://schemas.openxmlformats.org/officeDocument/2006/relationships/image" Target="media/image29.png"/><Relationship Id="rId62" Type="http://schemas.openxmlformats.org/officeDocument/2006/relationships/chart" Target="charts/chart18.xml"/><Relationship Id="rId70" Type="http://schemas.openxmlformats.org/officeDocument/2006/relationships/image" Target="media/image34.png"/><Relationship Id="rId75" Type="http://schemas.openxmlformats.org/officeDocument/2006/relationships/image" Target="media/image39.png"/><Relationship Id="rId83"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chart" Target="charts/chart10.xml"/><Relationship Id="rId28" Type="http://schemas.openxmlformats.org/officeDocument/2006/relationships/image" Target="media/image3.png"/><Relationship Id="rId36" Type="http://schemas.openxmlformats.org/officeDocument/2006/relationships/image" Target="media/image11.png"/><Relationship Id="rId49" Type="http://schemas.openxmlformats.org/officeDocument/2006/relationships/image" Target="media/image24.png"/><Relationship Id="rId57" Type="http://schemas.openxmlformats.org/officeDocument/2006/relationships/image" Target="media/image32.png"/><Relationship Id="rId10" Type="http://schemas.openxmlformats.org/officeDocument/2006/relationships/footer" Target="footer2.xml"/><Relationship Id="rId31" Type="http://schemas.openxmlformats.org/officeDocument/2006/relationships/image" Target="media/image6.png"/><Relationship Id="rId44" Type="http://schemas.openxmlformats.org/officeDocument/2006/relationships/image" Target="media/image19.png"/><Relationship Id="rId52" Type="http://schemas.openxmlformats.org/officeDocument/2006/relationships/image" Target="media/image27.png"/><Relationship Id="rId60" Type="http://schemas.openxmlformats.org/officeDocument/2006/relationships/chart" Target="charts/chart16.xml"/><Relationship Id="rId65" Type="http://schemas.openxmlformats.org/officeDocument/2006/relationships/chart" Target="charts/chart21.xml"/><Relationship Id="rId73" Type="http://schemas.openxmlformats.org/officeDocument/2006/relationships/image" Target="media/image37.png"/><Relationship Id="rId78" Type="http://schemas.openxmlformats.org/officeDocument/2006/relationships/image" Target="media/image42.png"/><Relationship Id="rId81" Type="http://schemas.openxmlformats.org/officeDocument/2006/relationships/image" Target="media/image45.png"/><Relationship Id="rId86"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vsykes\Desktop\Work\Virginia-UT\Research\Switchgrass\Rust%20Ethanol%20Studies\Switchgrass%20Rust%20Data.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F:\Synch%20Work\Virginia-UT\Research\Switchgrass\Diallel\Analysis\Tables\2014%20Analysis%20Diallel%20Field.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F:\Synch%20Work\Virginia-UT\Research\Switchgrass\Diallel\Analysis\Tables\2014%20Analysis%20Diallel%20Field.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F:\Synch%20Work\Virginia-UT\Research\Switchgrass\Diallel\Analysis\Tables\2014%20Analysis%20Diallel%20Field.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F:\Synch%20Work\Virginia-UT\Research\Switchgrass\Diallel\Analysis\Tables\2014%20Analysis%20Diallel%20Field.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F:\Synch%20Work\Virginia-UT\Research\Switchgrass\Diallel\Analysis\Tables\2014%20Analysis%20Diallel%20Field.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F:\Synch%20Work\Virginia-UT\Research\Switchgrass\Diallel\Analysis\Tables\2014%20Maturity.xls"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F:\Synch%20Work\Virginia-UT\Research\Switchgrass\Diallel\Analysis\Tables\2014%20Maturity.xls"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F:\Synch%20Work\Virginia-UT\Research\Switchgrass\Diallel\Analysis\Tables\2014%20Maturity.xls"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vsykes\Desktop\Work\Virginia-UT\Research\Switchgrass\Diallel\Analysis\Tables\2014%20Maturity.xls"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F:\Synch%20Work\Virginia-UT\Research\Switchgrass\Diallel\Analysis\Tables\2014%20maturity%20selection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vsykes\Desktop\Work\Virginia-UT\Research\Switchgrass\Rust%20Ethanol%20Studies\Switchgrass%20Rust%20Data.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F:\Synch%20Work\Virginia-UT\Research\Switchgrass\Diallel\Analysis\Tables\2014%20maturity%20selections.xlsx" TargetMode="External"/></Relationships>
</file>

<file path=word/charts/_rels/chart21.xml.rels><?xml version="1.0" encoding="UTF-8" standalone="yes"?>
<Relationships xmlns="http://schemas.openxmlformats.org/package/2006/relationships"><Relationship Id="rId3" Type="http://schemas.openxmlformats.org/officeDocument/2006/relationships/oleObject" Target="file:///C:\Users\vsykes\Desktop\Work\Virginia-UT\Research\Switchgrass\Diallel\Analysis\SP%20vs%20SW\2014%20Analysis%20Diallel%20Space%20vs%20Sward.xlsx" TargetMode="External"/><Relationship Id="rId2" Type="http://schemas.microsoft.com/office/2011/relationships/chartColorStyle" Target="colors1.xml"/><Relationship Id="rId1" Type="http://schemas.microsoft.com/office/2011/relationships/chartStyle" Target="style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vsykes\Desktop\Work\Virginia-UT\Research\Switchgrass\Diallel\Analysis\SP%20vs%20SW\2014%20Analysis%20Diallel%20Space%20vs%20Sward.xlsx" TargetMode="External"/><Relationship Id="rId2" Type="http://schemas.microsoft.com/office/2011/relationships/chartColorStyle" Target="colors2.xml"/><Relationship Id="rId1" Type="http://schemas.microsoft.com/office/2011/relationships/chartStyle" Target="style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vsykes\Desktop\Work\Virginia-UT\Research\Switchgrass\Diallel\Analysis\SP%20vs%20SW\2014%20Analysis%20Diallel%20Space%20vs%20Sward.xlsx" TargetMode="External"/><Relationship Id="rId2" Type="http://schemas.microsoft.com/office/2011/relationships/chartColorStyle" Target="colors3.xml"/><Relationship Id="rId1" Type="http://schemas.microsoft.com/office/2011/relationships/chartStyle" Target="style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vsykes\Desktop\Work\Virginia-UT\Research\Switchgrass\Diallel\Analysis\SP%20vs%20SW\2014%20Analysis%20Diallel%20Space%20vs%20Sward.xlsx" TargetMode="External"/><Relationship Id="rId2" Type="http://schemas.microsoft.com/office/2011/relationships/chartColorStyle" Target="colors4.xml"/><Relationship Id="rId1" Type="http://schemas.microsoft.com/office/2011/relationships/chartStyle" Target="style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vsykes\Desktop\Work\Virginia-UT\Research\Switchgrass\Diallel\Analysis\SP%20vs%20SW\2014%20Analysis%20Diallel%20Space%20vs%20Sward.xlsx" TargetMode="External"/><Relationship Id="rId2" Type="http://schemas.microsoft.com/office/2011/relationships/chartColorStyle" Target="colors5.xml"/><Relationship Id="rId1" Type="http://schemas.microsoft.com/office/2011/relationships/chartStyle" Target="style5.xml"/></Relationships>
</file>

<file path=word/charts/_rels/chart26.xml.rels><?xml version="1.0" encoding="UTF-8" standalone="yes"?>
<Relationships xmlns="http://schemas.openxmlformats.org/package/2006/relationships"><Relationship Id="rId1" Type="http://schemas.openxmlformats.org/officeDocument/2006/relationships/oleObject" Target="file:///C:\Users\vsykes\Desktop\Work\Virginia-UT\Research\Switchgrass\Diallel\Analysis\SP%20vs%20SW\Selection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Synch%20Work\Virginia-UT\Research\Switchgrass\Diallel\Analysis\Tables\2014%20Analysis%20Diallel%20Fiel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Synch%20Work\Virginia-UT\Research\Switchgrass\Diallel\Analysis\Tables\2014%20Analysis%20Diallel%20Fiel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Synch%20Work\Virginia-UT\Research\Switchgrass\Diallel\Analysis\Tables\2014%20Analysis%20Diallel%20Field.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Synch%20Work\Virginia-UT\Research\Switchgrass\Diallel\Analysis\Tables\2014%20Analysis%20Diallel%20Field.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Synch%20Work\Virginia-UT\Research\Switchgrass\Diallel\Analysis\Tables\2014%20Analysis%20Diallel%20Field.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Synch%20Work\Virginia-UT\Research\Switchgrass\Diallel\Analysis\Tables\2014%20Analysis%20Diallel%20Field.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F:\Synch%20Work\Virginia-UT\Research\Switchgrass\Diallel\Analysis\Tables\2014%20Analysis%20Diallel%20Fiel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2010 - SFF Fermentation</c:v>
          </c:tx>
          <c:spPr>
            <a:solidFill>
              <a:schemeClr val="tx1">
                <a:lumMod val="75000"/>
                <a:lumOff val="25000"/>
              </a:schemeClr>
            </a:solidFill>
          </c:spPr>
          <c:invertIfNegative val="0"/>
          <c:dLbls>
            <c:dLbl>
              <c:idx val="0"/>
              <c:tx>
                <c:rich>
                  <a:bodyPr/>
                  <a:lstStyle/>
                  <a:p>
                    <a:r>
                      <a:rPr lang="en-US"/>
                      <a:t>76 </a:t>
                    </a:r>
                  </a:p>
                  <a:p>
                    <a:r>
                      <a:rPr lang="en-US"/>
                      <a:t>A</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50 </a:t>
                    </a:r>
                  </a:p>
                  <a:p>
                    <a:r>
                      <a:rPr lang="en-US"/>
                      <a:t>B</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37 </a:t>
                    </a:r>
                  </a:p>
                  <a:p>
                    <a:r>
                      <a:rPr lang="en-US"/>
                      <a:t>B</a:t>
                    </a:r>
                  </a:p>
                </c:rich>
              </c:tx>
              <c:showLegendKey val="0"/>
              <c:showVal val="1"/>
              <c:showCatName val="0"/>
              <c:showSerName val="0"/>
              <c:showPercent val="0"/>
              <c:showBubbleSize val="0"/>
              <c:extLst>
                <c:ext xmlns:c15="http://schemas.microsoft.com/office/drawing/2012/chart" uri="{CE6537A1-D6FC-4f65-9D91-7224C49458BB}"/>
              </c:extLst>
            </c:dLbl>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ANOVA!$B$9:$B$11</c:f>
              <c:strCache>
                <c:ptCount val="3"/>
                <c:pt idx="0">
                  <c:v>Low</c:v>
                </c:pt>
                <c:pt idx="1">
                  <c:v>Medium</c:v>
                </c:pt>
                <c:pt idx="2">
                  <c:v>High</c:v>
                </c:pt>
              </c:strCache>
            </c:strRef>
          </c:cat>
          <c:val>
            <c:numRef>
              <c:f>ANOVA!$C$9:$C$11</c:f>
              <c:numCache>
                <c:formatCode>General</c:formatCode>
                <c:ptCount val="3"/>
                <c:pt idx="0">
                  <c:v>75.972750000000005</c:v>
                </c:pt>
                <c:pt idx="1">
                  <c:v>50.220500000000001</c:v>
                </c:pt>
                <c:pt idx="2">
                  <c:v>36.695749999999997</c:v>
                </c:pt>
              </c:numCache>
            </c:numRef>
          </c:val>
        </c:ser>
        <c:dLbls>
          <c:showLegendKey val="0"/>
          <c:showVal val="0"/>
          <c:showCatName val="0"/>
          <c:showSerName val="0"/>
          <c:showPercent val="0"/>
          <c:showBubbleSize val="0"/>
        </c:dLbls>
        <c:gapWidth val="150"/>
        <c:axId val="133732768"/>
        <c:axId val="133733160"/>
      </c:barChart>
      <c:catAx>
        <c:axId val="133732768"/>
        <c:scaling>
          <c:orientation val="minMax"/>
        </c:scaling>
        <c:delete val="0"/>
        <c:axPos val="b"/>
        <c:title>
          <c:tx>
            <c:rich>
              <a:bodyPr/>
              <a:lstStyle/>
              <a:p>
                <a:pPr>
                  <a:defRPr/>
                </a:pPr>
                <a:r>
                  <a:rPr lang="en-US"/>
                  <a:t>Disease Level</a:t>
                </a:r>
              </a:p>
            </c:rich>
          </c:tx>
          <c:overlay val="0"/>
        </c:title>
        <c:numFmt formatCode="General" sourceLinked="0"/>
        <c:majorTickMark val="none"/>
        <c:minorTickMark val="none"/>
        <c:tickLblPos val="nextTo"/>
        <c:crossAx val="133733160"/>
        <c:crosses val="autoZero"/>
        <c:auto val="1"/>
        <c:lblAlgn val="ctr"/>
        <c:lblOffset val="100"/>
        <c:noMultiLvlLbl val="0"/>
      </c:catAx>
      <c:valAx>
        <c:axId val="133733160"/>
        <c:scaling>
          <c:orientation val="minMax"/>
          <c:max val="100"/>
        </c:scaling>
        <c:delete val="0"/>
        <c:axPos val="l"/>
        <c:majorGridlines>
          <c:spPr>
            <a:ln>
              <a:noFill/>
            </a:ln>
          </c:spPr>
        </c:majorGridlines>
        <c:title>
          <c:tx>
            <c:rich>
              <a:bodyPr/>
              <a:lstStyle/>
              <a:p>
                <a:pPr>
                  <a:defRPr/>
                </a:pPr>
                <a:r>
                  <a:rPr lang="en-US"/>
                  <a:t>Ethanol Yield mg</a:t>
                </a:r>
                <a:r>
                  <a:rPr lang="en-US" baseline="0"/>
                  <a:t> g</a:t>
                </a:r>
                <a:r>
                  <a:rPr lang="en-US" baseline="30000"/>
                  <a:t>-1</a:t>
                </a:r>
              </a:p>
            </c:rich>
          </c:tx>
          <c:overlay val="0"/>
        </c:title>
        <c:numFmt formatCode="General" sourceLinked="1"/>
        <c:majorTickMark val="out"/>
        <c:minorTickMark val="none"/>
        <c:tickLblPos val="nextTo"/>
        <c:crossAx val="133732768"/>
        <c:crosses val="autoZero"/>
        <c:crossBetween val="between"/>
      </c:valAx>
    </c:plotArea>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lumMod val="50000"/>
                <a:lumOff val="50000"/>
              </a:schemeClr>
            </a:solidFill>
          </c:spPr>
          <c:invertIfNegative val="0"/>
          <c:dLbls>
            <c:dLbl>
              <c:idx val="0"/>
              <c:tx>
                <c:rich>
                  <a:bodyPr/>
                  <a:lstStyle/>
                  <a:p>
                    <a:r>
                      <a:rPr lang="en-US"/>
                      <a:t>2.9</a:t>
                    </a:r>
                  </a:p>
                  <a:p>
                    <a:r>
                      <a:rPr lang="en-US"/>
                      <a:t>a</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2.8</a:t>
                    </a:r>
                  </a:p>
                  <a:p>
                    <a:r>
                      <a:rPr lang="en-US"/>
                      <a:t>a</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2.5</a:t>
                    </a:r>
                  </a:p>
                  <a:p>
                    <a:r>
                      <a:rPr lang="en-US"/>
                      <a:t>b</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2.5</a:t>
                    </a:r>
                  </a:p>
                  <a:p>
                    <a:r>
                      <a:rPr lang="en-US"/>
                      <a:t>b</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'GCA formatted'!$A$67:$A$70</c:f>
              <c:strCache>
                <c:ptCount val="4"/>
                <c:pt idx="0">
                  <c:v>2013 HSP</c:v>
                </c:pt>
                <c:pt idx="1">
                  <c:v>2013 CSP</c:v>
                </c:pt>
                <c:pt idx="2">
                  <c:v>2014 HSP</c:v>
                </c:pt>
                <c:pt idx="3">
                  <c:v>2014 CSP</c:v>
                </c:pt>
              </c:strCache>
            </c:strRef>
          </c:cat>
          <c:val>
            <c:numRef>
              <c:f>'GCA formatted'!$H$67:$H$70</c:f>
              <c:numCache>
                <c:formatCode>General</c:formatCode>
                <c:ptCount val="4"/>
                <c:pt idx="0">
                  <c:v>2.9</c:v>
                </c:pt>
                <c:pt idx="1">
                  <c:v>2.8</c:v>
                </c:pt>
                <c:pt idx="2">
                  <c:v>2.5</c:v>
                </c:pt>
                <c:pt idx="3">
                  <c:v>2.5</c:v>
                </c:pt>
              </c:numCache>
            </c:numRef>
          </c:val>
        </c:ser>
        <c:dLbls>
          <c:showLegendKey val="0"/>
          <c:showVal val="0"/>
          <c:showCatName val="0"/>
          <c:showSerName val="0"/>
          <c:showPercent val="0"/>
          <c:showBubbleSize val="0"/>
        </c:dLbls>
        <c:gapWidth val="150"/>
        <c:axId val="230823400"/>
        <c:axId val="230823792"/>
      </c:barChart>
      <c:catAx>
        <c:axId val="230823400"/>
        <c:scaling>
          <c:orientation val="minMax"/>
        </c:scaling>
        <c:delete val="0"/>
        <c:axPos val="b"/>
        <c:numFmt formatCode="General" sourceLinked="0"/>
        <c:majorTickMark val="out"/>
        <c:minorTickMark val="none"/>
        <c:tickLblPos val="nextTo"/>
        <c:crossAx val="230823792"/>
        <c:crosses val="autoZero"/>
        <c:auto val="1"/>
        <c:lblAlgn val="ctr"/>
        <c:lblOffset val="100"/>
        <c:noMultiLvlLbl val="0"/>
      </c:catAx>
      <c:valAx>
        <c:axId val="230823792"/>
        <c:scaling>
          <c:orientation val="minMax"/>
          <c:max val="5"/>
          <c:min val="0"/>
        </c:scaling>
        <c:delete val="0"/>
        <c:axPos val="l"/>
        <c:title>
          <c:tx>
            <c:rich>
              <a:bodyPr rot="-5400000" vert="horz"/>
              <a:lstStyle/>
              <a:p>
                <a:pPr>
                  <a:defRPr/>
                </a:pPr>
                <a:r>
                  <a:rPr lang="en-US"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Canopy Density</a:t>
                </a:r>
                <a:endParaRPr lang="en-US"/>
              </a:p>
            </c:rich>
          </c:tx>
          <c:overlay val="0"/>
        </c:title>
        <c:numFmt formatCode="General" sourceLinked="1"/>
        <c:majorTickMark val="out"/>
        <c:minorTickMark val="none"/>
        <c:tickLblPos val="nextTo"/>
        <c:crossAx val="230823400"/>
        <c:crosses val="autoZero"/>
        <c:crossBetween val="between"/>
        <c:majorUnit val="1"/>
      </c:valAx>
    </c:plotArea>
    <c:plotVisOnly val="1"/>
    <c:dispBlanksAs val="gap"/>
    <c:showDLblsOverMax val="0"/>
  </c:chart>
  <c:spPr>
    <a:ln>
      <a:noFill/>
    </a:ln>
  </c:spPr>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lumMod val="50000"/>
                <a:lumOff val="50000"/>
              </a:schemeClr>
            </a:solidFill>
          </c:spPr>
          <c:invertIfNegative val="0"/>
          <c:dLbls>
            <c:dLbl>
              <c:idx val="0"/>
              <c:tx>
                <c:rich>
                  <a:bodyPr/>
                  <a:lstStyle/>
                  <a:p>
                    <a:r>
                      <a:rPr lang="en-US"/>
                      <a:t>2.2</a:t>
                    </a:r>
                  </a:p>
                  <a:p>
                    <a:r>
                      <a:rPr lang="en-US"/>
                      <a:t>b</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2.2</a:t>
                    </a:r>
                  </a:p>
                  <a:p>
                    <a:r>
                      <a:rPr lang="en-US"/>
                      <a:t>b</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2.4</a:t>
                    </a:r>
                  </a:p>
                  <a:p>
                    <a:r>
                      <a:rPr lang="en-US"/>
                      <a:t>a</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2.1</a:t>
                    </a:r>
                  </a:p>
                  <a:p>
                    <a:r>
                      <a:rPr lang="en-US"/>
                      <a:t>c</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'GCA formatted'!$A$67:$A$70</c:f>
              <c:strCache>
                <c:ptCount val="4"/>
                <c:pt idx="0">
                  <c:v>2013 HSP</c:v>
                </c:pt>
                <c:pt idx="1">
                  <c:v>2013 CSP</c:v>
                </c:pt>
                <c:pt idx="2">
                  <c:v>2014 HSP</c:v>
                </c:pt>
                <c:pt idx="3">
                  <c:v>2014 CSP</c:v>
                </c:pt>
              </c:strCache>
            </c:strRef>
          </c:cat>
          <c:val>
            <c:numRef>
              <c:f>'GCA formatted'!$G$67:$G$70</c:f>
              <c:numCache>
                <c:formatCode>General</c:formatCode>
                <c:ptCount val="4"/>
                <c:pt idx="0">
                  <c:v>2.2000000000000002</c:v>
                </c:pt>
                <c:pt idx="1">
                  <c:v>2.2000000000000002</c:v>
                </c:pt>
                <c:pt idx="2">
                  <c:v>2.4</c:v>
                </c:pt>
                <c:pt idx="3">
                  <c:v>2.1</c:v>
                </c:pt>
              </c:numCache>
            </c:numRef>
          </c:val>
        </c:ser>
        <c:dLbls>
          <c:showLegendKey val="0"/>
          <c:showVal val="0"/>
          <c:showCatName val="0"/>
          <c:showSerName val="0"/>
          <c:showPercent val="0"/>
          <c:showBubbleSize val="0"/>
        </c:dLbls>
        <c:gapWidth val="150"/>
        <c:axId val="246159160"/>
        <c:axId val="246159552"/>
      </c:barChart>
      <c:catAx>
        <c:axId val="246159160"/>
        <c:scaling>
          <c:orientation val="minMax"/>
        </c:scaling>
        <c:delete val="0"/>
        <c:axPos val="b"/>
        <c:numFmt formatCode="General" sourceLinked="0"/>
        <c:majorTickMark val="out"/>
        <c:minorTickMark val="none"/>
        <c:tickLblPos val="nextTo"/>
        <c:crossAx val="246159552"/>
        <c:crosses val="autoZero"/>
        <c:auto val="1"/>
        <c:lblAlgn val="ctr"/>
        <c:lblOffset val="100"/>
        <c:noMultiLvlLbl val="0"/>
      </c:catAx>
      <c:valAx>
        <c:axId val="246159552"/>
        <c:scaling>
          <c:orientation val="minMax"/>
          <c:max val="3"/>
          <c:min val="0"/>
        </c:scaling>
        <c:delete val="0"/>
        <c:axPos val="l"/>
        <c:title>
          <c:tx>
            <c:rich>
              <a:bodyPr rot="-5400000" vert="horz"/>
              <a:lstStyle/>
              <a:p>
                <a:pPr>
                  <a:defRPr/>
                </a:pPr>
                <a:r>
                  <a:rPr lang="en-US"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Plant Color</a:t>
                </a:r>
                <a:endParaRPr lang="en-US"/>
              </a:p>
            </c:rich>
          </c:tx>
          <c:overlay val="0"/>
        </c:title>
        <c:numFmt formatCode="General" sourceLinked="1"/>
        <c:majorTickMark val="out"/>
        <c:minorTickMark val="none"/>
        <c:tickLblPos val="nextTo"/>
        <c:crossAx val="246159160"/>
        <c:crosses val="autoZero"/>
        <c:crossBetween val="between"/>
        <c:majorUnit val="0.5"/>
      </c:valAx>
    </c:plotArea>
    <c:plotVisOnly val="1"/>
    <c:dispBlanksAs val="gap"/>
    <c:showDLblsOverMax val="0"/>
  </c:chart>
  <c:spPr>
    <a:ln>
      <a:noFill/>
    </a:ln>
  </c:spPr>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lumMod val="50000"/>
                <a:lumOff val="50000"/>
              </a:schemeClr>
            </a:solidFill>
          </c:spPr>
          <c:invertIfNegative val="0"/>
          <c:dLbls>
            <c:dLbl>
              <c:idx val="0"/>
              <c:tx>
                <c:rich>
                  <a:bodyPr/>
                  <a:lstStyle/>
                  <a:p>
                    <a:r>
                      <a:rPr lang="en-US"/>
                      <a:t>2.2</a:t>
                    </a:r>
                  </a:p>
                  <a:p>
                    <a:r>
                      <a:rPr lang="en-US"/>
                      <a:t>a</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2.0</a:t>
                    </a:r>
                  </a:p>
                  <a:p>
                    <a:r>
                      <a:rPr lang="en-US"/>
                      <a:t>a</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2.3</a:t>
                    </a:r>
                  </a:p>
                  <a:p>
                    <a:r>
                      <a:rPr lang="en-US"/>
                      <a:t>a</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2.0</a:t>
                    </a:r>
                  </a:p>
                  <a:p>
                    <a:r>
                      <a:rPr lang="en-US"/>
                      <a:t>a</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'GCA formatted'!$A$67:$A$70</c:f>
              <c:strCache>
                <c:ptCount val="4"/>
                <c:pt idx="0">
                  <c:v>2013 HSP</c:v>
                </c:pt>
                <c:pt idx="1">
                  <c:v>2013 CSP</c:v>
                </c:pt>
                <c:pt idx="2">
                  <c:v>2014 HSP</c:v>
                </c:pt>
                <c:pt idx="3">
                  <c:v>2014 CSP</c:v>
                </c:pt>
              </c:strCache>
            </c:strRef>
          </c:cat>
          <c:val>
            <c:numRef>
              <c:f>'GCA formatted'!$I$67:$I$70</c:f>
              <c:numCache>
                <c:formatCode>0.0</c:formatCode>
                <c:ptCount val="4"/>
                <c:pt idx="0">
                  <c:v>2.2000000000000002</c:v>
                </c:pt>
                <c:pt idx="1">
                  <c:v>2</c:v>
                </c:pt>
                <c:pt idx="2">
                  <c:v>2.2999999999999998</c:v>
                </c:pt>
                <c:pt idx="3">
                  <c:v>2</c:v>
                </c:pt>
              </c:numCache>
            </c:numRef>
          </c:val>
        </c:ser>
        <c:dLbls>
          <c:showLegendKey val="0"/>
          <c:showVal val="0"/>
          <c:showCatName val="0"/>
          <c:showSerName val="0"/>
          <c:showPercent val="0"/>
          <c:showBubbleSize val="0"/>
        </c:dLbls>
        <c:gapWidth val="150"/>
        <c:axId val="246160336"/>
        <c:axId val="246160728"/>
      </c:barChart>
      <c:catAx>
        <c:axId val="246160336"/>
        <c:scaling>
          <c:orientation val="minMax"/>
        </c:scaling>
        <c:delete val="0"/>
        <c:axPos val="b"/>
        <c:numFmt formatCode="General" sourceLinked="0"/>
        <c:majorTickMark val="out"/>
        <c:minorTickMark val="none"/>
        <c:tickLblPos val="nextTo"/>
        <c:crossAx val="246160728"/>
        <c:crosses val="autoZero"/>
        <c:auto val="1"/>
        <c:lblAlgn val="ctr"/>
        <c:lblOffset val="100"/>
        <c:noMultiLvlLbl val="0"/>
      </c:catAx>
      <c:valAx>
        <c:axId val="246160728"/>
        <c:scaling>
          <c:orientation val="minMax"/>
          <c:max val="5"/>
          <c:min val="0"/>
        </c:scaling>
        <c:delete val="0"/>
        <c:axPos val="l"/>
        <c:title>
          <c:tx>
            <c:rich>
              <a:bodyPr rot="-5400000" vert="horz"/>
              <a:lstStyle/>
              <a:p>
                <a:pPr>
                  <a:defRPr/>
                </a:pPr>
                <a:r>
                  <a:rPr lang="en-US"/>
                  <a:t>Leaf Angle</a:t>
                </a:r>
              </a:p>
            </c:rich>
          </c:tx>
          <c:overlay val="0"/>
        </c:title>
        <c:numFmt formatCode="0" sourceLinked="0"/>
        <c:majorTickMark val="out"/>
        <c:minorTickMark val="none"/>
        <c:tickLblPos val="nextTo"/>
        <c:crossAx val="246160336"/>
        <c:crosses val="autoZero"/>
        <c:crossBetween val="between"/>
        <c:majorUnit val="1"/>
      </c:valAx>
    </c:plotArea>
    <c:plotVisOnly val="1"/>
    <c:dispBlanksAs val="gap"/>
    <c:showDLblsOverMax val="0"/>
  </c:chart>
  <c:spPr>
    <a:ln>
      <a:noFill/>
    </a:ln>
  </c:spPr>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lumMod val="50000"/>
                <a:lumOff val="50000"/>
              </a:schemeClr>
            </a:solidFill>
          </c:spPr>
          <c:invertIfNegative val="0"/>
          <c:dLbls>
            <c:dLbl>
              <c:idx val="0"/>
              <c:tx>
                <c:rich>
                  <a:bodyPr/>
                  <a:lstStyle/>
                  <a:p>
                    <a:r>
                      <a:rPr lang="en-US"/>
                      <a:t>5.3</a:t>
                    </a:r>
                  </a:p>
                  <a:p>
                    <a:r>
                      <a:rPr lang="en-US"/>
                      <a:t>a</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5.5</a:t>
                    </a:r>
                  </a:p>
                  <a:p>
                    <a:r>
                      <a:rPr lang="en-US"/>
                      <a:t>a</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'GCA formatted'!$A$63:$A$64</c:f>
              <c:strCache>
                <c:ptCount val="2"/>
                <c:pt idx="0">
                  <c:v>Knoxville</c:v>
                </c:pt>
                <c:pt idx="1">
                  <c:v>Crossville</c:v>
                </c:pt>
              </c:strCache>
            </c:strRef>
          </c:cat>
          <c:val>
            <c:numRef>
              <c:f>'GCA formatted'!$M$63:$M$64</c:f>
              <c:numCache>
                <c:formatCode>General</c:formatCode>
                <c:ptCount val="2"/>
                <c:pt idx="0">
                  <c:v>5.3</c:v>
                </c:pt>
                <c:pt idx="1">
                  <c:v>5.5</c:v>
                </c:pt>
              </c:numCache>
            </c:numRef>
          </c:val>
        </c:ser>
        <c:dLbls>
          <c:showLegendKey val="0"/>
          <c:showVal val="0"/>
          <c:showCatName val="0"/>
          <c:showSerName val="0"/>
          <c:showPercent val="0"/>
          <c:showBubbleSize val="0"/>
        </c:dLbls>
        <c:gapWidth val="150"/>
        <c:axId val="188897384"/>
        <c:axId val="188897776"/>
      </c:barChart>
      <c:catAx>
        <c:axId val="188897384"/>
        <c:scaling>
          <c:orientation val="minMax"/>
        </c:scaling>
        <c:delete val="0"/>
        <c:axPos val="b"/>
        <c:numFmt formatCode="General" sourceLinked="0"/>
        <c:majorTickMark val="out"/>
        <c:minorTickMark val="none"/>
        <c:tickLblPos val="nextTo"/>
        <c:crossAx val="188897776"/>
        <c:crosses val="autoZero"/>
        <c:auto val="1"/>
        <c:lblAlgn val="ctr"/>
        <c:lblOffset val="100"/>
        <c:noMultiLvlLbl val="0"/>
      </c:catAx>
      <c:valAx>
        <c:axId val="188897776"/>
        <c:scaling>
          <c:orientation val="minMax"/>
          <c:max val="9"/>
          <c:min val="0"/>
        </c:scaling>
        <c:delete val="0"/>
        <c:axPos val="l"/>
        <c:title>
          <c:tx>
            <c:rich>
              <a:bodyPr rot="-5400000" vert="horz"/>
              <a:lstStyle/>
              <a:p>
                <a:pPr>
                  <a:defRPr/>
                </a:pPr>
                <a:r>
                  <a:rPr lang="en-US"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Rust Severity</a:t>
                </a:r>
                <a:r>
                  <a:rPr lang="en-US"/>
                  <a:t> Oct. 2012</a:t>
                </a:r>
              </a:p>
            </c:rich>
          </c:tx>
          <c:overlay val="0"/>
        </c:title>
        <c:numFmt formatCode="General" sourceLinked="1"/>
        <c:majorTickMark val="out"/>
        <c:minorTickMark val="none"/>
        <c:tickLblPos val="nextTo"/>
        <c:crossAx val="188897384"/>
        <c:crosses val="autoZero"/>
        <c:crossBetween val="between"/>
        <c:majorUnit val="1"/>
      </c:valAx>
      <c:spPr>
        <a:ln>
          <a:noFill/>
        </a:ln>
      </c:spPr>
    </c:plotArea>
    <c:plotVisOnly val="1"/>
    <c:dispBlanksAs val="gap"/>
    <c:showDLblsOverMax val="0"/>
  </c:chart>
  <c:spPr>
    <a:ln>
      <a:noFill/>
    </a:ln>
  </c:spPr>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lumMod val="50000"/>
                <a:lumOff val="50000"/>
              </a:schemeClr>
            </a:solidFill>
          </c:spPr>
          <c:invertIfNegative val="0"/>
          <c:dLbls>
            <c:dLbl>
              <c:idx val="0"/>
              <c:tx>
                <c:rich>
                  <a:bodyPr/>
                  <a:lstStyle/>
                  <a:p>
                    <a:r>
                      <a:rPr lang="en-US"/>
                      <a:t>3.8</a:t>
                    </a:r>
                  </a:p>
                  <a:p>
                    <a:r>
                      <a:rPr lang="en-US"/>
                      <a:t>b</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4.5</a:t>
                    </a:r>
                  </a:p>
                  <a:p>
                    <a:r>
                      <a:rPr lang="en-US"/>
                      <a:t>a</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'GCA formatted'!$A$63:$A$64</c:f>
              <c:strCache>
                <c:ptCount val="2"/>
                <c:pt idx="0">
                  <c:v>Knoxville</c:v>
                </c:pt>
                <c:pt idx="1">
                  <c:v>Crossville</c:v>
                </c:pt>
              </c:strCache>
            </c:strRef>
          </c:cat>
          <c:val>
            <c:numRef>
              <c:f>'GCA formatted'!$N$63:$N$64</c:f>
              <c:numCache>
                <c:formatCode>General</c:formatCode>
                <c:ptCount val="2"/>
                <c:pt idx="0">
                  <c:v>3.8</c:v>
                </c:pt>
                <c:pt idx="1">
                  <c:v>4.5</c:v>
                </c:pt>
              </c:numCache>
            </c:numRef>
          </c:val>
        </c:ser>
        <c:dLbls>
          <c:showLegendKey val="0"/>
          <c:showVal val="0"/>
          <c:showCatName val="0"/>
          <c:showSerName val="0"/>
          <c:showPercent val="0"/>
          <c:showBubbleSize val="0"/>
        </c:dLbls>
        <c:gapWidth val="150"/>
        <c:axId val="351310400"/>
        <c:axId val="351310792"/>
      </c:barChart>
      <c:catAx>
        <c:axId val="351310400"/>
        <c:scaling>
          <c:orientation val="minMax"/>
        </c:scaling>
        <c:delete val="0"/>
        <c:axPos val="b"/>
        <c:numFmt formatCode="General" sourceLinked="0"/>
        <c:majorTickMark val="out"/>
        <c:minorTickMark val="none"/>
        <c:tickLblPos val="nextTo"/>
        <c:crossAx val="351310792"/>
        <c:crosses val="autoZero"/>
        <c:auto val="1"/>
        <c:lblAlgn val="ctr"/>
        <c:lblOffset val="100"/>
        <c:noMultiLvlLbl val="0"/>
      </c:catAx>
      <c:valAx>
        <c:axId val="351310792"/>
        <c:scaling>
          <c:orientation val="minMax"/>
          <c:max val="9"/>
          <c:min val="0"/>
        </c:scaling>
        <c:delete val="0"/>
        <c:axPos val="l"/>
        <c:title>
          <c:tx>
            <c:rich>
              <a:bodyPr rot="-5400000" vert="horz"/>
              <a:lstStyle/>
              <a:p>
                <a:pPr>
                  <a:defRPr/>
                </a:pPr>
                <a:r>
                  <a:rPr lang="en-US"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Rust Severity</a:t>
                </a:r>
                <a:r>
                  <a:rPr lang="en-US"/>
                  <a:t> Aug. 2013</a:t>
                </a:r>
              </a:p>
            </c:rich>
          </c:tx>
          <c:overlay val="0"/>
        </c:title>
        <c:numFmt formatCode="General" sourceLinked="1"/>
        <c:majorTickMark val="out"/>
        <c:minorTickMark val="none"/>
        <c:tickLblPos val="nextTo"/>
        <c:crossAx val="351310400"/>
        <c:crosses val="autoZero"/>
        <c:crossBetween val="between"/>
        <c:majorUnit val="1"/>
      </c:valAx>
      <c:spPr>
        <a:ln>
          <a:noFill/>
        </a:ln>
      </c:spPr>
    </c:plotArea>
    <c:plotVisOnly val="1"/>
    <c:dispBlanksAs val="gap"/>
    <c:showDLblsOverMax val="0"/>
  </c:chart>
  <c:spPr>
    <a:ln>
      <a:noFill/>
    </a:ln>
  </c:spPr>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Sheet1!$B$2</c:f>
              <c:strCache>
                <c:ptCount val="1"/>
                <c:pt idx="0">
                  <c:v>Juvenile (8 weeks)</c:v>
                </c:pt>
              </c:strCache>
            </c:strRef>
          </c:tx>
          <c:spPr>
            <a:solidFill>
              <a:schemeClr val="bg1">
                <a:lumMod val="75000"/>
              </a:schemeClr>
            </a:solidFill>
          </c:spPr>
          <c:invertIfNegative val="0"/>
          <c:dLbls>
            <c:dLbl>
              <c:idx val="0"/>
              <c:tx>
                <c:rich>
                  <a:bodyPr/>
                  <a:lstStyle/>
                  <a:p>
                    <a:pPr>
                      <a:defRPr/>
                    </a:pPr>
                    <a:endParaRPr lang="en-US"/>
                  </a:p>
                  <a:p>
                    <a:pPr>
                      <a:defRPr/>
                    </a:pPr>
                    <a:r>
                      <a:rPr lang="en-US"/>
                      <a:t>b</a:t>
                    </a:r>
                  </a:p>
                </c:rich>
              </c:tx>
              <c:spPr/>
              <c:showLegendKey val="0"/>
              <c:showVal val="0"/>
              <c:showCatName val="0"/>
              <c:showSerName val="0"/>
              <c:showPercent val="0"/>
              <c:showBubbleSize val="0"/>
              <c:extLst>
                <c:ext xmlns:c15="http://schemas.microsoft.com/office/drawing/2012/chart" uri="{CE6537A1-D6FC-4f65-9D91-7224C49458BB}"/>
              </c:extLst>
            </c:dLbl>
            <c:dLbl>
              <c:idx val="1"/>
              <c:tx>
                <c:rich>
                  <a:bodyPr/>
                  <a:lstStyle/>
                  <a:p>
                    <a:pPr>
                      <a:defRPr/>
                    </a:pPr>
                    <a:r>
                      <a:rPr lang="en-US"/>
                      <a:t>a</a:t>
                    </a:r>
                  </a:p>
                </c:rich>
              </c:tx>
              <c:spPr/>
              <c:showLegendKey val="0"/>
              <c:showVal val="0"/>
              <c:showCatName val="0"/>
              <c:showSerName val="0"/>
              <c:showPercent val="0"/>
              <c:showBubbleSize val="0"/>
              <c:extLst>
                <c:ext xmlns:c15="http://schemas.microsoft.com/office/drawing/2012/chart" uri="{CE6537A1-D6FC-4f65-9D91-7224C49458BB}"/>
              </c:extLst>
            </c:dLbl>
            <c:dLbl>
              <c:idx val="2"/>
              <c:tx>
                <c:rich>
                  <a:bodyPr/>
                  <a:lstStyle/>
                  <a:p>
                    <a:pPr>
                      <a:defRPr/>
                    </a:pPr>
                    <a:r>
                      <a:rPr lang="en-US"/>
                      <a:t>c</a:t>
                    </a:r>
                  </a:p>
                </c:rich>
              </c:tx>
              <c:spPr/>
              <c:showLegendKey val="0"/>
              <c:showVal val="0"/>
              <c:showCatName val="0"/>
              <c:showSerName val="0"/>
              <c:showPercent val="0"/>
              <c:showBubbleSize val="0"/>
              <c:extLst>
                <c:ext xmlns:c15="http://schemas.microsoft.com/office/drawing/2012/chart" uri="{CE6537A1-D6FC-4f65-9D91-7224C49458BB}"/>
              </c:extLst>
            </c:dLbl>
            <c:dLbl>
              <c:idx val="3"/>
              <c:tx>
                <c:rich>
                  <a:bodyPr/>
                  <a:lstStyle/>
                  <a:p>
                    <a:pPr>
                      <a:defRPr/>
                    </a:pPr>
                    <a:r>
                      <a:rPr lang="en-US"/>
                      <a:t>b</a:t>
                    </a:r>
                  </a:p>
                </c:rich>
              </c:tx>
              <c:spPr/>
              <c:showLegendKey val="0"/>
              <c:showVal val="0"/>
              <c:showCatName val="0"/>
              <c:showSerName val="0"/>
              <c:showPercent val="0"/>
              <c:showBubbleSize val="0"/>
              <c:extLst>
                <c:ext xmlns:c15="http://schemas.microsoft.com/office/drawing/2012/chart" uri="{CE6537A1-D6FC-4f65-9D91-7224C49458BB}"/>
              </c:extLst>
            </c:dLbl>
            <c:dLbl>
              <c:idx val="4"/>
              <c:tx>
                <c:rich>
                  <a:bodyPr/>
                  <a:lstStyle/>
                  <a:p>
                    <a:pPr>
                      <a:defRPr/>
                    </a:pPr>
                    <a:r>
                      <a:rPr lang="en-US"/>
                      <a:t>b</a:t>
                    </a:r>
                  </a:p>
                </c:rich>
              </c:tx>
              <c:spPr/>
              <c:showLegendKey val="0"/>
              <c:showVal val="0"/>
              <c:showCatName val="0"/>
              <c:showSerName val="0"/>
              <c:showPercent val="0"/>
              <c:showBubbleSize val="0"/>
              <c:extLst>
                <c:ext xmlns:c15="http://schemas.microsoft.com/office/drawing/2012/chart" uri="{CE6537A1-D6FC-4f65-9D91-7224C49458BB}"/>
              </c:extLst>
            </c:dLbl>
            <c:dLbl>
              <c:idx val="5"/>
              <c:tx>
                <c:rich>
                  <a:bodyPr/>
                  <a:lstStyle/>
                  <a:p>
                    <a:pPr>
                      <a:defRPr/>
                    </a:pPr>
                    <a:r>
                      <a:rPr lang="en-US"/>
                      <a:t>c</a:t>
                    </a:r>
                  </a:p>
                </c:rich>
              </c:tx>
              <c:spPr/>
              <c:showLegendKey val="0"/>
              <c:showVal val="0"/>
              <c:showCatName val="0"/>
              <c:showSerName val="0"/>
              <c:showPercent val="0"/>
              <c:showBubbleSize val="0"/>
              <c:extLst>
                <c:ext xmlns:c15="http://schemas.microsoft.com/office/drawing/2012/chart" uri="{CE6537A1-D6FC-4f65-9D91-7224C49458BB}"/>
              </c:extLst>
            </c:dLbl>
            <c:dLbl>
              <c:idx val="6"/>
              <c:tx>
                <c:rich>
                  <a:bodyPr/>
                  <a:lstStyle/>
                  <a:p>
                    <a:pPr>
                      <a:defRPr/>
                    </a:pPr>
                    <a:r>
                      <a:rPr lang="en-US"/>
                      <a:t>c</a:t>
                    </a:r>
                  </a:p>
                </c:rich>
              </c:tx>
              <c:spPr/>
              <c:showLegendKey val="0"/>
              <c:showVal val="0"/>
              <c:showCatName val="0"/>
              <c:showSerName val="0"/>
              <c:showPercent val="0"/>
              <c:showBubbleSize val="0"/>
              <c:extLst>
                <c:ext xmlns:c15="http://schemas.microsoft.com/office/drawing/2012/chart" uri="{CE6537A1-D6FC-4f65-9D91-7224C49458BB}"/>
              </c:extLst>
            </c:dLbl>
            <c:dLbl>
              <c:idx val="7"/>
              <c:tx>
                <c:rich>
                  <a:bodyPr/>
                  <a:lstStyle/>
                  <a:p>
                    <a:pPr>
                      <a:defRPr/>
                    </a:pPr>
                    <a:r>
                      <a:rPr lang="en-US"/>
                      <a:t>d</a:t>
                    </a:r>
                  </a:p>
                </c:rich>
              </c:tx>
              <c:spPr/>
              <c:showLegendKey val="0"/>
              <c:showVal val="0"/>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Sheet1!$A$3:$A$10</c:f>
              <c:strCache>
                <c:ptCount val="8"/>
                <c:pt idx="0">
                  <c:v>AS</c:v>
                </c:pt>
                <c:pt idx="1">
                  <c:v>K3</c:v>
                </c:pt>
                <c:pt idx="2">
                  <c:v>M</c:v>
                </c:pt>
                <c:pt idx="3">
                  <c:v>K2</c:v>
                </c:pt>
                <c:pt idx="4">
                  <c:v>T1</c:v>
                </c:pt>
                <c:pt idx="5">
                  <c:v>T4</c:v>
                </c:pt>
                <c:pt idx="6">
                  <c:v>A1</c:v>
                </c:pt>
                <c:pt idx="7">
                  <c:v>A10</c:v>
                </c:pt>
              </c:strCache>
            </c:strRef>
          </c:cat>
          <c:val>
            <c:numRef>
              <c:f>Sheet1!$B$3:$B$10</c:f>
              <c:numCache>
                <c:formatCode>General</c:formatCode>
                <c:ptCount val="8"/>
                <c:pt idx="0">
                  <c:v>0.4</c:v>
                </c:pt>
                <c:pt idx="1">
                  <c:v>0.66000000000000025</c:v>
                </c:pt>
                <c:pt idx="2">
                  <c:v>0.25</c:v>
                </c:pt>
                <c:pt idx="3">
                  <c:v>0.46</c:v>
                </c:pt>
                <c:pt idx="4">
                  <c:v>0.48000000000000009</c:v>
                </c:pt>
                <c:pt idx="5">
                  <c:v>0.24000000000000005</c:v>
                </c:pt>
                <c:pt idx="6">
                  <c:v>0.26</c:v>
                </c:pt>
                <c:pt idx="7">
                  <c:v>0.12000000000000002</c:v>
                </c:pt>
              </c:numCache>
            </c:numRef>
          </c:val>
        </c:ser>
        <c:dLbls>
          <c:showLegendKey val="0"/>
          <c:showVal val="0"/>
          <c:showCatName val="0"/>
          <c:showSerName val="0"/>
          <c:showPercent val="0"/>
          <c:showBubbleSize val="0"/>
        </c:dLbls>
        <c:gapWidth val="150"/>
        <c:axId val="351311576"/>
        <c:axId val="351311968"/>
      </c:barChart>
      <c:catAx>
        <c:axId val="351311576"/>
        <c:scaling>
          <c:orientation val="minMax"/>
        </c:scaling>
        <c:delete val="0"/>
        <c:axPos val="b"/>
        <c:numFmt formatCode="General" sourceLinked="1"/>
        <c:majorTickMark val="out"/>
        <c:minorTickMark val="none"/>
        <c:tickLblPos val="nextTo"/>
        <c:crossAx val="351311968"/>
        <c:crosses val="autoZero"/>
        <c:auto val="1"/>
        <c:lblAlgn val="ctr"/>
        <c:lblOffset val="100"/>
        <c:noMultiLvlLbl val="0"/>
      </c:catAx>
      <c:valAx>
        <c:axId val="351311968"/>
        <c:scaling>
          <c:orientation val="minMax"/>
        </c:scaling>
        <c:delete val="0"/>
        <c:axPos val="l"/>
        <c:numFmt formatCode="General" sourceLinked="1"/>
        <c:majorTickMark val="out"/>
        <c:minorTickMark val="none"/>
        <c:tickLblPos val="nextTo"/>
        <c:crossAx val="351311576"/>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Sheet1!$C$2</c:f>
              <c:strCache>
                <c:ptCount val="1"/>
                <c:pt idx="0">
                  <c:v>Year 1 (2012)</c:v>
                </c:pt>
              </c:strCache>
            </c:strRef>
          </c:tx>
          <c:spPr>
            <a:solidFill>
              <a:schemeClr val="bg1">
                <a:lumMod val="50000"/>
              </a:schemeClr>
            </a:solidFill>
          </c:spPr>
          <c:invertIfNegative val="0"/>
          <c:dLbls>
            <c:dLbl>
              <c:idx val="0"/>
              <c:tx>
                <c:rich>
                  <a:bodyPr/>
                  <a:lstStyle/>
                  <a:p>
                    <a:pPr>
                      <a:defRPr/>
                    </a:pPr>
                    <a:endParaRPr lang="en-US"/>
                  </a:p>
                  <a:p>
                    <a:pPr>
                      <a:defRPr/>
                    </a:pPr>
                    <a:r>
                      <a:rPr lang="en-US"/>
                      <a:t>b</a:t>
                    </a:r>
                  </a:p>
                </c:rich>
              </c:tx>
              <c:spPr/>
              <c:showLegendKey val="0"/>
              <c:showVal val="0"/>
              <c:showCatName val="0"/>
              <c:showSerName val="0"/>
              <c:showPercent val="0"/>
              <c:showBubbleSize val="0"/>
              <c:extLst>
                <c:ext xmlns:c15="http://schemas.microsoft.com/office/drawing/2012/chart" uri="{CE6537A1-D6FC-4f65-9D91-7224C49458BB}"/>
              </c:extLst>
            </c:dLbl>
            <c:dLbl>
              <c:idx val="1"/>
              <c:tx>
                <c:rich>
                  <a:bodyPr/>
                  <a:lstStyle/>
                  <a:p>
                    <a:pPr>
                      <a:defRPr/>
                    </a:pPr>
                    <a:endParaRPr lang="en-US"/>
                  </a:p>
                  <a:p>
                    <a:pPr>
                      <a:defRPr/>
                    </a:pPr>
                    <a:r>
                      <a:rPr lang="en-US"/>
                      <a:t>b</a:t>
                    </a:r>
                  </a:p>
                </c:rich>
              </c:tx>
              <c:spPr/>
              <c:showLegendKey val="0"/>
              <c:showVal val="0"/>
              <c:showCatName val="0"/>
              <c:showSerName val="0"/>
              <c:showPercent val="0"/>
              <c:showBubbleSize val="0"/>
              <c:extLst>
                <c:ext xmlns:c15="http://schemas.microsoft.com/office/drawing/2012/chart" uri="{CE6537A1-D6FC-4f65-9D91-7224C49458BB}"/>
              </c:extLst>
            </c:dLbl>
            <c:dLbl>
              <c:idx val="2"/>
              <c:tx>
                <c:rich>
                  <a:bodyPr/>
                  <a:lstStyle/>
                  <a:p>
                    <a:pPr>
                      <a:defRPr/>
                    </a:pPr>
                    <a:endParaRPr lang="en-US"/>
                  </a:p>
                  <a:p>
                    <a:pPr>
                      <a:defRPr/>
                    </a:pPr>
                    <a:r>
                      <a:rPr lang="en-US"/>
                      <a:t>ab</a:t>
                    </a:r>
                  </a:p>
                </c:rich>
              </c:tx>
              <c:spPr/>
              <c:showLegendKey val="0"/>
              <c:showVal val="0"/>
              <c:showCatName val="0"/>
              <c:showSerName val="0"/>
              <c:showPercent val="0"/>
              <c:showBubbleSize val="0"/>
              <c:extLst>
                <c:ext xmlns:c15="http://schemas.microsoft.com/office/drawing/2012/chart" uri="{CE6537A1-D6FC-4f65-9D91-7224C49458BB}"/>
              </c:extLst>
            </c:dLbl>
            <c:dLbl>
              <c:idx val="3"/>
              <c:tx>
                <c:rich>
                  <a:bodyPr/>
                  <a:lstStyle/>
                  <a:p>
                    <a:pPr>
                      <a:defRPr/>
                    </a:pPr>
                    <a:r>
                      <a:rPr lang="en-US"/>
                      <a:t>ab</a:t>
                    </a:r>
                  </a:p>
                </c:rich>
              </c:tx>
              <c:spPr/>
              <c:showLegendKey val="0"/>
              <c:showVal val="0"/>
              <c:showCatName val="0"/>
              <c:showSerName val="0"/>
              <c:showPercent val="0"/>
              <c:showBubbleSize val="0"/>
              <c:extLst>
                <c:ext xmlns:c15="http://schemas.microsoft.com/office/drawing/2012/chart" uri="{CE6537A1-D6FC-4f65-9D91-7224C49458BB}"/>
              </c:extLst>
            </c:dLbl>
            <c:dLbl>
              <c:idx val="4"/>
              <c:tx>
                <c:rich>
                  <a:bodyPr/>
                  <a:lstStyle/>
                  <a:p>
                    <a:pPr>
                      <a:defRPr/>
                    </a:pPr>
                    <a:endParaRPr lang="en-US"/>
                  </a:p>
                  <a:p>
                    <a:pPr>
                      <a:defRPr/>
                    </a:pPr>
                    <a:r>
                      <a:rPr lang="en-US"/>
                      <a:t>a</a:t>
                    </a:r>
                  </a:p>
                </c:rich>
              </c:tx>
              <c:spPr/>
              <c:showLegendKey val="0"/>
              <c:showVal val="0"/>
              <c:showCatName val="0"/>
              <c:showSerName val="0"/>
              <c:showPercent val="0"/>
              <c:showBubbleSize val="0"/>
              <c:extLst>
                <c:ext xmlns:c15="http://schemas.microsoft.com/office/drawing/2012/chart" uri="{CE6537A1-D6FC-4f65-9D91-7224C49458BB}"/>
              </c:extLst>
            </c:dLbl>
            <c:dLbl>
              <c:idx val="5"/>
              <c:tx>
                <c:rich>
                  <a:bodyPr/>
                  <a:lstStyle/>
                  <a:p>
                    <a:pPr>
                      <a:defRPr/>
                    </a:pPr>
                    <a:r>
                      <a:rPr lang="en-US"/>
                      <a:t>a</a:t>
                    </a:r>
                  </a:p>
                </c:rich>
              </c:tx>
              <c:spPr/>
              <c:showLegendKey val="0"/>
              <c:showVal val="0"/>
              <c:showCatName val="0"/>
              <c:showSerName val="0"/>
              <c:showPercent val="0"/>
              <c:showBubbleSize val="0"/>
              <c:extLst>
                <c:ext xmlns:c15="http://schemas.microsoft.com/office/drawing/2012/chart" uri="{CE6537A1-D6FC-4f65-9D91-7224C49458BB}"/>
              </c:extLst>
            </c:dLbl>
            <c:dLbl>
              <c:idx val="6"/>
              <c:tx>
                <c:rich>
                  <a:bodyPr/>
                  <a:lstStyle/>
                  <a:p>
                    <a:pPr>
                      <a:defRPr/>
                    </a:pPr>
                    <a:r>
                      <a:rPr lang="en-US"/>
                      <a:t>a</a:t>
                    </a:r>
                  </a:p>
                </c:rich>
              </c:tx>
              <c:spPr/>
              <c:showLegendKey val="0"/>
              <c:showVal val="0"/>
              <c:showCatName val="0"/>
              <c:showSerName val="0"/>
              <c:showPercent val="0"/>
              <c:showBubbleSize val="0"/>
              <c:extLst>
                <c:ext xmlns:c15="http://schemas.microsoft.com/office/drawing/2012/chart" uri="{CE6537A1-D6FC-4f65-9D91-7224C49458BB}"/>
              </c:extLst>
            </c:dLbl>
            <c:dLbl>
              <c:idx val="7"/>
              <c:tx>
                <c:rich>
                  <a:bodyPr/>
                  <a:lstStyle/>
                  <a:p>
                    <a:pPr>
                      <a:defRPr/>
                    </a:pPr>
                    <a:r>
                      <a:rPr lang="en-US"/>
                      <a:t>a</a:t>
                    </a:r>
                  </a:p>
                </c:rich>
              </c:tx>
              <c:spPr/>
              <c:showLegendKey val="0"/>
              <c:showVal val="0"/>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Sheet1!$A$3:$A$10</c:f>
              <c:strCache>
                <c:ptCount val="8"/>
                <c:pt idx="0">
                  <c:v>AS</c:v>
                </c:pt>
                <c:pt idx="1">
                  <c:v>K3</c:v>
                </c:pt>
                <c:pt idx="2">
                  <c:v>M</c:v>
                </c:pt>
                <c:pt idx="3">
                  <c:v>K2</c:v>
                </c:pt>
                <c:pt idx="4">
                  <c:v>T1</c:v>
                </c:pt>
                <c:pt idx="5">
                  <c:v>T4</c:v>
                </c:pt>
                <c:pt idx="6">
                  <c:v>A1</c:v>
                </c:pt>
                <c:pt idx="7">
                  <c:v>A10</c:v>
                </c:pt>
              </c:strCache>
            </c:strRef>
          </c:cat>
          <c:val>
            <c:numRef>
              <c:f>Sheet1!$C$3:$C$10</c:f>
              <c:numCache>
                <c:formatCode>General</c:formatCode>
                <c:ptCount val="8"/>
                <c:pt idx="0">
                  <c:v>37</c:v>
                </c:pt>
                <c:pt idx="1">
                  <c:v>42</c:v>
                </c:pt>
                <c:pt idx="2">
                  <c:v>91</c:v>
                </c:pt>
                <c:pt idx="3">
                  <c:v>70</c:v>
                </c:pt>
                <c:pt idx="4">
                  <c:v>114</c:v>
                </c:pt>
                <c:pt idx="5">
                  <c:v>130</c:v>
                </c:pt>
                <c:pt idx="6">
                  <c:v>134</c:v>
                </c:pt>
                <c:pt idx="7">
                  <c:v>137</c:v>
                </c:pt>
              </c:numCache>
            </c:numRef>
          </c:val>
        </c:ser>
        <c:dLbls>
          <c:showLegendKey val="0"/>
          <c:showVal val="0"/>
          <c:showCatName val="0"/>
          <c:showSerName val="0"/>
          <c:showPercent val="0"/>
          <c:showBubbleSize val="0"/>
        </c:dLbls>
        <c:gapWidth val="150"/>
        <c:axId val="196078264"/>
        <c:axId val="349828768"/>
      </c:barChart>
      <c:catAx>
        <c:axId val="196078264"/>
        <c:scaling>
          <c:orientation val="minMax"/>
        </c:scaling>
        <c:delete val="0"/>
        <c:axPos val="b"/>
        <c:numFmt formatCode="General" sourceLinked="1"/>
        <c:majorTickMark val="out"/>
        <c:minorTickMark val="none"/>
        <c:tickLblPos val="nextTo"/>
        <c:crossAx val="349828768"/>
        <c:crosses val="autoZero"/>
        <c:auto val="1"/>
        <c:lblAlgn val="ctr"/>
        <c:lblOffset val="100"/>
        <c:noMultiLvlLbl val="0"/>
      </c:catAx>
      <c:valAx>
        <c:axId val="349828768"/>
        <c:scaling>
          <c:orientation val="minMax"/>
        </c:scaling>
        <c:delete val="0"/>
        <c:axPos val="l"/>
        <c:numFmt formatCode="General" sourceLinked="1"/>
        <c:majorTickMark val="out"/>
        <c:minorTickMark val="none"/>
        <c:tickLblPos val="nextTo"/>
        <c:crossAx val="196078264"/>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Sheet1!$D$2</c:f>
              <c:strCache>
                <c:ptCount val="1"/>
                <c:pt idx="0">
                  <c:v>Year 2 (2013)</c:v>
                </c:pt>
              </c:strCache>
            </c:strRef>
          </c:tx>
          <c:spPr>
            <a:solidFill>
              <a:schemeClr val="tx1">
                <a:lumMod val="85000"/>
                <a:lumOff val="15000"/>
              </a:schemeClr>
            </a:solidFill>
          </c:spPr>
          <c:invertIfNegative val="0"/>
          <c:dLbls>
            <c:dLbl>
              <c:idx val="0"/>
              <c:tx>
                <c:rich>
                  <a:bodyPr/>
                  <a:lstStyle/>
                  <a:p>
                    <a:pPr>
                      <a:defRPr/>
                    </a:pPr>
                    <a:endParaRPr lang="en-US"/>
                  </a:p>
                  <a:p>
                    <a:pPr>
                      <a:defRPr/>
                    </a:pPr>
                    <a:r>
                      <a:rPr lang="en-US"/>
                      <a:t>c</a:t>
                    </a:r>
                  </a:p>
                </c:rich>
              </c:tx>
              <c:spPr/>
              <c:showLegendKey val="0"/>
              <c:showVal val="0"/>
              <c:showCatName val="0"/>
              <c:showSerName val="0"/>
              <c:showPercent val="0"/>
              <c:showBubbleSize val="0"/>
              <c:extLst>
                <c:ext xmlns:c15="http://schemas.microsoft.com/office/drawing/2012/chart" uri="{CE6537A1-D6FC-4f65-9D91-7224C49458BB}"/>
              </c:extLst>
            </c:dLbl>
            <c:dLbl>
              <c:idx val="1"/>
              <c:tx>
                <c:rich>
                  <a:bodyPr/>
                  <a:lstStyle/>
                  <a:p>
                    <a:pPr>
                      <a:defRPr/>
                    </a:pPr>
                    <a:endParaRPr lang="en-US"/>
                  </a:p>
                  <a:p>
                    <a:pPr>
                      <a:defRPr/>
                    </a:pPr>
                    <a:r>
                      <a:rPr lang="en-US"/>
                      <a:t>b</a:t>
                    </a:r>
                  </a:p>
                </c:rich>
              </c:tx>
              <c:spPr/>
              <c:showLegendKey val="0"/>
              <c:showVal val="0"/>
              <c:showCatName val="0"/>
              <c:showSerName val="0"/>
              <c:showPercent val="0"/>
              <c:showBubbleSize val="0"/>
              <c:extLst>
                <c:ext xmlns:c15="http://schemas.microsoft.com/office/drawing/2012/chart" uri="{CE6537A1-D6FC-4f65-9D91-7224C49458BB}"/>
              </c:extLst>
            </c:dLbl>
            <c:dLbl>
              <c:idx val="2"/>
              <c:tx>
                <c:rich>
                  <a:bodyPr/>
                  <a:lstStyle/>
                  <a:p>
                    <a:pPr>
                      <a:defRPr/>
                    </a:pPr>
                    <a:endParaRPr lang="en-US"/>
                  </a:p>
                  <a:p>
                    <a:pPr>
                      <a:defRPr/>
                    </a:pPr>
                    <a:r>
                      <a:rPr lang="en-US"/>
                      <a:t>b</a:t>
                    </a:r>
                  </a:p>
                </c:rich>
              </c:tx>
              <c:spPr/>
              <c:showLegendKey val="0"/>
              <c:showVal val="0"/>
              <c:showCatName val="0"/>
              <c:showSerName val="0"/>
              <c:showPercent val="0"/>
              <c:showBubbleSize val="0"/>
              <c:extLst>
                <c:ext xmlns:c15="http://schemas.microsoft.com/office/drawing/2012/chart" uri="{CE6537A1-D6FC-4f65-9D91-7224C49458BB}"/>
              </c:extLst>
            </c:dLbl>
            <c:dLbl>
              <c:idx val="3"/>
              <c:tx>
                <c:rich>
                  <a:bodyPr/>
                  <a:lstStyle/>
                  <a:p>
                    <a:pPr>
                      <a:defRPr/>
                    </a:pPr>
                    <a:endParaRPr lang="en-US"/>
                  </a:p>
                  <a:p>
                    <a:pPr>
                      <a:defRPr/>
                    </a:pPr>
                    <a:r>
                      <a:rPr lang="en-US"/>
                      <a:t>b</a:t>
                    </a:r>
                  </a:p>
                </c:rich>
              </c:tx>
              <c:spPr/>
              <c:showLegendKey val="0"/>
              <c:showVal val="0"/>
              <c:showCatName val="0"/>
              <c:showSerName val="0"/>
              <c:showPercent val="0"/>
              <c:showBubbleSize val="0"/>
              <c:extLst>
                <c:ext xmlns:c15="http://schemas.microsoft.com/office/drawing/2012/chart" uri="{CE6537A1-D6FC-4f65-9D91-7224C49458BB}"/>
              </c:extLst>
            </c:dLbl>
            <c:dLbl>
              <c:idx val="4"/>
              <c:tx>
                <c:rich>
                  <a:bodyPr/>
                  <a:lstStyle/>
                  <a:p>
                    <a:pPr>
                      <a:defRPr/>
                    </a:pPr>
                    <a:endParaRPr lang="en-US"/>
                  </a:p>
                  <a:p>
                    <a:pPr>
                      <a:defRPr/>
                    </a:pPr>
                    <a:r>
                      <a:rPr lang="en-US"/>
                      <a:t>b</a:t>
                    </a:r>
                  </a:p>
                </c:rich>
              </c:tx>
              <c:spPr/>
              <c:showLegendKey val="0"/>
              <c:showVal val="0"/>
              <c:showCatName val="0"/>
              <c:showSerName val="0"/>
              <c:showPercent val="0"/>
              <c:showBubbleSize val="0"/>
              <c:extLst>
                <c:ext xmlns:c15="http://schemas.microsoft.com/office/drawing/2012/chart" uri="{CE6537A1-D6FC-4f65-9D91-7224C49458BB}"/>
              </c:extLst>
            </c:dLbl>
            <c:dLbl>
              <c:idx val="5"/>
              <c:tx>
                <c:rich>
                  <a:bodyPr/>
                  <a:lstStyle/>
                  <a:p>
                    <a:pPr>
                      <a:defRPr/>
                    </a:pPr>
                    <a:endParaRPr lang="en-US"/>
                  </a:p>
                  <a:p>
                    <a:pPr>
                      <a:defRPr/>
                    </a:pPr>
                    <a:r>
                      <a:rPr lang="en-US"/>
                      <a:t>a</a:t>
                    </a:r>
                  </a:p>
                </c:rich>
              </c:tx>
              <c:spPr/>
              <c:showLegendKey val="0"/>
              <c:showVal val="0"/>
              <c:showCatName val="0"/>
              <c:showSerName val="0"/>
              <c:showPercent val="0"/>
              <c:showBubbleSize val="0"/>
              <c:extLst>
                <c:ext xmlns:c15="http://schemas.microsoft.com/office/drawing/2012/chart" uri="{CE6537A1-D6FC-4f65-9D91-7224C49458BB}"/>
              </c:extLst>
            </c:dLbl>
            <c:dLbl>
              <c:idx val="6"/>
              <c:tx>
                <c:rich>
                  <a:bodyPr/>
                  <a:lstStyle/>
                  <a:p>
                    <a:pPr>
                      <a:defRPr/>
                    </a:pPr>
                    <a:endParaRPr lang="en-US"/>
                  </a:p>
                  <a:p>
                    <a:pPr>
                      <a:defRPr/>
                    </a:pPr>
                    <a:r>
                      <a:rPr lang="en-US"/>
                      <a:t>a</a:t>
                    </a:r>
                  </a:p>
                </c:rich>
              </c:tx>
              <c:spPr/>
              <c:showLegendKey val="0"/>
              <c:showVal val="0"/>
              <c:showCatName val="0"/>
              <c:showSerName val="0"/>
              <c:showPercent val="0"/>
              <c:showBubbleSize val="0"/>
              <c:extLst>
                <c:ext xmlns:c15="http://schemas.microsoft.com/office/drawing/2012/chart" uri="{CE6537A1-D6FC-4f65-9D91-7224C49458BB}"/>
              </c:extLst>
            </c:dLbl>
            <c:dLbl>
              <c:idx val="7"/>
              <c:tx>
                <c:rich>
                  <a:bodyPr/>
                  <a:lstStyle/>
                  <a:p>
                    <a:pPr>
                      <a:defRPr/>
                    </a:pPr>
                    <a:r>
                      <a:rPr lang="en-US"/>
                      <a:t>a</a:t>
                    </a:r>
                  </a:p>
                </c:rich>
              </c:tx>
              <c:spPr/>
              <c:showLegendKey val="0"/>
              <c:showVal val="0"/>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Sheet1!$A$3:$A$10</c:f>
              <c:strCache>
                <c:ptCount val="8"/>
                <c:pt idx="0">
                  <c:v>AS</c:v>
                </c:pt>
                <c:pt idx="1">
                  <c:v>K3</c:v>
                </c:pt>
                <c:pt idx="2">
                  <c:v>M</c:v>
                </c:pt>
                <c:pt idx="3">
                  <c:v>K2</c:v>
                </c:pt>
                <c:pt idx="4">
                  <c:v>T1</c:v>
                </c:pt>
                <c:pt idx="5">
                  <c:v>T4</c:v>
                </c:pt>
                <c:pt idx="6">
                  <c:v>A1</c:v>
                </c:pt>
                <c:pt idx="7">
                  <c:v>A10</c:v>
                </c:pt>
              </c:strCache>
            </c:strRef>
          </c:cat>
          <c:val>
            <c:numRef>
              <c:f>Sheet1!$D$3:$D$10</c:f>
              <c:numCache>
                <c:formatCode>General</c:formatCode>
                <c:ptCount val="8"/>
                <c:pt idx="0">
                  <c:v>350</c:v>
                </c:pt>
                <c:pt idx="1">
                  <c:v>792</c:v>
                </c:pt>
                <c:pt idx="2">
                  <c:v>830</c:v>
                </c:pt>
                <c:pt idx="3">
                  <c:v>1022</c:v>
                </c:pt>
                <c:pt idx="4">
                  <c:v>1084</c:v>
                </c:pt>
                <c:pt idx="5">
                  <c:v>1447</c:v>
                </c:pt>
                <c:pt idx="6">
                  <c:v>1454</c:v>
                </c:pt>
                <c:pt idx="7">
                  <c:v>1491</c:v>
                </c:pt>
              </c:numCache>
            </c:numRef>
          </c:val>
        </c:ser>
        <c:dLbls>
          <c:showLegendKey val="0"/>
          <c:showVal val="0"/>
          <c:showCatName val="0"/>
          <c:showSerName val="0"/>
          <c:showPercent val="0"/>
          <c:showBubbleSize val="0"/>
        </c:dLbls>
        <c:gapWidth val="150"/>
        <c:axId val="349829552"/>
        <c:axId val="349829944"/>
      </c:barChart>
      <c:catAx>
        <c:axId val="349829552"/>
        <c:scaling>
          <c:orientation val="minMax"/>
        </c:scaling>
        <c:delete val="0"/>
        <c:axPos val="b"/>
        <c:numFmt formatCode="General" sourceLinked="1"/>
        <c:majorTickMark val="out"/>
        <c:minorTickMark val="none"/>
        <c:tickLblPos val="nextTo"/>
        <c:crossAx val="349829944"/>
        <c:crosses val="autoZero"/>
        <c:auto val="1"/>
        <c:lblAlgn val="ctr"/>
        <c:lblOffset val="100"/>
        <c:noMultiLvlLbl val="0"/>
      </c:catAx>
      <c:valAx>
        <c:axId val="349829944"/>
        <c:scaling>
          <c:orientation val="minMax"/>
        </c:scaling>
        <c:delete val="0"/>
        <c:axPos val="l"/>
        <c:numFmt formatCode="General" sourceLinked="1"/>
        <c:majorTickMark val="out"/>
        <c:minorTickMark val="none"/>
        <c:tickLblPos val="nextTo"/>
        <c:crossAx val="349829552"/>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tx>
            <c:strRef>
              <c:f>Sheet1!$B$14</c:f>
              <c:strCache>
                <c:ptCount val="1"/>
                <c:pt idx="0">
                  <c:v>Year 1 (2012)</c:v>
                </c:pt>
              </c:strCache>
            </c:strRef>
          </c:tx>
          <c:spPr>
            <a:solidFill>
              <a:schemeClr val="bg1">
                <a:lumMod val="50000"/>
              </a:schemeClr>
            </a:solidFill>
          </c:spPr>
          <c:invertIfNegative val="0"/>
          <c:dLbls>
            <c:dLbl>
              <c:idx val="0"/>
              <c:tx>
                <c:rich>
                  <a:bodyPr/>
                  <a:lstStyle/>
                  <a:p>
                    <a:pPr>
                      <a:defRPr/>
                    </a:pPr>
                    <a:r>
                      <a:rPr lang="en-US"/>
                      <a:t>a</a:t>
                    </a:r>
                  </a:p>
                </c:rich>
              </c:tx>
              <c:spPr/>
              <c:showLegendKey val="0"/>
              <c:showVal val="0"/>
              <c:showCatName val="0"/>
              <c:showSerName val="0"/>
              <c:showPercent val="0"/>
              <c:showBubbleSize val="0"/>
              <c:extLst>
                <c:ext xmlns:c15="http://schemas.microsoft.com/office/drawing/2012/chart" uri="{CE6537A1-D6FC-4f65-9D91-7224C49458BB}"/>
              </c:extLst>
            </c:dLbl>
            <c:dLbl>
              <c:idx val="1"/>
              <c:tx>
                <c:rich>
                  <a:bodyPr/>
                  <a:lstStyle/>
                  <a:p>
                    <a:pPr>
                      <a:defRPr/>
                    </a:pPr>
                    <a:r>
                      <a:rPr lang="en-US"/>
                      <a:t>c</a:t>
                    </a:r>
                  </a:p>
                </c:rich>
              </c:tx>
              <c:spPr/>
              <c:showLegendKey val="0"/>
              <c:showVal val="0"/>
              <c:showCatName val="0"/>
              <c:showSerName val="0"/>
              <c:showPercent val="0"/>
              <c:showBubbleSize val="0"/>
              <c:extLst>
                <c:ext xmlns:c15="http://schemas.microsoft.com/office/drawing/2012/chart" uri="{CE6537A1-D6FC-4f65-9D91-7224C49458BB}"/>
              </c:extLst>
            </c:dLbl>
            <c:dLbl>
              <c:idx val="2"/>
              <c:tx>
                <c:rich>
                  <a:bodyPr/>
                  <a:lstStyle/>
                  <a:p>
                    <a:pPr>
                      <a:defRPr/>
                    </a:pPr>
                    <a:r>
                      <a:rPr lang="en-US"/>
                      <a:t>c</a:t>
                    </a:r>
                  </a:p>
                </c:rich>
              </c:tx>
              <c:spPr/>
              <c:showLegendKey val="0"/>
              <c:showVal val="0"/>
              <c:showCatName val="0"/>
              <c:showSerName val="0"/>
              <c:showPercent val="0"/>
              <c:showBubbleSize val="0"/>
              <c:extLst>
                <c:ext xmlns:c15="http://schemas.microsoft.com/office/drawing/2012/chart" uri="{CE6537A1-D6FC-4f65-9D91-7224C49458BB}"/>
              </c:extLst>
            </c:dLbl>
            <c:dLbl>
              <c:idx val="3"/>
              <c:tx>
                <c:rich>
                  <a:bodyPr/>
                  <a:lstStyle/>
                  <a:p>
                    <a:pPr>
                      <a:defRPr/>
                    </a:pPr>
                    <a:r>
                      <a:rPr lang="en-US"/>
                      <a:t>b</a:t>
                    </a:r>
                  </a:p>
                </c:rich>
              </c:tx>
              <c:spPr/>
              <c:showLegendKey val="0"/>
              <c:showVal val="0"/>
              <c:showCatName val="0"/>
              <c:showSerName val="0"/>
              <c:showPercent val="0"/>
              <c:showBubbleSize val="0"/>
              <c:extLst>
                <c:ext xmlns:c15="http://schemas.microsoft.com/office/drawing/2012/chart" uri="{CE6537A1-D6FC-4f65-9D91-7224C49458BB}"/>
              </c:extLst>
            </c:dLbl>
            <c:dLbl>
              <c:idx val="4"/>
              <c:tx>
                <c:rich>
                  <a:bodyPr/>
                  <a:lstStyle/>
                  <a:p>
                    <a:pPr>
                      <a:defRPr/>
                    </a:pPr>
                    <a:r>
                      <a:rPr lang="en-US"/>
                      <a:t>b</a:t>
                    </a:r>
                  </a:p>
                </c:rich>
              </c:tx>
              <c:spPr/>
              <c:showLegendKey val="0"/>
              <c:showVal val="0"/>
              <c:showCatName val="0"/>
              <c:showSerName val="0"/>
              <c:showPercent val="0"/>
              <c:showBubbleSize val="0"/>
              <c:extLst>
                <c:ext xmlns:c15="http://schemas.microsoft.com/office/drawing/2012/chart" uri="{CE6537A1-D6FC-4f65-9D91-7224C49458BB}"/>
              </c:extLst>
            </c:dLbl>
            <c:dLbl>
              <c:idx val="5"/>
              <c:tx>
                <c:rich>
                  <a:bodyPr/>
                  <a:lstStyle/>
                  <a:p>
                    <a:pPr>
                      <a:defRPr/>
                    </a:pPr>
                    <a:r>
                      <a:rPr lang="en-US"/>
                      <a:t>b</a:t>
                    </a:r>
                  </a:p>
                </c:rich>
              </c:tx>
              <c:spPr/>
              <c:showLegendKey val="0"/>
              <c:showVal val="0"/>
              <c:showCatName val="0"/>
              <c:showSerName val="0"/>
              <c:showPercent val="0"/>
              <c:showBubbleSize val="0"/>
              <c:extLst>
                <c:ext xmlns:c15="http://schemas.microsoft.com/office/drawing/2012/chart" uri="{CE6537A1-D6FC-4f65-9D91-7224C49458BB}"/>
              </c:extLst>
            </c:dLbl>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Sheet1!$A$15:$A$20</c:f>
              <c:strCache>
                <c:ptCount val="6"/>
                <c:pt idx="0">
                  <c:v>A10</c:v>
                </c:pt>
                <c:pt idx="1">
                  <c:v>A1</c:v>
                </c:pt>
                <c:pt idx="2">
                  <c:v>K2</c:v>
                </c:pt>
                <c:pt idx="3">
                  <c:v>M</c:v>
                </c:pt>
                <c:pt idx="4">
                  <c:v>K3</c:v>
                </c:pt>
                <c:pt idx="5">
                  <c:v>T1</c:v>
                </c:pt>
              </c:strCache>
            </c:strRef>
          </c:cat>
          <c:val>
            <c:numRef>
              <c:f>Sheet1!$B$15:$B$20</c:f>
              <c:numCache>
                <c:formatCode>General</c:formatCode>
                <c:ptCount val="6"/>
                <c:pt idx="0">
                  <c:v>70</c:v>
                </c:pt>
                <c:pt idx="1">
                  <c:v>59</c:v>
                </c:pt>
                <c:pt idx="2">
                  <c:v>59</c:v>
                </c:pt>
                <c:pt idx="3">
                  <c:v>65</c:v>
                </c:pt>
                <c:pt idx="4">
                  <c:v>66</c:v>
                </c:pt>
                <c:pt idx="5">
                  <c:v>67</c:v>
                </c:pt>
              </c:numCache>
            </c:numRef>
          </c:val>
        </c:ser>
        <c:ser>
          <c:idx val="1"/>
          <c:order val="1"/>
          <c:tx>
            <c:strRef>
              <c:f>Sheet1!$C$14</c:f>
              <c:strCache>
                <c:ptCount val="1"/>
                <c:pt idx="0">
                  <c:v>Year 2 (2013)</c:v>
                </c:pt>
              </c:strCache>
            </c:strRef>
          </c:tx>
          <c:spPr>
            <a:solidFill>
              <a:schemeClr val="tx1">
                <a:lumMod val="85000"/>
                <a:lumOff val="15000"/>
              </a:schemeClr>
            </a:solidFill>
          </c:spPr>
          <c:invertIfNegative val="0"/>
          <c:dLbls>
            <c:dLbl>
              <c:idx val="0"/>
              <c:tx>
                <c:rich>
                  <a:bodyPr/>
                  <a:lstStyle/>
                  <a:p>
                    <a:pPr>
                      <a:defRPr/>
                    </a:pPr>
                    <a:r>
                      <a:rPr lang="en-US"/>
                      <a:t>c</a:t>
                    </a:r>
                  </a:p>
                </c:rich>
              </c:tx>
              <c:spPr/>
              <c:showLegendKey val="0"/>
              <c:showVal val="0"/>
              <c:showCatName val="0"/>
              <c:showSerName val="0"/>
              <c:showPercent val="0"/>
              <c:showBubbleSize val="0"/>
              <c:extLst>
                <c:ext xmlns:c15="http://schemas.microsoft.com/office/drawing/2012/chart" uri="{CE6537A1-D6FC-4f65-9D91-7224C49458BB}"/>
              </c:extLst>
            </c:dLbl>
            <c:dLbl>
              <c:idx val="1"/>
              <c:tx>
                <c:rich>
                  <a:bodyPr/>
                  <a:lstStyle/>
                  <a:p>
                    <a:pPr>
                      <a:defRPr/>
                    </a:pPr>
                    <a:r>
                      <a:rPr lang="en-US"/>
                      <a:t>c</a:t>
                    </a:r>
                  </a:p>
                </c:rich>
              </c:tx>
              <c:spPr/>
              <c:showLegendKey val="0"/>
              <c:showVal val="0"/>
              <c:showCatName val="0"/>
              <c:showSerName val="0"/>
              <c:showPercent val="0"/>
              <c:showBubbleSize val="0"/>
              <c:extLst>
                <c:ext xmlns:c15="http://schemas.microsoft.com/office/drawing/2012/chart" uri="{CE6537A1-D6FC-4f65-9D91-7224C49458BB}"/>
              </c:extLst>
            </c:dLbl>
            <c:dLbl>
              <c:idx val="2"/>
              <c:tx>
                <c:rich>
                  <a:bodyPr/>
                  <a:lstStyle/>
                  <a:p>
                    <a:pPr>
                      <a:defRPr/>
                    </a:pPr>
                    <a:r>
                      <a:rPr lang="en-US"/>
                      <a:t>b</a:t>
                    </a:r>
                  </a:p>
                </c:rich>
              </c:tx>
              <c:spPr/>
              <c:showLegendKey val="0"/>
              <c:showVal val="0"/>
              <c:showCatName val="0"/>
              <c:showSerName val="0"/>
              <c:showPercent val="0"/>
              <c:showBubbleSize val="0"/>
              <c:extLst>
                <c:ext xmlns:c15="http://schemas.microsoft.com/office/drawing/2012/chart" uri="{CE6537A1-D6FC-4f65-9D91-7224C49458BB}"/>
              </c:extLst>
            </c:dLbl>
            <c:dLbl>
              <c:idx val="3"/>
              <c:tx>
                <c:rich>
                  <a:bodyPr/>
                  <a:lstStyle/>
                  <a:p>
                    <a:pPr>
                      <a:defRPr/>
                    </a:pPr>
                    <a:r>
                      <a:rPr lang="en-US"/>
                      <a:t>ab</a:t>
                    </a:r>
                  </a:p>
                </c:rich>
              </c:tx>
              <c:spPr/>
              <c:showLegendKey val="0"/>
              <c:showVal val="0"/>
              <c:showCatName val="0"/>
              <c:showSerName val="0"/>
              <c:showPercent val="0"/>
              <c:showBubbleSize val="0"/>
              <c:extLst>
                <c:ext xmlns:c15="http://schemas.microsoft.com/office/drawing/2012/chart" uri="{CE6537A1-D6FC-4f65-9D91-7224C49458BB}"/>
              </c:extLst>
            </c:dLbl>
            <c:dLbl>
              <c:idx val="4"/>
              <c:tx>
                <c:rich>
                  <a:bodyPr/>
                  <a:lstStyle/>
                  <a:p>
                    <a:pPr>
                      <a:defRPr/>
                    </a:pPr>
                    <a:r>
                      <a:rPr lang="en-US"/>
                      <a:t>ab</a:t>
                    </a:r>
                  </a:p>
                </c:rich>
              </c:tx>
              <c:spPr/>
              <c:showLegendKey val="0"/>
              <c:showVal val="0"/>
              <c:showCatName val="0"/>
              <c:showSerName val="0"/>
              <c:showPercent val="0"/>
              <c:showBubbleSize val="0"/>
              <c:extLst>
                <c:ext xmlns:c15="http://schemas.microsoft.com/office/drawing/2012/chart" uri="{CE6537A1-D6FC-4f65-9D91-7224C49458BB}"/>
              </c:extLst>
            </c:dLbl>
            <c:dLbl>
              <c:idx val="5"/>
              <c:tx>
                <c:rich>
                  <a:bodyPr/>
                  <a:lstStyle/>
                  <a:p>
                    <a:pPr>
                      <a:defRPr/>
                    </a:pPr>
                    <a:r>
                      <a:rPr lang="en-US"/>
                      <a:t>a</a:t>
                    </a:r>
                  </a:p>
                </c:rich>
              </c:tx>
              <c:spPr/>
              <c:showLegendKey val="0"/>
              <c:showVal val="0"/>
              <c:showCatName val="0"/>
              <c:showSerName val="0"/>
              <c:showPercent val="0"/>
              <c:showBubbleSize val="0"/>
              <c:extLst>
                <c:ext xmlns:c15="http://schemas.microsoft.com/office/drawing/2012/chart" uri="{CE6537A1-D6FC-4f65-9D91-7224C49458BB}"/>
              </c:extLst>
            </c:dLbl>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Sheet1!$A$15:$A$20</c:f>
              <c:strCache>
                <c:ptCount val="6"/>
                <c:pt idx="0">
                  <c:v>A10</c:v>
                </c:pt>
                <c:pt idx="1">
                  <c:v>A1</c:v>
                </c:pt>
                <c:pt idx="2">
                  <c:v>K2</c:v>
                </c:pt>
                <c:pt idx="3">
                  <c:v>M</c:v>
                </c:pt>
                <c:pt idx="4">
                  <c:v>K3</c:v>
                </c:pt>
                <c:pt idx="5">
                  <c:v>T1</c:v>
                </c:pt>
              </c:strCache>
            </c:strRef>
          </c:cat>
          <c:val>
            <c:numRef>
              <c:f>Sheet1!$C$15:$C$20</c:f>
              <c:numCache>
                <c:formatCode>General</c:formatCode>
                <c:ptCount val="6"/>
                <c:pt idx="0">
                  <c:v>58</c:v>
                </c:pt>
                <c:pt idx="1">
                  <c:v>59</c:v>
                </c:pt>
                <c:pt idx="2">
                  <c:v>64</c:v>
                </c:pt>
                <c:pt idx="3">
                  <c:v>65</c:v>
                </c:pt>
                <c:pt idx="4">
                  <c:v>67</c:v>
                </c:pt>
                <c:pt idx="5">
                  <c:v>67</c:v>
                </c:pt>
              </c:numCache>
            </c:numRef>
          </c:val>
        </c:ser>
        <c:dLbls>
          <c:showLegendKey val="0"/>
          <c:showVal val="0"/>
          <c:showCatName val="0"/>
          <c:showSerName val="0"/>
          <c:showPercent val="0"/>
          <c:showBubbleSize val="0"/>
        </c:dLbls>
        <c:gapWidth val="150"/>
        <c:axId val="349830336"/>
        <c:axId val="344682528"/>
      </c:barChart>
      <c:catAx>
        <c:axId val="349830336"/>
        <c:scaling>
          <c:orientation val="minMax"/>
        </c:scaling>
        <c:delete val="0"/>
        <c:axPos val="b"/>
        <c:numFmt formatCode="General" sourceLinked="1"/>
        <c:majorTickMark val="out"/>
        <c:minorTickMark val="none"/>
        <c:tickLblPos val="nextTo"/>
        <c:crossAx val="344682528"/>
        <c:crosses val="autoZero"/>
        <c:auto val="1"/>
        <c:lblAlgn val="ctr"/>
        <c:lblOffset val="100"/>
        <c:noMultiLvlLbl val="0"/>
      </c:catAx>
      <c:valAx>
        <c:axId val="344682528"/>
        <c:scaling>
          <c:orientation val="minMax"/>
        </c:scaling>
        <c:delete val="0"/>
        <c:axPos val="l"/>
        <c:numFmt formatCode="General" sourceLinked="1"/>
        <c:majorTickMark val="out"/>
        <c:minorTickMark val="none"/>
        <c:tickLblPos val="nextTo"/>
        <c:crossAx val="349830336"/>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yield!$E$1</c:f>
              <c:strCache>
                <c:ptCount val="1"/>
                <c:pt idx="0">
                  <c:v>mean</c:v>
                </c:pt>
              </c:strCache>
            </c:strRef>
          </c:tx>
          <c:spPr>
            <a:solidFill>
              <a:schemeClr val="bg1">
                <a:lumMod val="65000"/>
              </a:schemeClr>
            </a:solidFill>
          </c:spPr>
          <c:invertIfNegative val="0"/>
          <c:dLbls>
            <c:dLbl>
              <c:idx val="0"/>
              <c:layout>
                <c:manualLayout>
                  <c:x val="2.7777777777777809E-3"/>
                  <c:y val="-4.6296296296296315E-2"/>
                </c:manualLayout>
              </c:layout>
              <c:tx>
                <c:rich>
                  <a:bodyPr/>
                  <a:lstStyle/>
                  <a:p>
                    <a:r>
                      <a:rPr lang="en-US"/>
                      <a:t>1146</a:t>
                    </a:r>
                  </a:p>
                  <a:p>
                    <a:r>
                      <a:rPr lang="en-US"/>
                      <a:t>b</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2.7777777777777809E-3"/>
                  <c:y val="-1.8518518518518524E-2"/>
                </c:manualLayout>
              </c:layout>
              <c:tx>
                <c:rich>
                  <a:bodyPr/>
                  <a:lstStyle/>
                  <a:p>
                    <a:r>
                      <a:rPr lang="en-US"/>
                      <a:t>1522</a:t>
                    </a:r>
                  </a:p>
                  <a:p>
                    <a:r>
                      <a:rPr lang="en-US"/>
                      <a:t>a</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0"/>
                  <c:y val="-1.8518518518518524E-2"/>
                </c:manualLayout>
              </c:layout>
              <c:tx>
                <c:rich>
                  <a:bodyPr/>
                  <a:lstStyle/>
                  <a:p>
                    <a:r>
                      <a:rPr lang="en-US"/>
                      <a:t>1595</a:t>
                    </a:r>
                  </a:p>
                  <a:p>
                    <a:r>
                      <a:rPr lang="en-US"/>
                      <a:t>a</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yield!$F$2:$F$4</c:f>
                <c:numCache>
                  <c:formatCode>General</c:formatCode>
                  <c:ptCount val="3"/>
                  <c:pt idx="0">
                    <c:v>108.46845680549346</c:v>
                  </c:pt>
                  <c:pt idx="1">
                    <c:v>47.169847861875752</c:v>
                  </c:pt>
                  <c:pt idx="2">
                    <c:v>36.695679003951788</c:v>
                  </c:pt>
                </c:numCache>
              </c:numRef>
            </c:plus>
            <c:minus>
              <c:numRef>
                <c:f>yield!$F$2:$F$4</c:f>
                <c:numCache>
                  <c:formatCode>General</c:formatCode>
                  <c:ptCount val="3"/>
                  <c:pt idx="0">
                    <c:v>108.46845680549346</c:v>
                  </c:pt>
                  <c:pt idx="1">
                    <c:v>47.169847861875752</c:v>
                  </c:pt>
                  <c:pt idx="2">
                    <c:v>36.695679003951788</c:v>
                  </c:pt>
                </c:numCache>
              </c:numRef>
            </c:minus>
          </c:errBars>
          <c:cat>
            <c:strRef>
              <c:f>yield!$D$2:$D$4</c:f>
              <c:strCache>
                <c:ptCount val="3"/>
                <c:pt idx="0">
                  <c:v>Juvenile (8 weeks)</c:v>
                </c:pt>
                <c:pt idx="1">
                  <c:v>Year 1 (2012)</c:v>
                </c:pt>
                <c:pt idx="2">
                  <c:v>Year 2 (2013)</c:v>
                </c:pt>
              </c:strCache>
            </c:strRef>
          </c:cat>
          <c:val>
            <c:numRef>
              <c:f>yield!$E$2:$E$4</c:f>
              <c:numCache>
                <c:formatCode>General</c:formatCode>
                <c:ptCount val="3"/>
                <c:pt idx="0">
                  <c:v>1065.3178237444617</c:v>
                </c:pt>
                <c:pt idx="1">
                  <c:v>1461.0639206500427</c:v>
                </c:pt>
                <c:pt idx="2">
                  <c:v>1517.0500802378394</c:v>
                </c:pt>
              </c:numCache>
            </c:numRef>
          </c:val>
        </c:ser>
        <c:dLbls>
          <c:showLegendKey val="0"/>
          <c:showVal val="0"/>
          <c:showCatName val="0"/>
          <c:showSerName val="0"/>
          <c:showPercent val="0"/>
          <c:showBubbleSize val="0"/>
        </c:dLbls>
        <c:gapWidth val="150"/>
        <c:axId val="344683312"/>
        <c:axId val="344683704"/>
      </c:barChart>
      <c:catAx>
        <c:axId val="344683312"/>
        <c:scaling>
          <c:orientation val="minMax"/>
        </c:scaling>
        <c:delete val="0"/>
        <c:axPos val="b"/>
        <c:numFmt formatCode="General" sourceLinked="0"/>
        <c:majorTickMark val="out"/>
        <c:minorTickMark val="none"/>
        <c:tickLblPos val="nextTo"/>
        <c:crossAx val="344683704"/>
        <c:crosses val="autoZero"/>
        <c:auto val="1"/>
        <c:lblAlgn val="ctr"/>
        <c:lblOffset val="100"/>
        <c:noMultiLvlLbl val="0"/>
      </c:catAx>
      <c:valAx>
        <c:axId val="344683704"/>
        <c:scaling>
          <c:orientation val="minMax"/>
        </c:scaling>
        <c:delete val="0"/>
        <c:axPos val="l"/>
        <c:numFmt formatCode="General" sourceLinked="1"/>
        <c:majorTickMark val="out"/>
        <c:minorTickMark val="none"/>
        <c:tickLblPos val="nextTo"/>
        <c:crossAx val="344683312"/>
        <c:crosses val="autoZero"/>
        <c:crossBetween val="between"/>
      </c:valAx>
    </c:plotArea>
    <c:plotVisOnly val="1"/>
    <c:dispBlanksAs val="gap"/>
    <c:showDLblsOverMax val="0"/>
  </c:chart>
  <c:spPr>
    <a:solidFill>
      <a:schemeClr val="bg1"/>
    </a:solid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2010 - SFF Fermentation</c:v>
          </c:tx>
          <c:spPr>
            <a:solidFill>
              <a:schemeClr val="bg1">
                <a:lumMod val="50000"/>
              </a:schemeClr>
            </a:solidFill>
          </c:spPr>
          <c:invertIfNegative val="0"/>
          <c:dLbls>
            <c:dLbl>
              <c:idx val="0"/>
              <c:layout>
                <c:manualLayout>
                  <c:x val="0"/>
                  <c:y val="9.6828854998789633E-3"/>
                </c:manualLayout>
              </c:layout>
              <c:tx>
                <c:rich>
                  <a:bodyPr/>
                  <a:lstStyle/>
                  <a:p>
                    <a:r>
                      <a:rPr lang="en-US"/>
                      <a:t>80</a:t>
                    </a:r>
                    <a:r>
                      <a:rPr lang="en-US" baseline="0"/>
                      <a:t>  </a:t>
                    </a:r>
                  </a:p>
                  <a:p>
                    <a:r>
                      <a:rPr lang="en-US" baseline="0"/>
                      <a:t>A</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0"/>
                  <c:y val="4.2059557370143323E-3"/>
                </c:manualLayout>
              </c:layout>
              <c:tx>
                <c:rich>
                  <a:bodyPr/>
                  <a:lstStyle/>
                  <a:p>
                    <a:r>
                      <a:rPr lang="en-US"/>
                      <a:t>72 </a:t>
                    </a:r>
                  </a:p>
                  <a:p>
                    <a:r>
                      <a:rPr lang="en-US" baseline="0"/>
                      <a:t>B</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1.0185067526415994E-16"/>
                  <c:y val="9.6828854998789633E-3"/>
                </c:manualLayout>
              </c:layout>
              <c:tx>
                <c:rich>
                  <a:bodyPr/>
                  <a:lstStyle/>
                  <a:p>
                    <a:r>
                      <a:rPr lang="en-US"/>
                      <a:t>63</a:t>
                    </a:r>
                    <a:r>
                      <a:rPr lang="en-US" baseline="0"/>
                      <a:t>  </a:t>
                    </a:r>
                  </a:p>
                  <a:p>
                    <a:r>
                      <a:rPr lang="en-US" baseline="0"/>
                      <a:t>C</a:t>
                    </a:r>
                    <a:endParaRPr lang="en-US"/>
                  </a:p>
                </c:rich>
              </c:tx>
              <c:showLegendKey val="0"/>
              <c:showVal val="1"/>
              <c:showCatName val="0"/>
              <c:showSerName val="0"/>
              <c:showPercent val="0"/>
              <c:showBubbleSize val="0"/>
              <c:extLst>
                <c:ext xmlns:c15="http://schemas.microsoft.com/office/drawing/2012/chart" uri="{CE6537A1-D6FC-4f65-9D91-7224C49458BB}"/>
              </c:extLst>
            </c:dLbl>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ANOVA!$B$20:$B$22</c:f>
              <c:strCache>
                <c:ptCount val="3"/>
                <c:pt idx="0">
                  <c:v>Low</c:v>
                </c:pt>
                <c:pt idx="1">
                  <c:v>Medium</c:v>
                </c:pt>
                <c:pt idx="2">
                  <c:v>High</c:v>
                </c:pt>
              </c:strCache>
            </c:strRef>
          </c:cat>
          <c:val>
            <c:numRef>
              <c:f>ANOVA!$C$20:$C$22</c:f>
              <c:numCache>
                <c:formatCode>General</c:formatCode>
                <c:ptCount val="3"/>
                <c:pt idx="0">
                  <c:v>79.947800000000001</c:v>
                </c:pt>
                <c:pt idx="1">
                  <c:v>71.929699999999997</c:v>
                </c:pt>
                <c:pt idx="2">
                  <c:v>63.080300000000001</c:v>
                </c:pt>
              </c:numCache>
            </c:numRef>
          </c:val>
        </c:ser>
        <c:dLbls>
          <c:showLegendKey val="0"/>
          <c:showVal val="0"/>
          <c:showCatName val="0"/>
          <c:showSerName val="0"/>
          <c:showPercent val="0"/>
          <c:showBubbleSize val="0"/>
        </c:dLbls>
        <c:gapWidth val="150"/>
        <c:axId val="133733944"/>
        <c:axId val="133734336"/>
      </c:barChart>
      <c:catAx>
        <c:axId val="133733944"/>
        <c:scaling>
          <c:orientation val="minMax"/>
        </c:scaling>
        <c:delete val="0"/>
        <c:axPos val="b"/>
        <c:title>
          <c:tx>
            <c:rich>
              <a:bodyPr/>
              <a:lstStyle/>
              <a:p>
                <a:pPr>
                  <a:defRPr/>
                </a:pPr>
                <a:r>
                  <a:rPr lang="en-US"/>
                  <a:t>Disease Level</a:t>
                </a:r>
              </a:p>
            </c:rich>
          </c:tx>
          <c:overlay val="0"/>
        </c:title>
        <c:numFmt formatCode="General" sourceLinked="0"/>
        <c:majorTickMark val="none"/>
        <c:minorTickMark val="none"/>
        <c:tickLblPos val="nextTo"/>
        <c:crossAx val="133734336"/>
        <c:crosses val="autoZero"/>
        <c:auto val="1"/>
        <c:lblAlgn val="ctr"/>
        <c:lblOffset val="100"/>
        <c:noMultiLvlLbl val="0"/>
      </c:catAx>
      <c:valAx>
        <c:axId val="133734336"/>
        <c:scaling>
          <c:orientation val="minMax"/>
          <c:max val="100"/>
          <c:min val="0"/>
        </c:scaling>
        <c:delete val="0"/>
        <c:axPos val="l"/>
        <c:majorGridlines>
          <c:spPr>
            <a:ln>
              <a:noFill/>
            </a:ln>
          </c:spPr>
        </c:majorGridlines>
        <c:title>
          <c:tx>
            <c:rich>
              <a:bodyPr/>
              <a:lstStyle/>
              <a:p>
                <a:pPr>
                  <a:defRPr sz="1000"/>
                </a:pPr>
                <a:r>
                  <a:rPr lang="en-US" sz="1000" b="1" i="0" baseline="0">
                    <a:effectLst/>
                  </a:rPr>
                  <a:t>Predicted Ethanol Yield mg g</a:t>
                </a:r>
                <a:r>
                  <a:rPr lang="en-US" sz="1000" b="1" i="0" baseline="30000">
                    <a:effectLst/>
                  </a:rPr>
                  <a:t>-1</a:t>
                </a:r>
                <a:endParaRPr lang="en-US" sz="1000">
                  <a:effectLst/>
                </a:endParaRPr>
              </a:p>
            </c:rich>
          </c:tx>
          <c:overlay val="0"/>
        </c:title>
        <c:numFmt formatCode="General" sourceLinked="1"/>
        <c:majorTickMark val="out"/>
        <c:minorTickMark val="none"/>
        <c:tickLblPos val="nextTo"/>
        <c:crossAx val="133733944"/>
        <c:crosses val="autoZero"/>
        <c:crossBetween val="between"/>
      </c:valAx>
    </c:plotArea>
    <c:plotVisOnly val="1"/>
    <c:dispBlanksAs val="gap"/>
    <c:showDLblsOverMax val="0"/>
  </c:chart>
  <c:spPr>
    <a:ln>
      <a:no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lumMod val="75000"/>
                <a:lumOff val="25000"/>
              </a:schemeClr>
            </a:solidFill>
          </c:spPr>
          <c:invertIfNegative val="0"/>
          <c:dLbls>
            <c:dLbl>
              <c:idx val="0"/>
              <c:layout>
                <c:manualLayout>
                  <c:x val="5.5555555555555558E-3"/>
                  <c:y val="-0.10648148148148154"/>
                </c:manualLayout>
              </c:layout>
              <c:tx>
                <c:rich>
                  <a:bodyPr/>
                  <a:lstStyle/>
                  <a:p>
                    <a:r>
                      <a:rPr lang="en-US"/>
                      <a:t>64</a:t>
                    </a:r>
                  </a:p>
                  <a:p>
                    <a:r>
                      <a:rPr lang="en-US"/>
                      <a:t>a</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3.2638888888888891E-2"/>
                  <c:y val="0"/>
                </c:manualLayout>
              </c:layout>
              <c:tx>
                <c:rich>
                  <a:bodyPr/>
                  <a:lstStyle/>
                  <a:p>
                    <a:r>
                      <a:rPr lang="en-US"/>
                      <a:t>67</a:t>
                    </a:r>
                  </a:p>
                  <a:p>
                    <a:r>
                      <a:rPr lang="en-US"/>
                      <a:t>a</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etoh!$H$2:$H$3</c:f>
                <c:numCache>
                  <c:formatCode>General</c:formatCode>
                  <c:ptCount val="2"/>
                  <c:pt idx="0">
                    <c:v>0.77711079187394361</c:v>
                  </c:pt>
                  <c:pt idx="1">
                    <c:v>0.42981782104461935</c:v>
                  </c:pt>
                </c:numCache>
              </c:numRef>
            </c:plus>
            <c:minus>
              <c:numRef>
                <c:f>etoh!$H$2:$H$3</c:f>
                <c:numCache>
                  <c:formatCode>General</c:formatCode>
                  <c:ptCount val="2"/>
                  <c:pt idx="0">
                    <c:v>0.77711079187394361</c:v>
                  </c:pt>
                  <c:pt idx="1">
                    <c:v>0.42981782104461935</c:v>
                  </c:pt>
                </c:numCache>
              </c:numRef>
            </c:minus>
          </c:errBars>
          <c:cat>
            <c:strRef>
              <c:f>etoh!$E$2:$E$3</c:f>
              <c:strCache>
                <c:ptCount val="2"/>
                <c:pt idx="0">
                  <c:v>2012 selections</c:v>
                </c:pt>
                <c:pt idx="1">
                  <c:v>2013 selections</c:v>
                </c:pt>
              </c:strCache>
            </c:strRef>
          </c:cat>
          <c:val>
            <c:numRef>
              <c:f>etoh!$F$2:$F$3</c:f>
              <c:numCache>
                <c:formatCode>0</c:formatCode>
                <c:ptCount val="2"/>
                <c:pt idx="0">
                  <c:v>63.631125312652593</c:v>
                </c:pt>
                <c:pt idx="1">
                  <c:v>66.1015430935051</c:v>
                </c:pt>
              </c:numCache>
            </c:numRef>
          </c:val>
        </c:ser>
        <c:dLbls>
          <c:showLegendKey val="0"/>
          <c:showVal val="0"/>
          <c:showCatName val="0"/>
          <c:showSerName val="0"/>
          <c:showPercent val="0"/>
          <c:showBubbleSize val="0"/>
        </c:dLbls>
        <c:gapWidth val="150"/>
        <c:axId val="193993624"/>
        <c:axId val="193994016"/>
      </c:barChart>
      <c:catAx>
        <c:axId val="193993624"/>
        <c:scaling>
          <c:orientation val="minMax"/>
        </c:scaling>
        <c:delete val="0"/>
        <c:axPos val="b"/>
        <c:numFmt formatCode="General" sourceLinked="0"/>
        <c:majorTickMark val="out"/>
        <c:minorTickMark val="none"/>
        <c:tickLblPos val="nextTo"/>
        <c:crossAx val="193994016"/>
        <c:crosses val="autoZero"/>
        <c:auto val="1"/>
        <c:lblAlgn val="ctr"/>
        <c:lblOffset val="100"/>
        <c:noMultiLvlLbl val="0"/>
      </c:catAx>
      <c:valAx>
        <c:axId val="193994016"/>
        <c:scaling>
          <c:orientation val="minMax"/>
        </c:scaling>
        <c:delete val="0"/>
        <c:axPos val="l"/>
        <c:numFmt formatCode="0" sourceLinked="1"/>
        <c:majorTickMark val="out"/>
        <c:minorTickMark val="none"/>
        <c:tickLblPos val="nextTo"/>
        <c:crossAx val="193993624"/>
        <c:crosses val="autoZero"/>
        <c:crossBetween val="between"/>
      </c:valAx>
    </c:plotArea>
    <c:plotVisOnly val="1"/>
    <c:dispBlanksAs val="gap"/>
    <c:showDLblsOverMax val="0"/>
  </c:chart>
  <c:spPr>
    <a:solidFill>
      <a:schemeClr val="bg1"/>
    </a:solidFill>
    <a:ln>
      <a:noFill/>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spPr>
            <a:solidFill>
              <a:schemeClr val="tx1">
                <a:lumMod val="75000"/>
                <a:lumOff val="25000"/>
              </a:schemeClr>
            </a:solidFill>
            <a:ln>
              <a:noFill/>
            </a:ln>
            <a:effectLst/>
          </c:spPr>
          <c:invertIfNegative val="0"/>
          <c:dLbls>
            <c:dLbl>
              <c:idx val="0"/>
              <c:tx>
                <c:rich>
                  <a:bodyPr/>
                  <a:lstStyle/>
                  <a:p>
                    <a:fld id="{7738B0EF-75C3-4AB5-A58E-D566B5530510}" type="VALUE">
                      <a:rPr lang="en-US"/>
                      <a:pPr/>
                      <a:t>[VALUE]</a:t>
                    </a:fld>
                    <a:endParaRPr lang="en-US"/>
                  </a:p>
                  <a:p>
                    <a:r>
                      <a:rPr lang="en-US"/>
                      <a:t>c</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CEFFBC5B-9084-4100-80D9-A73CF10E67E5}" type="VALUE">
                      <a:rPr lang="en-US"/>
                      <a:pPr/>
                      <a:t>[VALUE]</a:t>
                    </a:fld>
                    <a:endParaRPr lang="en-US"/>
                  </a:p>
                  <a:p>
                    <a:r>
                      <a:rPr lang="en-US"/>
                      <a:t>c</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AF111D8E-D26A-4BD6-9F4E-6F39D5CB6E7E}" type="VALUE">
                      <a:rPr lang="en-US"/>
                      <a:pPr/>
                      <a:t>[VALUE]</a:t>
                    </a:fld>
                    <a:endParaRPr lang="en-US"/>
                  </a:p>
                  <a:p>
                    <a:r>
                      <a:rPr lang="en-US"/>
                      <a:t>a</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a:lstStyle/>
                  <a:p>
                    <a:fld id="{F1CE7F17-E6A9-49F7-9A41-6D313657E3AF}" type="VALUE">
                      <a:rPr lang="en-US"/>
                      <a:pPr/>
                      <a:t>[VALUE]</a:t>
                    </a:fld>
                    <a:endParaRPr lang="en-US"/>
                  </a:p>
                  <a:p>
                    <a:r>
                      <a:rPr lang="en-US"/>
                      <a:t>b</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Means!$A$122:$A$125</c:f>
              <c:strCache>
                <c:ptCount val="4"/>
                <c:pt idx="0">
                  <c:v>2012 HSP</c:v>
                </c:pt>
                <c:pt idx="1">
                  <c:v>2012 HSW</c:v>
                </c:pt>
                <c:pt idx="2">
                  <c:v>2013 HSP</c:v>
                </c:pt>
                <c:pt idx="3">
                  <c:v>2013 HSW</c:v>
                </c:pt>
              </c:strCache>
            </c:strRef>
          </c:cat>
          <c:val>
            <c:numRef>
              <c:f>Means!$C$122:$C$125</c:f>
              <c:numCache>
                <c:formatCode>General</c:formatCode>
                <c:ptCount val="4"/>
                <c:pt idx="0">
                  <c:v>113</c:v>
                </c:pt>
                <c:pt idx="1">
                  <c:v>71</c:v>
                </c:pt>
                <c:pt idx="2">
                  <c:v>1083</c:v>
                </c:pt>
                <c:pt idx="3">
                  <c:v>313</c:v>
                </c:pt>
              </c:numCache>
            </c:numRef>
          </c:val>
        </c:ser>
        <c:dLbls>
          <c:showLegendKey val="0"/>
          <c:showVal val="0"/>
          <c:showCatName val="0"/>
          <c:showSerName val="0"/>
          <c:showPercent val="0"/>
          <c:showBubbleSize val="0"/>
        </c:dLbls>
        <c:gapWidth val="219"/>
        <c:overlap val="-27"/>
        <c:axId val="350293768"/>
        <c:axId val="135286656"/>
      </c:barChart>
      <c:catAx>
        <c:axId val="35029376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5286656"/>
        <c:crosses val="autoZero"/>
        <c:auto val="1"/>
        <c:lblAlgn val="ctr"/>
        <c:lblOffset val="100"/>
        <c:noMultiLvlLbl val="0"/>
      </c:catAx>
      <c:valAx>
        <c:axId val="13528665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Biomass Yield </a:t>
                </a:r>
              </a:p>
              <a:p>
                <a:pPr>
                  <a:defRPr/>
                </a:pPr>
                <a:r>
                  <a:rPr lang="en-US"/>
                  <a:t>(g plant</a:t>
                </a:r>
                <a:r>
                  <a:rPr lang="en-US" baseline="30000"/>
                  <a:t>-1</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502937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spPr>
            <a:solidFill>
              <a:schemeClr val="tx1">
                <a:lumMod val="75000"/>
                <a:lumOff val="25000"/>
              </a:schemeClr>
            </a:solidFill>
            <a:ln>
              <a:noFill/>
            </a:ln>
            <a:effectLst/>
          </c:spPr>
          <c:invertIfNegative val="0"/>
          <c:dLbls>
            <c:dLbl>
              <c:idx val="0"/>
              <c:tx>
                <c:rich>
                  <a:bodyPr/>
                  <a:lstStyle/>
                  <a:p>
                    <a:fld id="{662290BC-395E-4AC7-9BB9-3050CA8081BE}" type="VALUE">
                      <a:rPr lang="en-US"/>
                      <a:pPr/>
                      <a:t>[VALUE]</a:t>
                    </a:fld>
                    <a:endParaRPr lang="en-US"/>
                  </a:p>
                  <a:p>
                    <a:r>
                      <a:rPr lang="en-US"/>
                      <a:t>a</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E145B1EC-FA32-4AC1-A5AB-5F0841A08029}" type="VALUE">
                      <a:rPr lang="en-US"/>
                      <a:pPr/>
                      <a:t>[VALUE]</a:t>
                    </a:fld>
                    <a:endParaRPr lang="en-US"/>
                  </a:p>
                  <a:p>
                    <a:r>
                      <a:rPr lang="en-US"/>
                      <a:t>b</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017B4EC2-F807-40AC-BC50-47EE2290C275}" type="VALUE">
                      <a:rPr lang="en-US"/>
                      <a:pPr/>
                      <a:t>[VALUE]</a:t>
                    </a:fld>
                    <a:endParaRPr lang="en-US"/>
                  </a:p>
                  <a:p>
                    <a:r>
                      <a:rPr lang="en-US"/>
                      <a:t>a</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a:lstStyle/>
                  <a:p>
                    <a:fld id="{94C8E7F3-9B0D-4CDA-8592-7288AE610348}" type="VALUE">
                      <a:rPr lang="en-US"/>
                      <a:pPr/>
                      <a:t>[VALUE]</a:t>
                    </a:fld>
                    <a:endParaRPr lang="en-US"/>
                  </a:p>
                  <a:p>
                    <a:r>
                      <a:rPr lang="en-US"/>
                      <a:t>a</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Means!$A$122:$A$125</c:f>
              <c:strCache>
                <c:ptCount val="4"/>
                <c:pt idx="0">
                  <c:v>2012 HSP</c:v>
                </c:pt>
                <c:pt idx="1">
                  <c:v>2012 HSW</c:v>
                </c:pt>
                <c:pt idx="2">
                  <c:v>2013 HSP</c:v>
                </c:pt>
                <c:pt idx="3">
                  <c:v>2013 HSW</c:v>
                </c:pt>
              </c:strCache>
            </c:strRef>
          </c:cat>
          <c:val>
            <c:numRef>
              <c:f>Means!$D$122:$D$125</c:f>
              <c:numCache>
                <c:formatCode>General</c:formatCode>
                <c:ptCount val="4"/>
                <c:pt idx="0">
                  <c:v>65</c:v>
                </c:pt>
                <c:pt idx="1">
                  <c:v>60</c:v>
                </c:pt>
                <c:pt idx="2">
                  <c:v>64</c:v>
                </c:pt>
                <c:pt idx="3">
                  <c:v>64</c:v>
                </c:pt>
              </c:numCache>
            </c:numRef>
          </c:val>
        </c:ser>
        <c:dLbls>
          <c:showLegendKey val="0"/>
          <c:showVal val="0"/>
          <c:showCatName val="0"/>
          <c:showSerName val="0"/>
          <c:showPercent val="0"/>
          <c:showBubbleSize val="0"/>
        </c:dLbls>
        <c:gapWidth val="219"/>
        <c:overlap val="-27"/>
        <c:axId val="135287440"/>
        <c:axId val="135287832"/>
      </c:barChart>
      <c:catAx>
        <c:axId val="13528744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5287832"/>
        <c:crosses val="autoZero"/>
        <c:auto val="1"/>
        <c:lblAlgn val="ctr"/>
        <c:lblOffset val="100"/>
        <c:noMultiLvlLbl val="0"/>
      </c:catAx>
      <c:valAx>
        <c:axId val="135287832"/>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Predicted Ethanol Yield (mg g</a:t>
                </a:r>
                <a:r>
                  <a:rPr lang="en-US" baseline="30000"/>
                  <a:t>-1</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52874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spPr>
            <a:solidFill>
              <a:schemeClr val="tx1">
                <a:lumMod val="75000"/>
                <a:lumOff val="25000"/>
              </a:schemeClr>
            </a:solidFill>
            <a:ln>
              <a:noFill/>
            </a:ln>
            <a:effectLst/>
          </c:spPr>
          <c:invertIfNegative val="0"/>
          <c:dLbls>
            <c:dLbl>
              <c:idx val="0"/>
              <c:tx>
                <c:rich>
                  <a:bodyPr/>
                  <a:lstStyle/>
                  <a:p>
                    <a:fld id="{1B08DF97-478F-4F9F-9486-DB09016DA848}" type="VALUE">
                      <a:rPr lang="en-US"/>
                      <a:pPr/>
                      <a:t>[VALUE]</a:t>
                    </a:fld>
                    <a:endParaRPr lang="en-US"/>
                  </a:p>
                  <a:p>
                    <a:r>
                      <a:rPr lang="en-US"/>
                      <a:t>b</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BB28341F-E43E-4536-A696-8AF6C502D347}" type="VALUE">
                      <a:rPr lang="en-US"/>
                      <a:pPr/>
                      <a:t>[VALUE]</a:t>
                    </a:fld>
                    <a:endParaRPr lang="en-US"/>
                  </a:p>
                  <a:p>
                    <a:r>
                      <a:rPr lang="en-US"/>
                      <a:t>c</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EFE2747B-FB3F-4C09-A430-C6BE75A282FC}" type="VALUE">
                      <a:rPr lang="en-US"/>
                      <a:pPr/>
                      <a:t>[VALUE]</a:t>
                    </a:fld>
                    <a:endParaRPr lang="en-US"/>
                  </a:p>
                  <a:p>
                    <a:r>
                      <a:rPr lang="en-US"/>
                      <a:t>a</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a:lstStyle/>
                  <a:p>
                    <a:fld id="{3854EDBC-B069-484D-AA59-B7A75D36C489}" type="VALUE">
                      <a:rPr lang="en-US"/>
                      <a:pPr/>
                      <a:t>[VALUE]</a:t>
                    </a:fld>
                    <a:endParaRPr lang="en-US"/>
                  </a:p>
                  <a:p>
                    <a:r>
                      <a:rPr lang="en-US"/>
                      <a:t>b</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Means!$A$124:$A$127</c:f>
              <c:strCache>
                <c:ptCount val="4"/>
                <c:pt idx="0">
                  <c:v>2013 HSP</c:v>
                </c:pt>
                <c:pt idx="1">
                  <c:v>2013 HSW</c:v>
                </c:pt>
                <c:pt idx="2">
                  <c:v>2014 HSP</c:v>
                </c:pt>
                <c:pt idx="3">
                  <c:v>2014 HSW</c:v>
                </c:pt>
              </c:strCache>
            </c:strRef>
          </c:cat>
          <c:val>
            <c:numRef>
              <c:f>Means!$E$124:$E$127</c:f>
              <c:numCache>
                <c:formatCode>General</c:formatCode>
                <c:ptCount val="4"/>
                <c:pt idx="0">
                  <c:v>56</c:v>
                </c:pt>
                <c:pt idx="1">
                  <c:v>35</c:v>
                </c:pt>
                <c:pt idx="2">
                  <c:v>110</c:v>
                </c:pt>
                <c:pt idx="3">
                  <c:v>50</c:v>
                </c:pt>
              </c:numCache>
            </c:numRef>
          </c:val>
        </c:ser>
        <c:dLbls>
          <c:showLegendKey val="0"/>
          <c:showVal val="0"/>
          <c:showCatName val="0"/>
          <c:showSerName val="0"/>
          <c:showPercent val="0"/>
          <c:showBubbleSize val="0"/>
        </c:dLbls>
        <c:gapWidth val="219"/>
        <c:overlap val="-27"/>
        <c:axId val="239268600"/>
        <c:axId val="239268992"/>
      </c:barChart>
      <c:catAx>
        <c:axId val="23926860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39268992"/>
        <c:crosses val="autoZero"/>
        <c:auto val="1"/>
        <c:lblAlgn val="ctr"/>
        <c:lblOffset val="100"/>
        <c:noMultiLvlLbl val="0"/>
      </c:catAx>
      <c:valAx>
        <c:axId val="239268992"/>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Tiller Number</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3926860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spPr>
            <a:solidFill>
              <a:schemeClr val="tx1">
                <a:lumMod val="75000"/>
                <a:lumOff val="25000"/>
              </a:schemeClr>
            </a:solidFill>
            <a:ln>
              <a:noFill/>
            </a:ln>
            <a:effectLst/>
          </c:spPr>
          <c:invertIfNegative val="0"/>
          <c:dLbls>
            <c:dLbl>
              <c:idx val="0"/>
              <c:tx>
                <c:rich>
                  <a:bodyPr/>
                  <a:lstStyle/>
                  <a:p>
                    <a:fld id="{A913345A-6D9C-40AD-8E50-75BA1878DEFE}" type="VALUE">
                      <a:rPr lang="en-US"/>
                      <a:pPr/>
                      <a:t>[VALUE]</a:t>
                    </a:fld>
                    <a:endParaRPr lang="en-US"/>
                  </a:p>
                  <a:p>
                    <a:r>
                      <a:rPr lang="en-US"/>
                      <a:t>a</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5A900915-E812-4209-B452-E28A04633778}" type="VALUE">
                      <a:rPr lang="en-US"/>
                      <a:pPr/>
                      <a:t>[VALUE]</a:t>
                    </a:fld>
                    <a:endParaRPr lang="en-US"/>
                  </a:p>
                  <a:p>
                    <a:r>
                      <a:rPr lang="en-US"/>
                      <a:t>b</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E1F8A0FB-5933-40E6-8F44-C27DBD4EE11A}" type="VALUE">
                      <a:rPr lang="en-US"/>
                      <a:pPr/>
                      <a:t>[VALUE]</a:t>
                    </a:fld>
                    <a:endParaRPr lang="en-US"/>
                  </a:p>
                  <a:p>
                    <a:r>
                      <a:rPr lang="en-US"/>
                      <a:t>a</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a:lstStyle/>
                  <a:p>
                    <a:fld id="{6968EFC9-A855-44EE-B67F-12AD918C4C91}" type="VALUE">
                      <a:rPr lang="en-US"/>
                      <a:pPr/>
                      <a:t>[VALUE]</a:t>
                    </a:fld>
                    <a:endParaRPr lang="en-US"/>
                  </a:p>
                  <a:p>
                    <a:r>
                      <a:rPr lang="en-US"/>
                      <a:t>c</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Means!$A$124:$A$127</c:f>
              <c:strCache>
                <c:ptCount val="4"/>
                <c:pt idx="0">
                  <c:v>2013 HSP</c:v>
                </c:pt>
                <c:pt idx="1">
                  <c:v>2013 HSW</c:v>
                </c:pt>
                <c:pt idx="2">
                  <c:v>2014 HSP</c:v>
                </c:pt>
                <c:pt idx="3">
                  <c:v>2014 HSW</c:v>
                </c:pt>
              </c:strCache>
            </c:strRef>
          </c:cat>
          <c:val>
            <c:numRef>
              <c:f>Means!$F$124:$F$127</c:f>
              <c:numCache>
                <c:formatCode>General</c:formatCode>
                <c:ptCount val="4"/>
                <c:pt idx="0">
                  <c:v>6.2</c:v>
                </c:pt>
                <c:pt idx="1">
                  <c:v>5.5</c:v>
                </c:pt>
                <c:pt idx="2">
                  <c:v>6.2</c:v>
                </c:pt>
                <c:pt idx="3">
                  <c:v>4.8</c:v>
                </c:pt>
              </c:numCache>
            </c:numRef>
          </c:val>
        </c:ser>
        <c:dLbls>
          <c:showLegendKey val="0"/>
          <c:showVal val="0"/>
          <c:showCatName val="0"/>
          <c:showSerName val="0"/>
          <c:showPercent val="0"/>
          <c:showBubbleSize val="0"/>
        </c:dLbls>
        <c:gapWidth val="219"/>
        <c:overlap val="-27"/>
        <c:axId val="239269776"/>
        <c:axId val="239270168"/>
      </c:barChart>
      <c:catAx>
        <c:axId val="23926977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39270168"/>
        <c:crosses val="autoZero"/>
        <c:auto val="1"/>
        <c:lblAlgn val="ctr"/>
        <c:lblOffset val="100"/>
        <c:noMultiLvlLbl val="0"/>
      </c:catAx>
      <c:valAx>
        <c:axId val="239270168"/>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Tiller Diameter (mm)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392697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spPr>
            <a:solidFill>
              <a:schemeClr val="tx1">
                <a:lumMod val="75000"/>
                <a:lumOff val="25000"/>
              </a:schemeClr>
            </a:solidFill>
            <a:ln>
              <a:noFill/>
            </a:ln>
            <a:effectLst/>
          </c:spPr>
          <c:invertIfNegative val="0"/>
          <c:dLbls>
            <c:dLbl>
              <c:idx val="0"/>
              <c:tx>
                <c:rich>
                  <a:bodyPr/>
                  <a:lstStyle/>
                  <a:p>
                    <a:fld id="{82818688-0CC8-429C-905C-022E3B5B79DB}" type="VALUE">
                      <a:rPr lang="en-US"/>
                      <a:pPr/>
                      <a:t>[VALUE]</a:t>
                    </a:fld>
                    <a:endParaRPr lang="en-US"/>
                  </a:p>
                  <a:p>
                    <a:r>
                      <a:rPr lang="en-US"/>
                      <a:t>c</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C90FBB0B-3796-4775-A484-B1FDBBBF1EA4}" type="VALUE">
                      <a:rPr lang="en-US"/>
                      <a:pPr/>
                      <a:t>[VALUE]</a:t>
                    </a:fld>
                    <a:endParaRPr lang="en-US"/>
                  </a:p>
                  <a:p>
                    <a:r>
                      <a:rPr lang="en-US"/>
                      <a:t>c</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AF36C649-04D3-4122-AA3E-EF6AD2350ABF}" type="VALUE">
                      <a:rPr lang="en-US"/>
                      <a:pPr/>
                      <a:t>[VALUE]</a:t>
                    </a:fld>
                    <a:endParaRPr lang="en-US"/>
                  </a:p>
                  <a:p>
                    <a:r>
                      <a:rPr lang="en-US"/>
                      <a:t>a</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a:lstStyle/>
                  <a:p>
                    <a:fld id="{A42EDC24-EFC4-48B4-B52F-7E467C81FF38}" type="VALUE">
                      <a:rPr lang="en-US"/>
                      <a:pPr/>
                      <a:t>[VALUE]</a:t>
                    </a:fld>
                    <a:endParaRPr lang="en-US"/>
                  </a:p>
                  <a:p>
                    <a:r>
                      <a:rPr lang="en-US"/>
                      <a:t>b</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Means!$A$124:$A$127</c:f>
              <c:strCache>
                <c:ptCount val="4"/>
                <c:pt idx="0">
                  <c:v>2013 HSP</c:v>
                </c:pt>
                <c:pt idx="1">
                  <c:v>2013 HSW</c:v>
                </c:pt>
                <c:pt idx="2">
                  <c:v>2014 HSP</c:v>
                </c:pt>
                <c:pt idx="3">
                  <c:v>2014 HSW</c:v>
                </c:pt>
              </c:strCache>
            </c:strRef>
          </c:cat>
          <c:val>
            <c:numRef>
              <c:f>Means!$G$124:$G$127</c:f>
              <c:numCache>
                <c:formatCode>General</c:formatCode>
                <c:ptCount val="4"/>
                <c:pt idx="0">
                  <c:v>11.9</c:v>
                </c:pt>
                <c:pt idx="1">
                  <c:v>12</c:v>
                </c:pt>
                <c:pt idx="2" formatCode="0.0">
                  <c:v>14.3</c:v>
                </c:pt>
                <c:pt idx="3">
                  <c:v>12.6</c:v>
                </c:pt>
              </c:numCache>
            </c:numRef>
          </c:val>
        </c:ser>
        <c:dLbls>
          <c:showLegendKey val="0"/>
          <c:showVal val="0"/>
          <c:showCatName val="0"/>
          <c:showSerName val="0"/>
          <c:showPercent val="0"/>
          <c:showBubbleSize val="0"/>
        </c:dLbls>
        <c:gapWidth val="219"/>
        <c:overlap val="-27"/>
        <c:axId val="238197904"/>
        <c:axId val="339933264"/>
      </c:barChart>
      <c:catAx>
        <c:axId val="23819790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39933264"/>
        <c:crosses val="autoZero"/>
        <c:auto val="1"/>
        <c:lblAlgn val="ctr"/>
        <c:lblOffset val="100"/>
        <c:noMultiLvlLbl val="0"/>
      </c:catAx>
      <c:valAx>
        <c:axId val="33993326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Leaf Width</a:t>
                </a:r>
                <a:r>
                  <a:rPr lang="en-US"/>
                  <a:t> (mm)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381979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Yld!$I$2</c:f>
              <c:strCache>
                <c:ptCount val="1"/>
                <c:pt idx="0">
                  <c:v>Biomass</c:v>
                </c:pt>
              </c:strCache>
            </c:strRef>
          </c:tx>
          <c:spPr>
            <a:solidFill>
              <a:schemeClr val="tx1">
                <a:lumMod val="50000"/>
                <a:lumOff val="50000"/>
              </a:schemeClr>
            </a:solidFill>
          </c:spPr>
          <c:invertIfNegative val="0"/>
          <c:dLbls>
            <c:dLbl>
              <c:idx val="0"/>
              <c:layout>
                <c:manualLayout>
                  <c:x val="5.5555555555555558E-3"/>
                  <c:y val="-4.0200870844901627E-2"/>
                </c:manualLayout>
              </c:layout>
              <c:tx>
                <c:rich>
                  <a:bodyPr/>
                  <a:lstStyle/>
                  <a:p>
                    <a:r>
                      <a:rPr lang="en-US"/>
                      <a:t>282</a:t>
                    </a:r>
                  </a:p>
                  <a:p>
                    <a:r>
                      <a:rPr lang="en-US"/>
                      <a:t>b</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8.3333333333333367E-3"/>
                  <c:y val="-9.0123040978259281E-2"/>
                </c:manualLayout>
              </c:layout>
              <c:tx>
                <c:rich>
                  <a:bodyPr/>
                  <a:lstStyle/>
                  <a:p>
                    <a:r>
                      <a:rPr lang="en-US"/>
                      <a:t>354</a:t>
                    </a:r>
                  </a:p>
                  <a:p>
                    <a:r>
                      <a:rPr lang="en-US"/>
                      <a:t>ab</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8.3333333333333367E-3"/>
                  <c:y val="-0.10308436878916147"/>
                </c:manualLayout>
              </c:layout>
              <c:tx>
                <c:rich>
                  <a:bodyPr/>
                  <a:lstStyle/>
                  <a:p>
                    <a:r>
                      <a:rPr lang="en-US"/>
                      <a:t>432</a:t>
                    </a:r>
                  </a:p>
                  <a:p>
                    <a:r>
                      <a:rPr lang="en-US"/>
                      <a:t>ab</a:t>
                    </a:r>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5.5555555555555558E-3"/>
                  <c:y val="-7.7510354558281397E-2"/>
                </c:manualLayout>
              </c:layout>
              <c:tx>
                <c:rich>
                  <a:bodyPr/>
                  <a:lstStyle/>
                  <a:p>
                    <a:r>
                      <a:rPr lang="en-US"/>
                      <a:t>490</a:t>
                    </a:r>
                  </a:p>
                  <a:p>
                    <a:r>
                      <a:rPr lang="en-US"/>
                      <a:t>a</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Yld!$J$3:$J$6</c:f>
                <c:numCache>
                  <c:formatCode>General</c:formatCode>
                  <c:ptCount val="4"/>
                  <c:pt idx="0">
                    <c:v>18.277839241320621</c:v>
                  </c:pt>
                  <c:pt idx="1">
                    <c:v>63.358613281921812</c:v>
                  </c:pt>
                  <c:pt idx="2">
                    <c:v>63.478958099935895</c:v>
                  </c:pt>
                  <c:pt idx="3">
                    <c:v>51.62385354826003</c:v>
                  </c:pt>
                </c:numCache>
              </c:numRef>
            </c:plus>
            <c:minus>
              <c:numRef>
                <c:f>Yld!$J$3:$J$6</c:f>
                <c:numCache>
                  <c:formatCode>General</c:formatCode>
                  <c:ptCount val="4"/>
                  <c:pt idx="0">
                    <c:v>18.277839241320621</c:v>
                  </c:pt>
                  <c:pt idx="1">
                    <c:v>63.358613281921812</c:v>
                  </c:pt>
                  <c:pt idx="2">
                    <c:v>63.478958099935895</c:v>
                  </c:pt>
                  <c:pt idx="3">
                    <c:v>51.62385354826003</c:v>
                  </c:pt>
                </c:numCache>
              </c:numRef>
            </c:minus>
          </c:errBars>
          <c:cat>
            <c:strRef>
              <c:f>Yld!$H$3:$H$6</c:f>
              <c:strCache>
                <c:ptCount val="4"/>
                <c:pt idx="0">
                  <c:v>2012 HSP</c:v>
                </c:pt>
                <c:pt idx="1">
                  <c:v>2013 HSP</c:v>
                </c:pt>
                <c:pt idx="2">
                  <c:v>2012 HSW</c:v>
                </c:pt>
                <c:pt idx="3">
                  <c:v>2013 HSW</c:v>
                </c:pt>
              </c:strCache>
            </c:strRef>
          </c:cat>
          <c:val>
            <c:numRef>
              <c:f>Yld!$I$3:$I$6</c:f>
              <c:numCache>
                <c:formatCode>0</c:formatCode>
                <c:ptCount val="4"/>
                <c:pt idx="0">
                  <c:v>282.01432249863529</c:v>
                </c:pt>
                <c:pt idx="1">
                  <c:v>354.39709118382012</c:v>
                </c:pt>
                <c:pt idx="2">
                  <c:v>432.30664400984745</c:v>
                </c:pt>
                <c:pt idx="3">
                  <c:v>489.69711097645205</c:v>
                </c:pt>
              </c:numCache>
            </c:numRef>
          </c:val>
        </c:ser>
        <c:ser>
          <c:idx val="2"/>
          <c:order val="1"/>
          <c:tx>
            <c:strRef>
              <c:f>Yld!$K$2</c:f>
              <c:strCache>
                <c:ptCount val="1"/>
                <c:pt idx="0">
                  <c:v>Ethanol</c:v>
                </c:pt>
              </c:strCache>
            </c:strRef>
          </c:tx>
          <c:spPr>
            <a:solidFill>
              <a:schemeClr val="bg1">
                <a:lumMod val="75000"/>
              </a:schemeClr>
            </a:solidFill>
          </c:spPr>
          <c:invertIfNegative val="0"/>
          <c:dLbls>
            <c:dLbl>
              <c:idx val="0"/>
              <c:layout>
                <c:manualLayout>
                  <c:x val="2.7777777777778056E-3"/>
                  <c:y val="-8.9335582432825966E-3"/>
                </c:manualLayout>
              </c:layout>
              <c:tx>
                <c:rich>
                  <a:bodyPr/>
                  <a:lstStyle/>
                  <a:p>
                    <a:r>
                      <a:rPr lang="en-US"/>
                      <a:t>65</a:t>
                    </a:r>
                  </a:p>
                  <a:p>
                    <a:r>
                      <a:rPr lang="en-US"/>
                      <a:t>a</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0"/>
                  <c:y val="-3.5171489146781892E-7"/>
                </c:manualLayout>
              </c:layout>
              <c:tx>
                <c:rich>
                  <a:bodyPr/>
                  <a:lstStyle/>
                  <a:p>
                    <a:r>
                      <a:rPr lang="en-US"/>
                      <a:t>66</a:t>
                    </a:r>
                  </a:p>
                  <a:p>
                    <a:r>
                      <a:rPr lang="en-US"/>
                      <a:t>a</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2.7777777777777809E-3"/>
                  <c:y val="-3.51714891549709E-7"/>
                </c:manualLayout>
              </c:layout>
              <c:tx>
                <c:rich>
                  <a:bodyPr/>
                  <a:lstStyle/>
                  <a:p>
                    <a:r>
                      <a:rPr lang="en-US"/>
                      <a:t>66</a:t>
                    </a:r>
                  </a:p>
                  <a:p>
                    <a:r>
                      <a:rPr lang="en-US"/>
                      <a:t>a</a:t>
                    </a:r>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2.777777777777882E-3"/>
                  <c:y val="-8.9335582432825966E-3"/>
                </c:manualLayout>
              </c:layout>
              <c:tx>
                <c:rich>
                  <a:bodyPr/>
                  <a:lstStyle/>
                  <a:p>
                    <a:r>
                      <a:rPr lang="en-US"/>
                      <a:t>67</a:t>
                    </a:r>
                  </a:p>
                  <a:p>
                    <a:r>
                      <a:rPr lang="en-US"/>
                      <a:t>a</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Yld!$L$3:$L$6</c:f>
                <c:numCache>
                  <c:formatCode>General</c:formatCode>
                  <c:ptCount val="4"/>
                  <c:pt idx="0">
                    <c:v>1.0021121525898966</c:v>
                  </c:pt>
                  <c:pt idx="1">
                    <c:v>0.445211569632396</c:v>
                  </c:pt>
                  <c:pt idx="2">
                    <c:v>0.65103240664024231</c:v>
                  </c:pt>
                  <c:pt idx="3">
                    <c:v>0.44371231722070176</c:v>
                  </c:pt>
                </c:numCache>
              </c:numRef>
            </c:plus>
            <c:minus>
              <c:numRef>
                <c:f>Yld!$L$3:$L$6</c:f>
                <c:numCache>
                  <c:formatCode>General</c:formatCode>
                  <c:ptCount val="4"/>
                  <c:pt idx="0">
                    <c:v>1.0021121525898966</c:v>
                  </c:pt>
                  <c:pt idx="1">
                    <c:v>0.445211569632396</c:v>
                  </c:pt>
                  <c:pt idx="2">
                    <c:v>0.65103240664024231</c:v>
                  </c:pt>
                  <c:pt idx="3">
                    <c:v>0.44371231722070176</c:v>
                  </c:pt>
                </c:numCache>
              </c:numRef>
            </c:minus>
          </c:errBars>
          <c:cat>
            <c:strRef>
              <c:f>Yld!$H$3:$H$6</c:f>
              <c:strCache>
                <c:ptCount val="4"/>
                <c:pt idx="0">
                  <c:v>2012 HSP</c:v>
                </c:pt>
                <c:pt idx="1">
                  <c:v>2013 HSP</c:v>
                </c:pt>
                <c:pt idx="2">
                  <c:v>2012 HSW</c:v>
                </c:pt>
                <c:pt idx="3">
                  <c:v>2013 HSW</c:v>
                </c:pt>
              </c:strCache>
            </c:strRef>
          </c:cat>
          <c:val>
            <c:numRef>
              <c:f>Yld!$K$3:$K$6</c:f>
              <c:numCache>
                <c:formatCode>0</c:formatCode>
                <c:ptCount val="4"/>
                <c:pt idx="0">
                  <c:v>64.693156428238197</c:v>
                </c:pt>
                <c:pt idx="1">
                  <c:v>65.777147644268297</c:v>
                </c:pt>
                <c:pt idx="2">
                  <c:v>66.106372492523377</c:v>
                </c:pt>
                <c:pt idx="3">
                  <c:v>67.066809069796065</c:v>
                </c:pt>
              </c:numCache>
            </c:numRef>
          </c:val>
        </c:ser>
        <c:dLbls>
          <c:showLegendKey val="0"/>
          <c:showVal val="0"/>
          <c:showCatName val="0"/>
          <c:showSerName val="0"/>
          <c:showPercent val="0"/>
          <c:showBubbleSize val="0"/>
        </c:dLbls>
        <c:gapWidth val="150"/>
        <c:axId val="339934048"/>
        <c:axId val="339934440"/>
      </c:barChart>
      <c:catAx>
        <c:axId val="339934048"/>
        <c:scaling>
          <c:orientation val="minMax"/>
        </c:scaling>
        <c:delete val="0"/>
        <c:axPos val="b"/>
        <c:numFmt formatCode="General" sourceLinked="0"/>
        <c:majorTickMark val="out"/>
        <c:minorTickMark val="none"/>
        <c:tickLblPos val="nextTo"/>
        <c:crossAx val="339934440"/>
        <c:crosses val="autoZero"/>
        <c:auto val="1"/>
        <c:lblAlgn val="ctr"/>
        <c:lblOffset val="100"/>
        <c:noMultiLvlLbl val="0"/>
      </c:catAx>
      <c:valAx>
        <c:axId val="339934440"/>
        <c:scaling>
          <c:orientation val="minMax"/>
        </c:scaling>
        <c:delete val="0"/>
        <c:axPos val="l"/>
        <c:numFmt formatCode="0" sourceLinked="1"/>
        <c:majorTickMark val="out"/>
        <c:minorTickMark val="none"/>
        <c:tickLblPos val="nextTo"/>
        <c:crossAx val="339934048"/>
        <c:crosses val="autoZero"/>
        <c:crossBetween val="between"/>
      </c:valAx>
    </c:plotArea>
    <c:legend>
      <c:legendPos val="r"/>
      <c:overlay val="0"/>
    </c:legend>
    <c:plotVisOnly val="1"/>
    <c:dispBlanksAs val="gap"/>
    <c:showDLblsOverMax val="0"/>
  </c:chart>
  <c:spPr>
    <a:solidFill>
      <a:schemeClr val="bg1"/>
    </a:solid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lumMod val="50000"/>
                <a:lumOff val="50000"/>
              </a:schemeClr>
            </a:solidFill>
          </c:spPr>
          <c:invertIfNegative val="0"/>
          <c:dLbls>
            <c:dLbl>
              <c:idx val="0"/>
              <c:tx>
                <c:rich>
                  <a:bodyPr/>
                  <a:lstStyle/>
                  <a:p>
                    <a:r>
                      <a:rPr lang="en-US"/>
                      <a:t>113</a:t>
                    </a:r>
                  </a:p>
                  <a:p>
                    <a:r>
                      <a:rPr lang="en-US"/>
                      <a:t>b</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76</a:t>
                    </a:r>
                  </a:p>
                  <a:p>
                    <a:r>
                      <a:rPr lang="en-US"/>
                      <a:t>b</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1051</a:t>
                    </a:r>
                  </a:p>
                  <a:p>
                    <a:r>
                      <a:rPr lang="en-US"/>
                      <a:t>a</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1070</a:t>
                    </a:r>
                  </a:p>
                  <a:p>
                    <a:r>
                      <a:rPr lang="en-US"/>
                      <a:t>a</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'GCA formatted'!$A$65:$A$68</c:f>
              <c:strCache>
                <c:ptCount val="4"/>
                <c:pt idx="0">
                  <c:v>2012 HSP</c:v>
                </c:pt>
                <c:pt idx="1">
                  <c:v>2012 CSP</c:v>
                </c:pt>
                <c:pt idx="2">
                  <c:v>2013 HSP</c:v>
                </c:pt>
                <c:pt idx="3">
                  <c:v>2013 CSP</c:v>
                </c:pt>
              </c:strCache>
            </c:strRef>
          </c:cat>
          <c:val>
            <c:numRef>
              <c:f>'GCA formatted'!$C$65:$C$68</c:f>
              <c:numCache>
                <c:formatCode>General</c:formatCode>
                <c:ptCount val="4"/>
                <c:pt idx="0">
                  <c:v>113</c:v>
                </c:pt>
                <c:pt idx="1">
                  <c:v>76</c:v>
                </c:pt>
                <c:pt idx="2">
                  <c:v>1083</c:v>
                </c:pt>
                <c:pt idx="3">
                  <c:v>1077</c:v>
                </c:pt>
              </c:numCache>
            </c:numRef>
          </c:val>
        </c:ser>
        <c:dLbls>
          <c:showLegendKey val="0"/>
          <c:showVal val="0"/>
          <c:showCatName val="0"/>
          <c:showSerName val="0"/>
          <c:showPercent val="0"/>
          <c:showBubbleSize val="0"/>
        </c:dLbls>
        <c:gapWidth val="150"/>
        <c:axId val="37717704"/>
        <c:axId val="37718096"/>
      </c:barChart>
      <c:catAx>
        <c:axId val="37717704"/>
        <c:scaling>
          <c:orientation val="minMax"/>
        </c:scaling>
        <c:delete val="0"/>
        <c:axPos val="b"/>
        <c:numFmt formatCode="General" sourceLinked="0"/>
        <c:majorTickMark val="out"/>
        <c:minorTickMark val="none"/>
        <c:tickLblPos val="nextTo"/>
        <c:crossAx val="37718096"/>
        <c:crosses val="autoZero"/>
        <c:auto val="1"/>
        <c:lblAlgn val="ctr"/>
        <c:lblOffset val="100"/>
        <c:noMultiLvlLbl val="0"/>
      </c:catAx>
      <c:valAx>
        <c:axId val="37718096"/>
        <c:scaling>
          <c:orientation val="minMax"/>
        </c:scaling>
        <c:delete val="0"/>
        <c:axPos val="l"/>
        <c:title>
          <c:tx>
            <c:rich>
              <a:bodyPr rot="-5400000" vert="horz"/>
              <a:lstStyle/>
              <a:p>
                <a:pPr>
                  <a:defRPr/>
                </a:pPr>
                <a:r>
                  <a:rPr lang="en-US"/>
                  <a:t>Biomass Yield </a:t>
                </a:r>
              </a:p>
              <a:p>
                <a:pPr>
                  <a:defRPr/>
                </a:pPr>
                <a:r>
                  <a:rPr lang="en-US"/>
                  <a:t>(g plant</a:t>
                </a:r>
                <a:r>
                  <a:rPr lang="en-US" baseline="30000"/>
                  <a:t>-1</a:t>
                </a:r>
                <a:r>
                  <a:rPr lang="en-US"/>
                  <a:t>)</a:t>
                </a:r>
              </a:p>
            </c:rich>
          </c:tx>
          <c:overlay val="0"/>
        </c:title>
        <c:numFmt formatCode="General" sourceLinked="1"/>
        <c:majorTickMark val="out"/>
        <c:minorTickMark val="none"/>
        <c:tickLblPos val="nextTo"/>
        <c:crossAx val="37717704"/>
        <c:crosses val="autoZero"/>
        <c:crossBetween val="between"/>
      </c:valAx>
    </c:plotArea>
    <c:plotVisOnly val="1"/>
    <c:dispBlanksAs val="gap"/>
    <c:showDLblsOverMax val="0"/>
  </c:chart>
  <c:spPr>
    <a:ln>
      <a:noFill/>
    </a:ln>
  </c:spPr>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lumMod val="50000"/>
                <a:lumOff val="50000"/>
              </a:schemeClr>
            </a:solidFill>
          </c:spPr>
          <c:invertIfNegative val="0"/>
          <c:dLbls>
            <c:dLbl>
              <c:idx val="0"/>
              <c:tx>
                <c:rich>
                  <a:bodyPr/>
                  <a:lstStyle/>
                  <a:p>
                    <a:r>
                      <a:rPr lang="en-US"/>
                      <a:t>65</a:t>
                    </a:r>
                  </a:p>
                  <a:p>
                    <a:r>
                      <a:rPr lang="en-US"/>
                      <a:t>a</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64</a:t>
                    </a:r>
                  </a:p>
                  <a:p>
                    <a:r>
                      <a:rPr lang="en-US"/>
                      <a:t>a</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64</a:t>
                    </a:r>
                  </a:p>
                  <a:p>
                    <a:r>
                      <a:rPr lang="en-US"/>
                      <a:t>a</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62</a:t>
                    </a:r>
                  </a:p>
                  <a:p>
                    <a:r>
                      <a:rPr lang="en-US"/>
                      <a:t>a</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'GCA formatted'!$A$65:$A$68</c:f>
              <c:strCache>
                <c:ptCount val="4"/>
                <c:pt idx="0">
                  <c:v>2012 HSP</c:v>
                </c:pt>
                <c:pt idx="1">
                  <c:v>2012 CSP</c:v>
                </c:pt>
                <c:pt idx="2">
                  <c:v>2013 HSP</c:v>
                </c:pt>
                <c:pt idx="3">
                  <c:v>2013 CSP</c:v>
                </c:pt>
              </c:strCache>
            </c:strRef>
          </c:cat>
          <c:val>
            <c:numRef>
              <c:f>'GCA formatted'!$D$65:$D$68</c:f>
              <c:numCache>
                <c:formatCode>General</c:formatCode>
                <c:ptCount val="4"/>
                <c:pt idx="0">
                  <c:v>65</c:v>
                </c:pt>
                <c:pt idx="1">
                  <c:v>64</c:v>
                </c:pt>
                <c:pt idx="2">
                  <c:v>64</c:v>
                </c:pt>
                <c:pt idx="3">
                  <c:v>62</c:v>
                </c:pt>
              </c:numCache>
            </c:numRef>
          </c:val>
        </c:ser>
        <c:dLbls>
          <c:showLegendKey val="0"/>
          <c:showVal val="0"/>
          <c:showCatName val="0"/>
          <c:showSerName val="0"/>
          <c:showPercent val="0"/>
          <c:showBubbleSize val="0"/>
        </c:dLbls>
        <c:gapWidth val="150"/>
        <c:axId val="37718880"/>
        <c:axId val="192658376"/>
      </c:barChart>
      <c:catAx>
        <c:axId val="37718880"/>
        <c:scaling>
          <c:orientation val="minMax"/>
        </c:scaling>
        <c:delete val="0"/>
        <c:axPos val="b"/>
        <c:numFmt formatCode="General" sourceLinked="0"/>
        <c:majorTickMark val="out"/>
        <c:minorTickMark val="none"/>
        <c:tickLblPos val="nextTo"/>
        <c:crossAx val="192658376"/>
        <c:crosses val="autoZero"/>
        <c:auto val="1"/>
        <c:lblAlgn val="ctr"/>
        <c:lblOffset val="100"/>
        <c:noMultiLvlLbl val="0"/>
      </c:catAx>
      <c:valAx>
        <c:axId val="192658376"/>
        <c:scaling>
          <c:orientation val="minMax"/>
          <c:max val="70"/>
          <c:min val="60"/>
        </c:scaling>
        <c:delete val="0"/>
        <c:axPos val="l"/>
        <c:title>
          <c:tx>
            <c:rich>
              <a:bodyPr rot="-5400000" vert="horz"/>
              <a:lstStyle/>
              <a:p>
                <a:pPr>
                  <a:defRPr/>
                </a:pPr>
                <a:r>
                  <a:rPr lang="en-US"/>
                  <a:t>Predicted Ethanol Yield (mg g</a:t>
                </a:r>
                <a:r>
                  <a:rPr lang="en-US" baseline="30000"/>
                  <a:t>-1</a:t>
                </a:r>
                <a:r>
                  <a:rPr lang="en-US"/>
                  <a:t>)</a:t>
                </a:r>
              </a:p>
            </c:rich>
          </c:tx>
          <c:overlay val="0"/>
        </c:title>
        <c:numFmt formatCode="General" sourceLinked="1"/>
        <c:majorTickMark val="out"/>
        <c:minorTickMark val="none"/>
        <c:tickLblPos val="nextTo"/>
        <c:crossAx val="37718880"/>
        <c:crosses val="autoZero"/>
        <c:crossBetween val="between"/>
        <c:majorUnit val="2"/>
      </c:valAx>
    </c:plotArea>
    <c:plotVisOnly val="1"/>
    <c:dispBlanksAs val="gap"/>
    <c:showDLblsOverMax val="0"/>
  </c:chart>
  <c:spPr>
    <a:ln>
      <a:noFill/>
    </a:ln>
  </c:spPr>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lumMod val="50000"/>
                <a:lumOff val="50000"/>
              </a:schemeClr>
            </a:solidFill>
          </c:spPr>
          <c:invertIfNegative val="0"/>
          <c:dLbls>
            <c:dLbl>
              <c:idx val="0"/>
              <c:tx>
                <c:rich>
                  <a:bodyPr/>
                  <a:lstStyle/>
                  <a:p>
                    <a:r>
                      <a:rPr lang="en-US"/>
                      <a:t>119</a:t>
                    </a:r>
                  </a:p>
                  <a:p>
                    <a:r>
                      <a:rPr lang="en-US"/>
                      <a:t>b</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109</a:t>
                    </a:r>
                  </a:p>
                  <a:p>
                    <a:r>
                      <a:rPr lang="en-US"/>
                      <a:t>c</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199</a:t>
                    </a:r>
                  </a:p>
                  <a:p>
                    <a:r>
                      <a:rPr lang="en-US"/>
                      <a:t>a</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200</a:t>
                    </a:r>
                  </a:p>
                  <a:p>
                    <a:r>
                      <a:rPr lang="en-US"/>
                      <a:t>a</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'GCA formatted'!$A$65:$A$68</c:f>
              <c:strCache>
                <c:ptCount val="4"/>
                <c:pt idx="0">
                  <c:v>2012 HSP</c:v>
                </c:pt>
                <c:pt idx="1">
                  <c:v>2012 CSP</c:v>
                </c:pt>
                <c:pt idx="2">
                  <c:v>2013 HSP</c:v>
                </c:pt>
                <c:pt idx="3">
                  <c:v>2013 CSP</c:v>
                </c:pt>
              </c:strCache>
            </c:strRef>
          </c:cat>
          <c:val>
            <c:numRef>
              <c:f>'GCA formatted'!$E$65:$E$68</c:f>
              <c:numCache>
                <c:formatCode>General</c:formatCode>
                <c:ptCount val="4"/>
                <c:pt idx="0">
                  <c:v>119</c:v>
                </c:pt>
                <c:pt idx="1">
                  <c:v>109</c:v>
                </c:pt>
                <c:pt idx="2">
                  <c:v>199</c:v>
                </c:pt>
                <c:pt idx="3">
                  <c:v>200</c:v>
                </c:pt>
              </c:numCache>
            </c:numRef>
          </c:val>
        </c:ser>
        <c:dLbls>
          <c:showLegendKey val="0"/>
          <c:showVal val="0"/>
          <c:showCatName val="0"/>
          <c:showSerName val="0"/>
          <c:showPercent val="0"/>
          <c:showBubbleSize val="0"/>
        </c:dLbls>
        <c:gapWidth val="150"/>
        <c:axId val="192659160"/>
        <c:axId val="192659552"/>
      </c:barChart>
      <c:catAx>
        <c:axId val="192659160"/>
        <c:scaling>
          <c:orientation val="minMax"/>
        </c:scaling>
        <c:delete val="0"/>
        <c:axPos val="b"/>
        <c:numFmt formatCode="General" sourceLinked="0"/>
        <c:majorTickMark val="out"/>
        <c:minorTickMark val="none"/>
        <c:tickLblPos val="nextTo"/>
        <c:crossAx val="192659552"/>
        <c:crosses val="autoZero"/>
        <c:auto val="1"/>
        <c:lblAlgn val="ctr"/>
        <c:lblOffset val="100"/>
        <c:noMultiLvlLbl val="0"/>
      </c:catAx>
      <c:valAx>
        <c:axId val="192659552"/>
        <c:scaling>
          <c:orientation val="minMax"/>
        </c:scaling>
        <c:delete val="0"/>
        <c:axPos val="l"/>
        <c:title>
          <c:tx>
            <c:rich>
              <a:bodyPr rot="-5400000" vert="horz"/>
              <a:lstStyle/>
              <a:p>
                <a:pPr>
                  <a:defRPr/>
                </a:pPr>
                <a:r>
                  <a:rPr lang="en-US"/>
                  <a:t>Fall Height (cm)</a:t>
                </a:r>
              </a:p>
            </c:rich>
          </c:tx>
          <c:overlay val="0"/>
        </c:title>
        <c:numFmt formatCode="General" sourceLinked="1"/>
        <c:majorTickMark val="out"/>
        <c:minorTickMark val="none"/>
        <c:tickLblPos val="nextTo"/>
        <c:crossAx val="192659160"/>
        <c:crosses val="autoZero"/>
        <c:crossBetween val="between"/>
      </c:valAx>
    </c:plotArea>
    <c:plotVisOnly val="1"/>
    <c:dispBlanksAs val="gap"/>
    <c:showDLblsOverMax val="0"/>
  </c:chart>
  <c:spPr>
    <a:ln>
      <a:noFill/>
    </a:ln>
  </c:spPr>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992946194225723"/>
          <c:y val="8.8782443861184016E-2"/>
          <c:w val="0.79481801280521758"/>
          <c:h val="0.72405803441236516"/>
        </c:manualLayout>
      </c:layout>
      <c:barChart>
        <c:barDir val="col"/>
        <c:grouping val="clustered"/>
        <c:varyColors val="0"/>
        <c:ser>
          <c:idx val="0"/>
          <c:order val="0"/>
          <c:spPr>
            <a:solidFill>
              <a:schemeClr val="tx1">
                <a:lumMod val="50000"/>
                <a:lumOff val="50000"/>
              </a:schemeClr>
            </a:solidFill>
          </c:spPr>
          <c:invertIfNegative val="0"/>
          <c:dLbls>
            <c:dLbl>
              <c:idx val="0"/>
              <c:tx>
                <c:rich>
                  <a:bodyPr/>
                  <a:lstStyle/>
                  <a:p>
                    <a:r>
                      <a:rPr lang="en-US"/>
                      <a:t>155</a:t>
                    </a:r>
                  </a:p>
                  <a:p>
                    <a:r>
                      <a:rPr lang="en-US"/>
                      <a:t>a</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117</a:t>
                    </a:r>
                  </a:p>
                  <a:p>
                    <a:r>
                      <a:rPr lang="en-US"/>
                      <a:t>b</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116</a:t>
                    </a:r>
                  </a:p>
                  <a:p>
                    <a:r>
                      <a:rPr lang="en-US"/>
                      <a:t>b</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97</a:t>
                    </a:r>
                  </a:p>
                  <a:p>
                    <a:r>
                      <a:rPr lang="en-US"/>
                      <a:t>c</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'GCA formatted'!$A$67:$A$70</c:f>
              <c:strCache>
                <c:ptCount val="4"/>
                <c:pt idx="0">
                  <c:v>2013 HSP</c:v>
                </c:pt>
                <c:pt idx="1">
                  <c:v>2013 CSP</c:v>
                </c:pt>
                <c:pt idx="2">
                  <c:v>2014 HSP</c:v>
                </c:pt>
                <c:pt idx="3">
                  <c:v>2014 CSP</c:v>
                </c:pt>
              </c:strCache>
            </c:strRef>
          </c:cat>
          <c:val>
            <c:numRef>
              <c:f>'GCA formatted'!$F$67:$F$70</c:f>
              <c:numCache>
                <c:formatCode>General</c:formatCode>
                <c:ptCount val="4"/>
                <c:pt idx="0">
                  <c:v>155</c:v>
                </c:pt>
                <c:pt idx="1">
                  <c:v>117</c:v>
                </c:pt>
                <c:pt idx="2">
                  <c:v>116</c:v>
                </c:pt>
                <c:pt idx="3">
                  <c:v>97</c:v>
                </c:pt>
              </c:numCache>
            </c:numRef>
          </c:val>
        </c:ser>
        <c:dLbls>
          <c:showLegendKey val="0"/>
          <c:showVal val="0"/>
          <c:showCatName val="0"/>
          <c:showSerName val="0"/>
          <c:showPercent val="0"/>
          <c:showBubbleSize val="0"/>
        </c:dLbls>
        <c:gapWidth val="150"/>
        <c:axId val="195256136"/>
        <c:axId val="195256528"/>
      </c:barChart>
      <c:catAx>
        <c:axId val="195256136"/>
        <c:scaling>
          <c:orientation val="minMax"/>
        </c:scaling>
        <c:delete val="0"/>
        <c:axPos val="b"/>
        <c:numFmt formatCode="General" sourceLinked="0"/>
        <c:majorTickMark val="out"/>
        <c:minorTickMark val="none"/>
        <c:tickLblPos val="nextTo"/>
        <c:crossAx val="195256528"/>
        <c:crosses val="autoZero"/>
        <c:auto val="1"/>
        <c:lblAlgn val="ctr"/>
        <c:lblOffset val="100"/>
        <c:noMultiLvlLbl val="0"/>
      </c:catAx>
      <c:valAx>
        <c:axId val="195256528"/>
        <c:scaling>
          <c:orientation val="minMax"/>
          <c:max val="250"/>
          <c:min val="0"/>
        </c:scaling>
        <c:delete val="0"/>
        <c:axPos val="l"/>
        <c:title>
          <c:tx>
            <c:rich>
              <a:bodyPr rot="-5400000" vert="horz"/>
              <a:lstStyle/>
              <a:p>
                <a:pPr>
                  <a:defRPr/>
                </a:pPr>
                <a:r>
                  <a:rPr lang="en-US"/>
                  <a:t>Spring Height</a:t>
                </a:r>
                <a:r>
                  <a:rPr lang="en-US" baseline="0"/>
                  <a:t> (cm)</a:t>
                </a:r>
                <a:endParaRPr lang="en-US"/>
              </a:p>
            </c:rich>
          </c:tx>
          <c:overlay val="0"/>
        </c:title>
        <c:numFmt formatCode="General" sourceLinked="1"/>
        <c:majorTickMark val="out"/>
        <c:minorTickMark val="none"/>
        <c:tickLblPos val="nextTo"/>
        <c:crossAx val="195256136"/>
        <c:crosses val="autoZero"/>
        <c:crossBetween val="between"/>
      </c:valAx>
    </c:plotArea>
    <c:plotVisOnly val="1"/>
    <c:dispBlanksAs val="gap"/>
    <c:showDLblsOverMax val="0"/>
  </c:chart>
  <c:spPr>
    <a:ln>
      <a:noFill/>
    </a:ln>
  </c:spPr>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lumMod val="50000"/>
                <a:lumOff val="50000"/>
              </a:schemeClr>
            </a:solidFill>
          </c:spPr>
          <c:invertIfNegative val="0"/>
          <c:dLbls>
            <c:dLbl>
              <c:idx val="0"/>
              <c:tx>
                <c:rich>
                  <a:bodyPr/>
                  <a:lstStyle/>
                  <a:p>
                    <a:r>
                      <a:rPr lang="en-US"/>
                      <a:t>56</a:t>
                    </a:r>
                  </a:p>
                  <a:p>
                    <a:r>
                      <a:rPr lang="en-US"/>
                      <a:t>d</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64</a:t>
                    </a:r>
                  </a:p>
                  <a:p>
                    <a:r>
                      <a:rPr lang="en-US"/>
                      <a:t>c</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110</a:t>
                    </a:r>
                  </a:p>
                  <a:p>
                    <a:r>
                      <a:rPr lang="en-US"/>
                      <a:t>a</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97</a:t>
                    </a:r>
                  </a:p>
                  <a:p>
                    <a:r>
                      <a:rPr lang="en-US"/>
                      <a:t>b</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'GCA formatted'!$A$67:$A$70</c:f>
              <c:strCache>
                <c:ptCount val="4"/>
                <c:pt idx="0">
                  <c:v>2013 HSP</c:v>
                </c:pt>
                <c:pt idx="1">
                  <c:v>2013 CSP</c:v>
                </c:pt>
                <c:pt idx="2">
                  <c:v>2014 HSP</c:v>
                </c:pt>
                <c:pt idx="3">
                  <c:v>2014 CSP</c:v>
                </c:pt>
              </c:strCache>
            </c:strRef>
          </c:cat>
          <c:val>
            <c:numRef>
              <c:f>'GCA formatted'!$K$67:$K$70</c:f>
              <c:numCache>
                <c:formatCode>General</c:formatCode>
                <c:ptCount val="4"/>
                <c:pt idx="0">
                  <c:v>56</c:v>
                </c:pt>
                <c:pt idx="1">
                  <c:v>64</c:v>
                </c:pt>
                <c:pt idx="2">
                  <c:v>110</c:v>
                </c:pt>
                <c:pt idx="3">
                  <c:v>97</c:v>
                </c:pt>
              </c:numCache>
            </c:numRef>
          </c:val>
        </c:ser>
        <c:dLbls>
          <c:showLegendKey val="0"/>
          <c:showVal val="0"/>
          <c:showCatName val="0"/>
          <c:showSerName val="0"/>
          <c:showPercent val="0"/>
          <c:showBubbleSize val="0"/>
        </c:dLbls>
        <c:gapWidth val="150"/>
        <c:axId val="195257312"/>
        <c:axId val="195257704"/>
      </c:barChart>
      <c:catAx>
        <c:axId val="195257312"/>
        <c:scaling>
          <c:orientation val="minMax"/>
        </c:scaling>
        <c:delete val="0"/>
        <c:axPos val="b"/>
        <c:numFmt formatCode="General" sourceLinked="0"/>
        <c:majorTickMark val="out"/>
        <c:minorTickMark val="none"/>
        <c:tickLblPos val="nextTo"/>
        <c:crossAx val="195257704"/>
        <c:crosses val="autoZero"/>
        <c:auto val="1"/>
        <c:lblAlgn val="ctr"/>
        <c:lblOffset val="100"/>
        <c:noMultiLvlLbl val="0"/>
      </c:catAx>
      <c:valAx>
        <c:axId val="195257704"/>
        <c:scaling>
          <c:orientation val="minMax"/>
        </c:scaling>
        <c:delete val="0"/>
        <c:axPos val="l"/>
        <c:title>
          <c:tx>
            <c:rich>
              <a:bodyPr rot="-5400000" vert="horz"/>
              <a:lstStyle/>
              <a:p>
                <a:pPr>
                  <a:defRPr/>
                </a:pPr>
                <a:r>
                  <a:rPr lang="en-US"/>
                  <a:t>Tiller Number</a:t>
                </a:r>
              </a:p>
            </c:rich>
          </c:tx>
          <c:overlay val="0"/>
        </c:title>
        <c:numFmt formatCode="General" sourceLinked="1"/>
        <c:majorTickMark val="out"/>
        <c:minorTickMark val="none"/>
        <c:tickLblPos val="nextTo"/>
        <c:crossAx val="195257312"/>
        <c:crosses val="autoZero"/>
        <c:crossBetween val="between"/>
      </c:valAx>
    </c:plotArea>
    <c:plotVisOnly val="1"/>
    <c:dispBlanksAs val="gap"/>
    <c:showDLblsOverMax val="0"/>
  </c:chart>
  <c:spPr>
    <a:ln>
      <a:noFill/>
    </a:ln>
  </c:spPr>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lumMod val="50000"/>
                <a:lumOff val="50000"/>
              </a:schemeClr>
            </a:solidFill>
          </c:spPr>
          <c:invertIfNegative val="0"/>
          <c:dLbls>
            <c:dLbl>
              <c:idx val="0"/>
              <c:tx>
                <c:rich>
                  <a:bodyPr/>
                  <a:lstStyle/>
                  <a:p>
                    <a:r>
                      <a:rPr lang="en-US"/>
                      <a:t>6.2</a:t>
                    </a:r>
                  </a:p>
                  <a:p>
                    <a:r>
                      <a:rPr lang="en-US"/>
                      <a:t>b</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6.8</a:t>
                    </a:r>
                  </a:p>
                  <a:p>
                    <a:r>
                      <a:rPr lang="en-US"/>
                      <a:t>a</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6.2</a:t>
                    </a:r>
                  </a:p>
                  <a:p>
                    <a:r>
                      <a:rPr lang="en-US"/>
                      <a:t>b</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6.6 </a:t>
                    </a:r>
                  </a:p>
                  <a:p>
                    <a:r>
                      <a:rPr lang="en-US"/>
                      <a:t>a</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'GCA formatted'!$A$67:$A$70</c:f>
              <c:strCache>
                <c:ptCount val="4"/>
                <c:pt idx="0">
                  <c:v>2013 HSP</c:v>
                </c:pt>
                <c:pt idx="1">
                  <c:v>2013 CSP</c:v>
                </c:pt>
                <c:pt idx="2">
                  <c:v>2014 HSP</c:v>
                </c:pt>
                <c:pt idx="3">
                  <c:v>2014 CSP</c:v>
                </c:pt>
              </c:strCache>
            </c:strRef>
          </c:cat>
          <c:val>
            <c:numRef>
              <c:f>'GCA formatted'!$J$67:$J$70</c:f>
              <c:numCache>
                <c:formatCode>General</c:formatCode>
                <c:ptCount val="4"/>
                <c:pt idx="0">
                  <c:v>6.2</c:v>
                </c:pt>
                <c:pt idx="1">
                  <c:v>6.8</c:v>
                </c:pt>
                <c:pt idx="2">
                  <c:v>6.2</c:v>
                </c:pt>
                <c:pt idx="3">
                  <c:v>6.6</c:v>
                </c:pt>
              </c:numCache>
            </c:numRef>
          </c:val>
        </c:ser>
        <c:dLbls>
          <c:showLegendKey val="0"/>
          <c:showVal val="0"/>
          <c:showCatName val="0"/>
          <c:showSerName val="0"/>
          <c:showPercent val="0"/>
          <c:showBubbleSize val="0"/>
        </c:dLbls>
        <c:gapWidth val="150"/>
        <c:axId val="190426536"/>
        <c:axId val="190426928"/>
      </c:barChart>
      <c:catAx>
        <c:axId val="190426536"/>
        <c:scaling>
          <c:orientation val="minMax"/>
        </c:scaling>
        <c:delete val="0"/>
        <c:axPos val="b"/>
        <c:numFmt formatCode="General" sourceLinked="0"/>
        <c:majorTickMark val="out"/>
        <c:minorTickMark val="none"/>
        <c:tickLblPos val="nextTo"/>
        <c:crossAx val="190426928"/>
        <c:crosses val="autoZero"/>
        <c:auto val="1"/>
        <c:lblAlgn val="ctr"/>
        <c:lblOffset val="100"/>
        <c:noMultiLvlLbl val="0"/>
      </c:catAx>
      <c:valAx>
        <c:axId val="190426928"/>
        <c:scaling>
          <c:orientation val="minMax"/>
        </c:scaling>
        <c:delete val="0"/>
        <c:axPos val="l"/>
        <c:title>
          <c:tx>
            <c:rich>
              <a:bodyPr rot="-5400000" vert="horz"/>
              <a:lstStyle/>
              <a:p>
                <a:pPr>
                  <a:defRPr/>
                </a:pPr>
                <a:r>
                  <a:rPr lang="en-US"/>
                  <a:t>Tiller Diameter (mm)</a:t>
                </a:r>
              </a:p>
            </c:rich>
          </c:tx>
          <c:overlay val="0"/>
        </c:title>
        <c:numFmt formatCode="General" sourceLinked="1"/>
        <c:majorTickMark val="out"/>
        <c:minorTickMark val="none"/>
        <c:tickLblPos val="nextTo"/>
        <c:crossAx val="190426536"/>
        <c:crosses val="autoZero"/>
        <c:crossBetween val="between"/>
      </c:valAx>
    </c:plotArea>
    <c:plotVisOnly val="1"/>
    <c:dispBlanksAs val="gap"/>
    <c:showDLblsOverMax val="0"/>
  </c:chart>
  <c:spPr>
    <a:ln>
      <a:noFill/>
    </a:ln>
  </c:spPr>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06014873140857"/>
          <c:y val="4.4547461368653424E-2"/>
          <c:w val="0.83471762904636926"/>
          <c:h val="0.83972084615250908"/>
        </c:manualLayout>
      </c:layout>
      <c:barChart>
        <c:barDir val="col"/>
        <c:grouping val="clustered"/>
        <c:varyColors val="0"/>
        <c:ser>
          <c:idx val="0"/>
          <c:order val="0"/>
          <c:spPr>
            <a:solidFill>
              <a:schemeClr val="tx1">
                <a:lumMod val="50000"/>
                <a:lumOff val="50000"/>
              </a:schemeClr>
            </a:solidFill>
          </c:spPr>
          <c:invertIfNegative val="0"/>
          <c:dLbls>
            <c:dLbl>
              <c:idx val="0"/>
              <c:tx>
                <c:rich>
                  <a:bodyPr/>
                  <a:lstStyle/>
                  <a:p>
                    <a:r>
                      <a:rPr lang="en-US"/>
                      <a:t>11.9</a:t>
                    </a:r>
                  </a:p>
                  <a:p>
                    <a:r>
                      <a:rPr lang="en-US"/>
                      <a:t>c</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12.4</a:t>
                    </a:r>
                  </a:p>
                  <a:p>
                    <a:r>
                      <a:rPr lang="en-US"/>
                      <a:t>b</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14.3</a:t>
                    </a:r>
                  </a:p>
                  <a:p>
                    <a:r>
                      <a:rPr lang="en-US"/>
                      <a:t>a</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14.6</a:t>
                    </a:r>
                  </a:p>
                  <a:p>
                    <a:r>
                      <a:rPr lang="en-US"/>
                      <a:t>a</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'GCA formatted'!$A$67:$A$70</c:f>
              <c:strCache>
                <c:ptCount val="4"/>
                <c:pt idx="0">
                  <c:v>2013 HSP</c:v>
                </c:pt>
                <c:pt idx="1">
                  <c:v>2013 CSP</c:v>
                </c:pt>
                <c:pt idx="2">
                  <c:v>2014 HSP</c:v>
                </c:pt>
                <c:pt idx="3">
                  <c:v>2014 CSP</c:v>
                </c:pt>
              </c:strCache>
            </c:strRef>
          </c:cat>
          <c:val>
            <c:numRef>
              <c:f>'GCA formatted'!$L$67:$L$70</c:f>
              <c:numCache>
                <c:formatCode>General</c:formatCode>
                <c:ptCount val="4"/>
                <c:pt idx="0">
                  <c:v>11.9</c:v>
                </c:pt>
                <c:pt idx="1">
                  <c:v>12.4</c:v>
                </c:pt>
                <c:pt idx="2">
                  <c:v>14.3</c:v>
                </c:pt>
                <c:pt idx="3">
                  <c:v>14.6</c:v>
                </c:pt>
              </c:numCache>
            </c:numRef>
          </c:val>
        </c:ser>
        <c:dLbls>
          <c:showLegendKey val="0"/>
          <c:showVal val="0"/>
          <c:showCatName val="0"/>
          <c:showSerName val="0"/>
          <c:showPercent val="0"/>
          <c:showBubbleSize val="0"/>
        </c:dLbls>
        <c:gapWidth val="150"/>
        <c:axId val="190427712"/>
        <c:axId val="230822616"/>
      </c:barChart>
      <c:catAx>
        <c:axId val="190427712"/>
        <c:scaling>
          <c:orientation val="minMax"/>
        </c:scaling>
        <c:delete val="0"/>
        <c:axPos val="b"/>
        <c:numFmt formatCode="General" sourceLinked="0"/>
        <c:majorTickMark val="out"/>
        <c:minorTickMark val="none"/>
        <c:tickLblPos val="nextTo"/>
        <c:crossAx val="230822616"/>
        <c:crosses val="autoZero"/>
        <c:auto val="1"/>
        <c:lblAlgn val="ctr"/>
        <c:lblOffset val="100"/>
        <c:noMultiLvlLbl val="0"/>
      </c:catAx>
      <c:valAx>
        <c:axId val="230822616"/>
        <c:scaling>
          <c:orientation val="minMax"/>
        </c:scaling>
        <c:delete val="0"/>
        <c:axPos val="l"/>
        <c:title>
          <c:tx>
            <c:rich>
              <a:bodyPr rot="-5400000" vert="horz"/>
              <a:lstStyle/>
              <a:p>
                <a:pPr>
                  <a:defRPr/>
                </a:pPr>
                <a:r>
                  <a:rPr lang="en-US"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Leaf Width</a:t>
                </a:r>
                <a:r>
                  <a:rPr lang="en-US"/>
                  <a:t> (mm)</a:t>
                </a:r>
              </a:p>
            </c:rich>
          </c:tx>
          <c:overlay val="0"/>
        </c:title>
        <c:numFmt formatCode="General" sourceLinked="1"/>
        <c:majorTickMark val="out"/>
        <c:minorTickMark val="none"/>
        <c:tickLblPos val="nextTo"/>
        <c:crossAx val="190427712"/>
        <c:crosses val="autoZero"/>
        <c:crossBetween val="between"/>
      </c:valAx>
    </c:plotArea>
    <c:plotVisOnly val="1"/>
    <c:dispBlanksAs val="gap"/>
    <c:showDLblsOverMax val="0"/>
  </c:chart>
  <c:spPr>
    <a:ln>
      <a:noFill/>
    </a:ln>
  </c:spPr>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A68C0-3700-4432-B9CC-DF3C6C081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1041</TotalTime>
  <Pages>1</Pages>
  <Words>65155</Words>
  <Characters>371385</Characters>
  <Application>Microsoft Office Word</Application>
  <DocSecurity>0</DocSecurity>
  <Lines>3094</Lines>
  <Paragraphs>871</Paragraphs>
  <ScaleCrop>false</ScaleCrop>
  <HeadingPairs>
    <vt:vector size="2" baseType="variant">
      <vt:variant>
        <vt:lpstr>Title</vt:lpstr>
      </vt:variant>
      <vt:variant>
        <vt:i4>1</vt:i4>
      </vt:variant>
    </vt:vector>
  </HeadingPairs>
  <TitlesOfParts>
    <vt:vector size="1" baseType="lpstr">
      <vt:lpstr>Soil Carbon and Microfauna Changes as Influenced by Combinations of Biocovers and Cropping Sequences of Glyphosate Tolerant Corn, Soybean, and Cotton</vt:lpstr>
    </vt:vector>
  </TitlesOfParts>
  <Company>UT</Company>
  <LinksUpToDate>false</LinksUpToDate>
  <CharactersWithSpaces>435669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Soil Carbon and Microfauna Changes as Influenced by Combinations of Biocovers and Cropping Sequences of Glyphosate Tolerant Corn, Soybean, and Cotton</dc:title>
  <dc:creator>Jason Wight</dc:creator>
  <cp:lastModifiedBy>Sykes, Virginia Roseanna</cp:lastModifiedBy>
  <cp:revision>50</cp:revision>
  <cp:lastPrinted>2014-11-18T15:42:00Z</cp:lastPrinted>
  <dcterms:created xsi:type="dcterms:W3CDTF">2014-11-12T20:56:00Z</dcterms:created>
  <dcterms:modified xsi:type="dcterms:W3CDTF">2014-11-18T15:53:00Z</dcterms:modified>
</cp:coreProperties>
</file>