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charts/chart11.xml" ContentType="application/vnd.openxmlformats-officedocument.drawingml.chart+xml"/>
  <Override PartName="/word/theme/themeOverride2.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219" w:rsidRPr="00C0338A" w:rsidRDefault="00F24219" w:rsidP="00265C65">
      <w:pPr>
        <w:tabs>
          <w:tab w:val="left" w:pos="4320"/>
          <w:tab w:val="left" w:pos="4410"/>
        </w:tabs>
      </w:pPr>
      <w:r w:rsidRPr="00C0338A">
        <w:rPr>
          <w:lang w:val="en-CA"/>
        </w:rPr>
        <w:t xml:space="preserve"> </w:t>
      </w:r>
      <w:r w:rsidRPr="00C0338A">
        <w:rPr>
          <w:lang w:val="en-CA"/>
        </w:rPr>
        <w:fldChar w:fldCharType="begin"/>
      </w:r>
      <w:r w:rsidRPr="00C0338A">
        <w:rPr>
          <w:lang w:val="en-CA"/>
        </w:rPr>
        <w:instrText xml:space="preserve"> SEQ CHAPTER \h \r 1</w:instrText>
      </w:r>
      <w:r w:rsidRPr="00C0338A">
        <w:rPr>
          <w:lang w:val="en-CA"/>
        </w:rPr>
        <w:fldChar w:fldCharType="end"/>
      </w:r>
      <w:r w:rsidRPr="00C0338A">
        <w:t>To the Graduate Council:</w:t>
      </w:r>
      <w:r w:rsidRPr="00C0338A">
        <w:tab/>
      </w:r>
    </w:p>
    <w:p w:rsidR="00F24219" w:rsidRPr="00C0338A" w:rsidRDefault="00F24219" w:rsidP="00265C65"/>
    <w:p w:rsidR="00F24219" w:rsidRPr="00C0338A" w:rsidRDefault="00F24219" w:rsidP="00265C65">
      <w:pPr>
        <w:ind w:firstLine="720"/>
      </w:pPr>
      <w:r w:rsidRPr="00C0338A">
        <w:t>I am submitting herewith a thesis written by Leah Soro entitled “Impact of switchgrass bioenergy feedstock production on soil carbon dioxide flux and below ground soil organic carbon storage in East Tennessee.” I have examined the final electronic copy of this thesis for form and content and recommend that it be accepted in partial fulfillment of the requirements for the degree of Master of Science, with a major in Environmental and Soil Science.</w:t>
      </w:r>
    </w:p>
    <w:p w:rsidR="00F24219" w:rsidRPr="00C0338A" w:rsidRDefault="00F24219" w:rsidP="00265C65"/>
    <w:p w:rsidR="00F24219" w:rsidRPr="00C0338A" w:rsidRDefault="00F24219" w:rsidP="00265C65"/>
    <w:p w:rsidR="00F24219" w:rsidRPr="00C0338A" w:rsidRDefault="00F24219" w:rsidP="00265C65">
      <w:pPr>
        <w:tabs>
          <w:tab w:val="left" w:pos="4050"/>
        </w:tabs>
      </w:pPr>
      <w:r w:rsidRPr="00C0338A">
        <w:tab/>
        <w:t>Jaehoon Lee, Major Professor</w:t>
      </w:r>
    </w:p>
    <w:p w:rsidR="00F24219" w:rsidRPr="00C0338A" w:rsidRDefault="00F24219" w:rsidP="00265C65"/>
    <w:p w:rsidR="00F24219" w:rsidRPr="00C0338A" w:rsidRDefault="00F24219" w:rsidP="00265C65"/>
    <w:p w:rsidR="00F24219" w:rsidRPr="00C0338A" w:rsidRDefault="00F24219" w:rsidP="00265C65">
      <w:r w:rsidRPr="00C0338A">
        <w:t>We have read this thesis</w:t>
      </w:r>
    </w:p>
    <w:p w:rsidR="00F24219" w:rsidRPr="00C0338A" w:rsidRDefault="00F24219" w:rsidP="00265C65">
      <w:r w:rsidRPr="00C0338A">
        <w:t>and recommend its acceptance:</w:t>
      </w:r>
    </w:p>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r w:rsidRPr="00C0338A">
        <w:t>Burt English</w:t>
      </w:r>
    </w:p>
    <w:p w:rsidR="00F24219" w:rsidRPr="00C0338A" w:rsidRDefault="005127DF" w:rsidP="00265C65">
      <w:r>
        <w:rPr>
          <w:noProof/>
        </w:rPr>
        <w:pict>
          <v:line id="_x0000_s1028" style="position:absolute;z-index:251661312;mso-position-horizontal-relative:page;mso-position-vertical-relative:page" from="90.3pt,347.85pt" to="241.9pt,347.85pt" strokecolor="#020000" strokeweight=".96pt">
            <w10:wrap anchorx="page" anchory="page"/>
          </v:line>
        </w:pict>
      </w:r>
    </w:p>
    <w:p w:rsidR="00F24219" w:rsidRPr="00C0338A" w:rsidRDefault="00F24219" w:rsidP="00265C65"/>
    <w:p w:rsidR="00F24219" w:rsidRPr="00C0338A" w:rsidRDefault="00F24219" w:rsidP="00265C65"/>
    <w:p w:rsidR="00F24219" w:rsidRPr="00C0338A" w:rsidRDefault="005127DF" w:rsidP="00265C65">
      <w:pPr>
        <w:tabs>
          <w:tab w:val="left" w:pos="4320"/>
        </w:tabs>
      </w:pPr>
      <w:r>
        <w:rPr>
          <w:noProof/>
        </w:rPr>
        <w:pict>
          <v:line id="_x0000_s1026" style="position:absolute;z-index:251659264;mso-position-horizontal-relative:page;mso-position-vertical-relative:page" from="90.3pt,402.6pt" to="241.9pt,402.6pt" strokecolor="#020000" strokeweight=".96pt">
            <w10:wrap anchorx="page" anchory="page"/>
          </v:line>
        </w:pict>
      </w:r>
      <w:r w:rsidR="00F24219" w:rsidRPr="00C0338A">
        <w:t xml:space="preserve">Don Tyler </w:t>
      </w:r>
    </w:p>
    <w:p w:rsidR="00F24219" w:rsidRPr="00C0338A" w:rsidRDefault="00F24219" w:rsidP="00265C65"/>
    <w:p w:rsidR="00F24219" w:rsidRPr="00C0338A" w:rsidRDefault="00F24219" w:rsidP="00265C65">
      <w:pPr>
        <w:tabs>
          <w:tab w:val="left" w:pos="4320"/>
        </w:tabs>
      </w:pPr>
    </w:p>
    <w:p w:rsidR="00F24219" w:rsidRPr="00C0338A" w:rsidRDefault="00F24219" w:rsidP="00265C65">
      <w:pPr>
        <w:tabs>
          <w:tab w:val="left" w:pos="4320"/>
        </w:tabs>
      </w:pPr>
    </w:p>
    <w:p w:rsidR="00F24219" w:rsidRPr="00C0338A" w:rsidRDefault="00F24219" w:rsidP="00265C65">
      <w:pPr>
        <w:tabs>
          <w:tab w:val="left" w:pos="4050"/>
          <w:tab w:val="left" w:pos="4320"/>
        </w:tabs>
      </w:pPr>
      <w:r w:rsidRPr="00C0338A">
        <w:tab/>
        <w:t>Accepted for the Council:</w:t>
      </w:r>
    </w:p>
    <w:p w:rsidR="00F24219" w:rsidRPr="00C0338A" w:rsidRDefault="00F24219" w:rsidP="00265C65">
      <w:pPr>
        <w:tabs>
          <w:tab w:val="left" w:pos="4050"/>
          <w:tab w:val="left" w:pos="4320"/>
        </w:tabs>
      </w:pPr>
      <w:r w:rsidRPr="00C0338A">
        <w:tab/>
      </w:r>
    </w:p>
    <w:p w:rsidR="00F24219" w:rsidRPr="00C0338A" w:rsidRDefault="00F24219" w:rsidP="00265C65">
      <w:pPr>
        <w:tabs>
          <w:tab w:val="left" w:pos="4050"/>
          <w:tab w:val="left" w:pos="4320"/>
        </w:tabs>
      </w:pPr>
      <w:r w:rsidRPr="00C0338A">
        <w:tab/>
        <w:t>Carolyn R. Hodges</w:t>
      </w:r>
    </w:p>
    <w:p w:rsidR="00F24219" w:rsidRPr="00C0338A" w:rsidRDefault="005127DF" w:rsidP="00265C65">
      <w:pPr>
        <w:tabs>
          <w:tab w:val="left" w:pos="4050"/>
          <w:tab w:val="left" w:pos="4320"/>
        </w:tabs>
        <w:ind w:left="90" w:firstLine="2880"/>
      </w:pPr>
      <w:r>
        <w:rPr>
          <w:noProof/>
          <w:sz w:val="16"/>
          <w:szCs w:val="16"/>
        </w:rPr>
        <w:pict>
          <v:line id="_x0000_s1027" style="position:absolute;left:0;text-align:left;z-index:251660288;mso-position-horizontal-relative:page;mso-position-vertical-relative:page" from="291.85pt,484.75pt" to="465.05pt,484.75pt" strokecolor="#020000" strokeweight=".96pt">
            <w10:wrap anchorx="page" anchory="page"/>
          </v:line>
        </w:pict>
      </w:r>
      <w:r w:rsidR="00F24219" w:rsidRPr="00C0338A">
        <w:tab/>
        <w:t>Vice Provost and Dean of the Graduate School</w:t>
      </w:r>
    </w:p>
    <w:p w:rsidR="00F24219" w:rsidRPr="00C0338A" w:rsidRDefault="00F24219" w:rsidP="00265C65">
      <w:pPr>
        <w:tabs>
          <w:tab w:val="left" w:pos="180"/>
          <w:tab w:val="left" w:pos="360"/>
        </w:tabs>
        <w:ind w:left="90" w:firstLine="1080"/>
        <w:jc w:val="center"/>
      </w:pPr>
    </w:p>
    <w:p w:rsidR="00F24219" w:rsidRPr="00C0338A" w:rsidRDefault="00F24219" w:rsidP="00265C65">
      <w:pPr>
        <w:tabs>
          <w:tab w:val="left" w:pos="180"/>
          <w:tab w:val="left" w:pos="360"/>
        </w:tabs>
        <w:ind w:left="90" w:firstLine="1080"/>
        <w:jc w:val="center"/>
      </w:pPr>
    </w:p>
    <w:p w:rsidR="00F24219" w:rsidRPr="00C0338A" w:rsidRDefault="00F24219" w:rsidP="00265C65">
      <w:pPr>
        <w:tabs>
          <w:tab w:val="left" w:pos="180"/>
          <w:tab w:val="left" w:pos="360"/>
        </w:tabs>
        <w:ind w:left="90" w:firstLine="1080"/>
        <w:jc w:val="center"/>
      </w:pPr>
    </w:p>
    <w:p w:rsidR="00F24219" w:rsidRPr="00C0338A" w:rsidRDefault="00F24219" w:rsidP="00265C65">
      <w:pPr>
        <w:tabs>
          <w:tab w:val="left" w:pos="180"/>
          <w:tab w:val="left" w:pos="360"/>
        </w:tabs>
        <w:ind w:left="90" w:firstLine="1080"/>
        <w:jc w:val="center"/>
      </w:pPr>
    </w:p>
    <w:p w:rsidR="00F24219" w:rsidRPr="00C0338A" w:rsidRDefault="00F24219" w:rsidP="00265C65">
      <w:pPr>
        <w:tabs>
          <w:tab w:val="left" w:pos="180"/>
          <w:tab w:val="left" w:pos="360"/>
        </w:tabs>
        <w:ind w:left="90" w:firstLine="8450"/>
        <w:jc w:val="center"/>
      </w:pPr>
    </w:p>
    <w:p w:rsidR="00F24219" w:rsidRPr="00C0338A" w:rsidRDefault="00F24219" w:rsidP="00265C65">
      <w:pPr>
        <w:tabs>
          <w:tab w:val="left" w:pos="180"/>
          <w:tab w:val="left" w:pos="360"/>
        </w:tabs>
        <w:ind w:left="90" w:firstLine="8450"/>
        <w:jc w:val="center"/>
      </w:pPr>
    </w:p>
    <w:p w:rsidR="00F24219" w:rsidRPr="00C0338A" w:rsidRDefault="00F24219" w:rsidP="00265C65">
      <w:pPr>
        <w:tabs>
          <w:tab w:val="left" w:pos="180"/>
          <w:tab w:val="left" w:pos="360"/>
        </w:tabs>
        <w:ind w:left="90" w:firstLine="8450"/>
        <w:jc w:val="center"/>
      </w:pPr>
    </w:p>
    <w:p w:rsidR="00F24219" w:rsidRPr="00C0338A" w:rsidRDefault="00F24219" w:rsidP="00265C65">
      <w:pPr>
        <w:tabs>
          <w:tab w:val="left" w:pos="180"/>
          <w:tab w:val="left" w:pos="360"/>
        </w:tabs>
        <w:ind w:left="90" w:firstLine="8450"/>
        <w:jc w:val="center"/>
      </w:pPr>
    </w:p>
    <w:p w:rsidR="00F24219" w:rsidRPr="00C0338A" w:rsidRDefault="00F24219" w:rsidP="00265C65">
      <w:pPr>
        <w:tabs>
          <w:tab w:val="left" w:pos="180"/>
          <w:tab w:val="left" w:pos="360"/>
        </w:tabs>
        <w:ind w:left="90" w:firstLine="8450"/>
        <w:jc w:val="center"/>
      </w:pPr>
    </w:p>
    <w:p w:rsidR="00F24219" w:rsidRPr="00C0338A" w:rsidRDefault="00F24219" w:rsidP="00265C65">
      <w:pPr>
        <w:tabs>
          <w:tab w:val="left" w:pos="180"/>
          <w:tab w:val="left" w:pos="360"/>
        </w:tabs>
        <w:ind w:left="90" w:firstLine="8450"/>
        <w:jc w:val="center"/>
      </w:pPr>
    </w:p>
    <w:p w:rsidR="00F24219" w:rsidRPr="00C0338A" w:rsidRDefault="00F24219" w:rsidP="00265C65">
      <w:pPr>
        <w:tabs>
          <w:tab w:val="left" w:pos="180"/>
          <w:tab w:val="left" w:pos="360"/>
        </w:tabs>
        <w:ind w:left="90" w:firstLine="8450"/>
        <w:jc w:val="center"/>
      </w:pPr>
    </w:p>
    <w:p w:rsidR="00F24219" w:rsidRPr="00C0338A" w:rsidRDefault="00F24219" w:rsidP="00265C65">
      <w:pPr>
        <w:tabs>
          <w:tab w:val="left" w:pos="180"/>
          <w:tab w:val="left" w:pos="360"/>
        </w:tabs>
        <w:ind w:left="90" w:firstLine="540"/>
        <w:jc w:val="center"/>
      </w:pPr>
      <w:r w:rsidRPr="00C0338A">
        <w:t>(Original signatures are on file with official student records.)</w:t>
      </w:r>
    </w:p>
    <w:p w:rsidR="00F24219" w:rsidRPr="00C0338A" w:rsidRDefault="00F24219" w:rsidP="00265C65"/>
    <w:p w:rsidR="00F24219" w:rsidRPr="00C0338A" w:rsidRDefault="00F24219">
      <w:pPr>
        <w:jc w:val="center"/>
        <w:rPr>
          <w:b/>
          <w:sz w:val="36"/>
          <w:szCs w:val="36"/>
          <w:lang w:val="en-CA"/>
        </w:rPr>
        <w:sectPr w:rsidR="00F24219" w:rsidRPr="00C0338A" w:rsidSect="00265C65">
          <w:headerReference w:type="even" r:id="rId8"/>
          <w:headerReference w:type="default" r:id="rId9"/>
          <w:footerReference w:type="default" r:id="rId10"/>
          <w:pgSz w:w="12240" w:h="15840"/>
          <w:pgMar w:top="1440" w:right="1440" w:bottom="1440" w:left="1440" w:header="720" w:footer="720" w:gutter="0"/>
          <w:cols w:space="720"/>
          <w:docGrid w:linePitch="360"/>
        </w:sectPr>
      </w:pPr>
    </w:p>
    <w:p w:rsidR="00F24219" w:rsidRPr="00C0338A" w:rsidRDefault="00F24219" w:rsidP="00265C65">
      <w:pPr>
        <w:jc w:val="center"/>
        <w:rPr>
          <w:b/>
          <w:sz w:val="36"/>
          <w:szCs w:val="36"/>
        </w:rPr>
      </w:pPr>
      <w:r w:rsidRPr="00C0338A">
        <w:rPr>
          <w:b/>
          <w:sz w:val="36"/>
          <w:szCs w:val="36"/>
        </w:rPr>
        <w:lastRenderedPageBreak/>
        <w:t>IMPACT OF SWITCHGRASS BIOENERGY FEEDSTOCK PRODUCTION ON SOIL CARBON DIOXIDE FLUX AND BELOW GROUND SOIL ORGANIC CARBON STORAGE IN EAST TENNESSEE</w:t>
      </w: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r w:rsidRPr="00C0338A">
        <w:rPr>
          <w:sz w:val="36"/>
          <w:szCs w:val="36"/>
        </w:rPr>
        <w:t>A Thesis Presented for the</w:t>
      </w:r>
    </w:p>
    <w:p w:rsidR="00F24219" w:rsidRPr="00C0338A" w:rsidRDefault="00F24219">
      <w:pPr>
        <w:jc w:val="center"/>
        <w:rPr>
          <w:sz w:val="36"/>
          <w:szCs w:val="36"/>
        </w:rPr>
      </w:pPr>
      <w:r w:rsidRPr="00C0338A">
        <w:rPr>
          <w:sz w:val="36"/>
          <w:szCs w:val="36"/>
        </w:rPr>
        <w:t>Master of Science</w:t>
      </w:r>
    </w:p>
    <w:p w:rsidR="00F24219" w:rsidRPr="00C0338A" w:rsidRDefault="00F24219">
      <w:pPr>
        <w:jc w:val="center"/>
        <w:rPr>
          <w:sz w:val="36"/>
          <w:szCs w:val="36"/>
        </w:rPr>
      </w:pPr>
      <w:r w:rsidRPr="00C0338A">
        <w:rPr>
          <w:sz w:val="36"/>
          <w:szCs w:val="36"/>
        </w:rPr>
        <w:t>Degree</w:t>
      </w:r>
    </w:p>
    <w:p w:rsidR="00F24219" w:rsidRPr="00C0338A" w:rsidRDefault="00F24219">
      <w:pPr>
        <w:jc w:val="center"/>
        <w:rPr>
          <w:sz w:val="36"/>
          <w:szCs w:val="36"/>
        </w:rPr>
      </w:pPr>
      <w:r w:rsidRPr="00C0338A">
        <w:rPr>
          <w:sz w:val="36"/>
          <w:szCs w:val="36"/>
        </w:rPr>
        <w:t>The University of Tennessee, Knoxville</w:t>
      </w: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rsidP="00265C65">
      <w:pP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r w:rsidRPr="00C0338A">
        <w:rPr>
          <w:sz w:val="36"/>
          <w:szCs w:val="36"/>
        </w:rPr>
        <w:t>Leah Soro</w:t>
      </w:r>
    </w:p>
    <w:p w:rsidR="00F24219" w:rsidRPr="00C0338A" w:rsidRDefault="00F24219">
      <w:pPr>
        <w:jc w:val="center"/>
        <w:rPr>
          <w:sz w:val="36"/>
          <w:szCs w:val="36"/>
        </w:rPr>
      </w:pPr>
      <w:r w:rsidRPr="00C0338A">
        <w:rPr>
          <w:sz w:val="36"/>
          <w:szCs w:val="36"/>
        </w:rPr>
        <w:t>December 2011</w:t>
      </w: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pPr>
        <w:jc w:val="center"/>
        <w:rPr>
          <w:sz w:val="36"/>
          <w:szCs w:val="36"/>
        </w:rPr>
      </w:pPr>
    </w:p>
    <w:p w:rsidR="00F24219" w:rsidRPr="00C0338A" w:rsidRDefault="00F24219" w:rsidP="00265C65">
      <w:pPr>
        <w:jc w:val="center"/>
      </w:pPr>
      <w:r w:rsidRPr="00C0338A">
        <w:t>Copyright © 2011 by Leah Soro</w:t>
      </w:r>
    </w:p>
    <w:p w:rsidR="00F24219" w:rsidRPr="00C0338A" w:rsidRDefault="00F24219">
      <w:pPr>
        <w:jc w:val="center"/>
      </w:pPr>
      <w:r w:rsidRPr="00C0338A">
        <w:t>All rights reserved.</w:t>
      </w: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pPr>
        <w:jc w:val="center"/>
      </w:pPr>
    </w:p>
    <w:p w:rsidR="00F24219" w:rsidRPr="00C0338A" w:rsidRDefault="00F24219" w:rsidP="00265C65">
      <w:pPr>
        <w:jc w:val="center"/>
        <w:rPr>
          <w:b/>
          <w:sz w:val="28"/>
          <w:szCs w:val="28"/>
        </w:rPr>
      </w:pPr>
      <w:r w:rsidRPr="00C0338A">
        <w:rPr>
          <w:sz w:val="36"/>
          <w:szCs w:val="36"/>
        </w:rPr>
        <w:br w:type="page"/>
      </w:r>
      <w:r w:rsidRPr="00C0338A">
        <w:rPr>
          <w:b/>
          <w:sz w:val="28"/>
          <w:szCs w:val="28"/>
        </w:rPr>
        <w:lastRenderedPageBreak/>
        <w:t>ACKNOWLEDGEMENTS</w:t>
      </w:r>
    </w:p>
    <w:p w:rsidR="00F24219" w:rsidRDefault="00F24219">
      <w:pPr>
        <w:jc w:val="center"/>
      </w:pPr>
    </w:p>
    <w:p w:rsidR="00851749" w:rsidRDefault="00851749">
      <w:pPr>
        <w:jc w:val="center"/>
      </w:pPr>
      <w:r>
        <w:t>Thank you</w:t>
      </w:r>
      <w:r w:rsidR="0060763B">
        <w:t>…</w:t>
      </w:r>
    </w:p>
    <w:p w:rsidR="00851749" w:rsidRPr="00C0338A" w:rsidRDefault="00851749">
      <w:pPr>
        <w:jc w:val="center"/>
      </w:pPr>
    </w:p>
    <w:p w:rsidR="00851749" w:rsidRDefault="0060763B" w:rsidP="00265C65">
      <w:pPr>
        <w:ind w:firstLine="720"/>
      </w:pPr>
      <w:r>
        <w:t>First to</w:t>
      </w:r>
      <w:r w:rsidR="00851749">
        <w:t xml:space="preserve"> </w:t>
      </w:r>
      <w:r w:rsidR="00F24219">
        <w:t>my fiancée, Gray Skinner,</w:t>
      </w:r>
      <w:r w:rsidR="00BF5262">
        <w:t xml:space="preserve"> through the tea</w:t>
      </w:r>
      <w:r w:rsidR="00851749">
        <w:t xml:space="preserve">rs and the frustration that </w:t>
      </w:r>
      <w:r w:rsidR="00786ECA">
        <w:t>went into this project and the many</w:t>
      </w:r>
      <w:r w:rsidR="00851749">
        <w:t xml:space="preserve"> months we were separated because of it</w:t>
      </w:r>
      <w:r>
        <w:t xml:space="preserve"> you</w:t>
      </w:r>
      <w:r w:rsidR="00851749">
        <w:t xml:space="preserve"> never let me quit and reminded me that life is for</w:t>
      </w:r>
      <w:r w:rsidR="003E5725">
        <w:t>ever sweet even when it’s a grind</w:t>
      </w:r>
      <w:r w:rsidR="00851749">
        <w:t>.</w:t>
      </w:r>
    </w:p>
    <w:p w:rsidR="00851749" w:rsidRDefault="00851749" w:rsidP="00265C65">
      <w:pPr>
        <w:ind w:firstLine="720"/>
      </w:pPr>
    </w:p>
    <w:p w:rsidR="00F24219" w:rsidRDefault="00F24219" w:rsidP="00265C65">
      <w:pPr>
        <w:ind w:firstLine="720"/>
      </w:pPr>
      <w:r>
        <w:t xml:space="preserve"> </w:t>
      </w:r>
      <w:r w:rsidR="00851749">
        <w:t>Dad and Mom, for your</w:t>
      </w:r>
      <w:r>
        <w:t xml:space="preserve"> unwavering support and </w:t>
      </w:r>
      <w:r w:rsidR="00851749">
        <w:t xml:space="preserve">remarkable unconditional love. </w:t>
      </w:r>
      <w:r w:rsidR="0060763B">
        <w:t>You planted the seed of confidence in me from which all my achievements will grow.</w:t>
      </w:r>
    </w:p>
    <w:p w:rsidR="00851749" w:rsidRDefault="00851749" w:rsidP="00265C65">
      <w:pPr>
        <w:ind w:firstLine="720"/>
      </w:pPr>
    </w:p>
    <w:p w:rsidR="00F24219" w:rsidRDefault="0060763B" w:rsidP="00265C65">
      <w:pPr>
        <w:ind w:firstLine="720"/>
      </w:pPr>
      <w:r>
        <w:t>Andrew Sherfy, for your</w:t>
      </w:r>
      <w:r w:rsidR="00F24219">
        <w:t xml:space="preserve"> countless hours of consultation regarding the finer</w:t>
      </w:r>
      <w:r>
        <w:t xml:space="preserve"> details of soil science and your</w:t>
      </w:r>
      <w:r w:rsidR="00F24219">
        <w:t xml:space="preserve"> commitment to helping me c</w:t>
      </w:r>
      <w:r>
        <w:t>omplete my research. Without you</w:t>
      </w:r>
      <w:r w:rsidR="00F24219">
        <w:t xml:space="preserve"> this project would likely never have been completed, nor would the experience have been as rewarding. </w:t>
      </w:r>
    </w:p>
    <w:p w:rsidR="00851749" w:rsidRDefault="00851749" w:rsidP="00265C65">
      <w:pPr>
        <w:ind w:firstLine="720"/>
      </w:pPr>
    </w:p>
    <w:p w:rsidR="00F24219" w:rsidRDefault="00F24219" w:rsidP="00265C65">
      <w:pPr>
        <w:ind w:firstLine="720"/>
      </w:pPr>
      <w:r>
        <w:t xml:space="preserve"> Wesley Wright</w:t>
      </w:r>
      <w:r w:rsidR="0060763B">
        <w:t>,</w:t>
      </w:r>
      <w:r>
        <w:t xml:space="preserve"> for building and maintaining the functionality of my analyzing system and for driving hours to pick me up whenever my truck broke down in the field.</w:t>
      </w:r>
    </w:p>
    <w:p w:rsidR="00851749" w:rsidRDefault="00851749" w:rsidP="00265C65">
      <w:pPr>
        <w:ind w:firstLine="720"/>
      </w:pPr>
    </w:p>
    <w:p w:rsidR="00F24219" w:rsidRDefault="0060763B" w:rsidP="00265C65">
      <w:pPr>
        <w:ind w:firstLine="720"/>
      </w:pPr>
      <w:r>
        <w:t>To</w:t>
      </w:r>
      <w:r w:rsidR="00F24219">
        <w:t xml:space="preserve"> </w:t>
      </w:r>
      <w:r>
        <w:t>my M</w:t>
      </w:r>
      <w:r w:rsidR="00F24219">
        <w:t>ajor P</w:t>
      </w:r>
      <w:r>
        <w:t>rofessor Dr. Jaehoon Lee, for your</w:t>
      </w:r>
      <w:r w:rsidR="00F24219">
        <w:t xml:space="preserve"> guidance and patie</w:t>
      </w:r>
      <w:r>
        <w:t>nce with me on this project. Your</w:t>
      </w:r>
      <w:r w:rsidR="00F24219">
        <w:t xml:space="preserve"> understanding and encouragement to come to independent conclusions have taught me more than one could ever learn in a classroom.</w:t>
      </w:r>
    </w:p>
    <w:p w:rsidR="00851749" w:rsidRDefault="00851749" w:rsidP="00265C65">
      <w:pPr>
        <w:ind w:firstLine="720"/>
      </w:pPr>
    </w:p>
    <w:p w:rsidR="00851749" w:rsidRDefault="00851749" w:rsidP="00265C65">
      <w:pPr>
        <w:ind w:firstLine="720"/>
      </w:pPr>
      <w:r>
        <w:rPr>
          <w:rFonts w:ascii="Verdana" w:hAnsi="Verdana"/>
          <w:color w:val="000000"/>
          <w:sz w:val="17"/>
          <w:szCs w:val="17"/>
          <w:shd w:val="clear" w:color="auto" w:fill="A4A4A4"/>
        </w:rPr>
        <w:br/>
      </w:r>
    </w:p>
    <w:p w:rsidR="00F24219" w:rsidRDefault="00F24219" w:rsidP="00265C65">
      <w:pPr>
        <w:jc w:val="center"/>
      </w:pPr>
    </w:p>
    <w:p w:rsidR="00F24219" w:rsidRPr="00C0338A" w:rsidRDefault="00F24219" w:rsidP="00265C65">
      <w:pPr>
        <w:jc w:val="center"/>
      </w:pPr>
      <w:r>
        <w:t xml:space="preserve">  </w:t>
      </w:r>
      <w:r w:rsidRPr="00C0338A">
        <w:rPr>
          <w:sz w:val="36"/>
          <w:szCs w:val="36"/>
        </w:rPr>
        <w:br w:type="page"/>
      </w:r>
      <w:r w:rsidRPr="00C0338A">
        <w:rPr>
          <w:b/>
          <w:bCs/>
          <w:sz w:val="28"/>
          <w:szCs w:val="28"/>
        </w:rPr>
        <w:lastRenderedPageBreak/>
        <w:t>ABSTRACT</w:t>
      </w:r>
    </w:p>
    <w:p w:rsidR="00F24219" w:rsidRPr="00C0338A" w:rsidRDefault="00F24219"/>
    <w:p w:rsidR="00F24219" w:rsidRDefault="00F24219" w:rsidP="006341EA">
      <w:pPr>
        <w:pStyle w:val="NoSpacing"/>
        <w:ind w:firstLine="720"/>
        <w:rPr>
          <w:rFonts w:ascii="Times New Roman" w:hAnsi="Times New Roman"/>
          <w:sz w:val="24"/>
        </w:rPr>
      </w:pPr>
      <w:r w:rsidRPr="00C0338A">
        <w:rPr>
          <w:rFonts w:ascii="Times New Roman" w:hAnsi="Times New Roman"/>
          <w:sz w:val="24"/>
          <w:szCs w:val="24"/>
        </w:rPr>
        <w:t>Current concerns about trends in the carbon (C) cycle include the risk of global climate change from increased atmospheric CO</w:t>
      </w:r>
      <w:r w:rsidRPr="00C0338A">
        <w:rPr>
          <w:rFonts w:ascii="Times New Roman" w:hAnsi="Times New Roman"/>
          <w:sz w:val="24"/>
          <w:szCs w:val="24"/>
          <w:vertAlign w:val="subscript"/>
        </w:rPr>
        <w:t>2</w:t>
      </w:r>
      <w:r w:rsidRPr="00C0338A">
        <w:rPr>
          <w:rFonts w:ascii="Times New Roman" w:hAnsi="Times New Roman"/>
          <w:sz w:val="24"/>
          <w:szCs w:val="24"/>
        </w:rPr>
        <w:t>, and diminished soil productivity from losses in carbon in degraded agricultural soils. Bioenergy production from switchgrass has shown promise in restoring degraded soil while reducing dependence on foreign energy sources and helping to mitigate greenhouse gas (GHG) emissions.  CO</w:t>
      </w:r>
      <w:r w:rsidRPr="00C0338A">
        <w:rPr>
          <w:rFonts w:ascii="Times New Roman" w:hAnsi="Times New Roman"/>
          <w:sz w:val="24"/>
          <w:szCs w:val="24"/>
          <w:vertAlign w:val="subscript"/>
        </w:rPr>
        <w:t>2</w:t>
      </w:r>
      <w:r w:rsidRPr="00C0338A">
        <w:rPr>
          <w:rFonts w:ascii="Times New Roman" w:hAnsi="Times New Roman"/>
          <w:sz w:val="24"/>
          <w:szCs w:val="24"/>
        </w:rPr>
        <w:t xml:space="preserve"> loss</w:t>
      </w:r>
      <w:r>
        <w:rPr>
          <w:rFonts w:ascii="Times New Roman" w:hAnsi="Times New Roman"/>
          <w:sz w:val="24"/>
          <w:szCs w:val="24"/>
        </w:rPr>
        <w:t xml:space="preserve"> and C-sequestration in soils are important topics for research in order to </w:t>
      </w:r>
      <w:r w:rsidRPr="00C0338A">
        <w:rPr>
          <w:rFonts w:ascii="Times New Roman" w:hAnsi="Times New Roman"/>
          <w:sz w:val="24"/>
          <w:szCs w:val="24"/>
        </w:rPr>
        <w:t xml:space="preserve">better understand the environmental impacts of bioenergy crops. Switchgrass has proven efficient in producing biomass </w:t>
      </w:r>
      <w:r>
        <w:rPr>
          <w:rFonts w:ascii="Times New Roman" w:hAnsi="Times New Roman"/>
          <w:sz w:val="24"/>
          <w:szCs w:val="24"/>
        </w:rPr>
        <w:t xml:space="preserve">both </w:t>
      </w:r>
      <w:r w:rsidRPr="00C0338A">
        <w:rPr>
          <w:rFonts w:ascii="Times New Roman" w:hAnsi="Times New Roman"/>
          <w:sz w:val="24"/>
          <w:szCs w:val="24"/>
        </w:rPr>
        <w:t xml:space="preserve">above and below ground, thus providing </w:t>
      </w:r>
      <w:r>
        <w:rPr>
          <w:rFonts w:ascii="Times New Roman" w:hAnsi="Times New Roman"/>
          <w:sz w:val="24"/>
          <w:szCs w:val="24"/>
        </w:rPr>
        <w:t xml:space="preserve">transportation fuel that is </w:t>
      </w:r>
      <w:r w:rsidRPr="00C0338A">
        <w:rPr>
          <w:rFonts w:ascii="Times New Roman" w:hAnsi="Times New Roman"/>
          <w:sz w:val="24"/>
          <w:szCs w:val="24"/>
        </w:rPr>
        <w:t>car</w:t>
      </w:r>
      <w:r>
        <w:rPr>
          <w:rFonts w:ascii="Times New Roman" w:hAnsi="Times New Roman"/>
          <w:sz w:val="24"/>
          <w:szCs w:val="24"/>
        </w:rPr>
        <w:t>bon-negative. T</w:t>
      </w:r>
      <w:r w:rsidRPr="00C0338A">
        <w:rPr>
          <w:rFonts w:ascii="Times New Roman" w:hAnsi="Times New Roman"/>
          <w:sz w:val="24"/>
          <w:szCs w:val="24"/>
        </w:rPr>
        <w:t>he need for more thorough research of the carbon cycle in soils used for bioenergy production</w:t>
      </w:r>
      <w:r>
        <w:rPr>
          <w:rFonts w:ascii="Times New Roman" w:hAnsi="Times New Roman"/>
          <w:sz w:val="24"/>
          <w:szCs w:val="24"/>
        </w:rPr>
        <w:t xml:space="preserve"> precipitated the primary interest of this study,</w:t>
      </w:r>
      <w:r w:rsidRPr="00C0338A">
        <w:rPr>
          <w:rFonts w:ascii="Times New Roman" w:hAnsi="Times New Roman"/>
          <w:sz w:val="24"/>
          <w:szCs w:val="24"/>
        </w:rPr>
        <w:t xml:space="preserve"> CO</w:t>
      </w:r>
      <w:r w:rsidRPr="00C0338A">
        <w:rPr>
          <w:rFonts w:ascii="Times New Roman" w:hAnsi="Times New Roman"/>
          <w:sz w:val="24"/>
          <w:szCs w:val="24"/>
          <w:vertAlign w:val="subscript"/>
        </w:rPr>
        <w:t>2</w:t>
      </w:r>
      <w:r w:rsidRPr="00C0338A">
        <w:rPr>
          <w:rFonts w:ascii="Times New Roman" w:hAnsi="Times New Roman"/>
          <w:sz w:val="24"/>
          <w:szCs w:val="24"/>
        </w:rPr>
        <w:t xml:space="preserve"> loss from soils to the atmosphere and carbon storage</w:t>
      </w:r>
      <w:r w:rsidR="006341EA" w:rsidRPr="006341EA">
        <w:t xml:space="preserve"> </w:t>
      </w:r>
      <w:r w:rsidR="006341EA" w:rsidRPr="006341EA">
        <w:rPr>
          <w:rFonts w:ascii="Times New Roman" w:hAnsi="Times New Roman"/>
          <w:sz w:val="24"/>
        </w:rPr>
        <w:t>The specific objectives of this study  were  1) to measure SOC under switchgrass production in order to predict storage of carbon in soils based on previous cropping history, land management, soil physical characteristics, and time; and to  2) measure soil CO</w:t>
      </w:r>
      <w:r w:rsidR="006341EA" w:rsidRPr="006341EA">
        <w:rPr>
          <w:rFonts w:ascii="Times New Roman" w:hAnsi="Times New Roman"/>
          <w:sz w:val="24"/>
          <w:vertAlign w:val="subscript"/>
        </w:rPr>
        <w:t>2</w:t>
      </w:r>
      <w:r w:rsidR="006341EA" w:rsidRPr="006341EA">
        <w:rPr>
          <w:rFonts w:ascii="Times New Roman" w:hAnsi="Times New Roman"/>
          <w:sz w:val="24"/>
        </w:rPr>
        <w:t xml:space="preserve"> flux through the entire year to establish a) the annual, seasonal, and daily respiration rates, and b) use this data with soil carbon data to better understand the carbon life cycle in soils under switchgrass production in East Tennessee.  Objective (1) and the results are addressed in Chapter I. Objective (2) and the results are addressed in Chapter II.</w:t>
      </w:r>
    </w:p>
    <w:p w:rsidR="006341EA" w:rsidRDefault="006341EA" w:rsidP="006341EA">
      <w:pPr>
        <w:pStyle w:val="NoSpacing"/>
        <w:ind w:firstLine="720"/>
        <w:rPr>
          <w:rFonts w:ascii="Times New Roman" w:hAnsi="Times New Roman"/>
          <w:sz w:val="24"/>
          <w:szCs w:val="24"/>
        </w:rPr>
      </w:pPr>
    </w:p>
    <w:p w:rsidR="003F76BE" w:rsidRPr="00C0338A" w:rsidRDefault="003F76BE" w:rsidP="003F76BE">
      <w:pPr>
        <w:numPr>
          <w:ilvl w:val="12"/>
          <w:numId w:val="0"/>
        </w:numPr>
      </w:pPr>
      <w:r>
        <w:tab/>
        <w:t>Switchgrass has emerged as a potential carbon sink fuel source. Therefore the need for a more thorough regional assessment of carbon storage precipitated the primary interest of Chapter 1 of this research. The study was conducted on twelve farms across East Tennessee. The 250 sampling points represented 350 acres of switchgrass. Seven previous different cropping systems, four soil textural classes, and four soil taxonomy classes are represented in this study. There was an average 10% decrease in SOC in the first 30 cm. SOC increased by 6% from 30 to 60 cm and increased roughly by 30% in the deeper soil profile (60-120 cm). However soil texture, soil taxonomy, and previous cropping system showed no statistical significant effects on SOC storage during the measurement period of this study (4 years).</w:t>
      </w:r>
    </w:p>
    <w:p w:rsidR="003F76BE" w:rsidRDefault="003F76BE" w:rsidP="00265C65">
      <w:pPr>
        <w:pStyle w:val="NoSpacing"/>
        <w:rPr>
          <w:rFonts w:ascii="Times New Roman" w:hAnsi="Times New Roman"/>
          <w:sz w:val="24"/>
          <w:szCs w:val="24"/>
        </w:rPr>
      </w:pPr>
    </w:p>
    <w:p w:rsidR="006341EA" w:rsidRPr="003A7AA4" w:rsidRDefault="003F76BE" w:rsidP="006341EA">
      <w:pPr>
        <w:numPr>
          <w:ilvl w:val="12"/>
          <w:numId w:val="0"/>
        </w:numPr>
      </w:pPr>
      <w:r>
        <w:tab/>
      </w:r>
      <w:r w:rsidR="006341EA">
        <w:t>The second objective of this study was to1) measure and observe annual, seasonal, and daily soil CO</w:t>
      </w:r>
      <w:r w:rsidR="006341EA">
        <w:rPr>
          <w:vertAlign w:val="subscript"/>
        </w:rPr>
        <w:t>2</w:t>
      </w:r>
      <w:r w:rsidR="006341EA">
        <w:t xml:space="preserve"> flux from switchgrass produced for biofuel feedstock and 2) combine this information with the SOC results from Chapter 1in order to better understand the overall carbon lifecycle. Measurements were taken hourly from June 1, 2010 to August 18, 2011using LICOR LI-8100 long-term chambers. As hypothesized, soil temperature and moisture had a significant influence on CO</w:t>
      </w:r>
      <w:r w:rsidR="006341EA">
        <w:rPr>
          <w:vertAlign w:val="subscript"/>
        </w:rPr>
        <w:t>2</w:t>
      </w:r>
      <w:r w:rsidR="006341EA">
        <w:t xml:space="preserve"> flux variance. Soil temperature and soil moisture were able to explain 83% and 81.5% of variance in flux from clumps (cover) and between clumps (bare) respectively. The summer months exhibited the highest flux rate followed by spring, fall, and finally winter due to the favorable conditions for microbial metabolism in the warm summer months. </w:t>
      </w:r>
      <w:r w:rsidR="00227FF9">
        <w:t>Although largely overlooked in previous research, the winter months (mid Dec. – mid Mar.) did contribute 5.4 MgCO</w:t>
      </w:r>
      <w:r w:rsidR="00227FF9">
        <w:rPr>
          <w:vertAlign w:val="subscript"/>
        </w:rPr>
        <w:t>2</w:t>
      </w:r>
      <w:r w:rsidR="00227FF9">
        <w:t xml:space="preserve"> ha</w:t>
      </w:r>
      <w:r w:rsidR="00227FF9">
        <w:rPr>
          <w:vertAlign w:val="superscript"/>
        </w:rPr>
        <w:t>-1</w:t>
      </w:r>
      <w:r w:rsidR="00227FF9">
        <w:t xml:space="preserve"> season</w:t>
      </w:r>
      <w:r w:rsidR="00227FF9">
        <w:rPr>
          <w:vertAlign w:val="superscript"/>
        </w:rPr>
        <w:t>-1</w:t>
      </w:r>
      <w:r w:rsidR="00227FF9">
        <w:t xml:space="preserve"> (±2.5</w:t>
      </w:r>
      <w:r w:rsidR="00227FF9" w:rsidRPr="009B3F78">
        <w:t xml:space="preserve"> </w:t>
      </w:r>
      <w:r w:rsidR="00227FF9">
        <w:t>MgCO</w:t>
      </w:r>
      <w:r w:rsidR="00227FF9">
        <w:rPr>
          <w:vertAlign w:val="subscript"/>
        </w:rPr>
        <w:t>2</w:t>
      </w:r>
      <w:r w:rsidR="00227FF9">
        <w:t xml:space="preserve"> ha</w:t>
      </w:r>
      <w:r w:rsidR="00227FF9">
        <w:rPr>
          <w:vertAlign w:val="superscript"/>
        </w:rPr>
        <w:t>-1</w:t>
      </w:r>
      <w:r w:rsidR="00227FF9">
        <w:t xml:space="preserve"> season</w:t>
      </w:r>
      <w:r w:rsidR="00227FF9">
        <w:rPr>
          <w:vertAlign w:val="superscript"/>
        </w:rPr>
        <w:t>-1</w:t>
      </w:r>
      <w:r w:rsidR="00227FF9">
        <w:t xml:space="preserve">) from clumps (cover) and </w:t>
      </w:r>
      <w:r w:rsidR="00227FF9">
        <w:lastRenderedPageBreak/>
        <w:t>4.0 MgCO</w:t>
      </w:r>
      <w:r w:rsidR="00227FF9">
        <w:rPr>
          <w:vertAlign w:val="subscript"/>
        </w:rPr>
        <w:t>2</w:t>
      </w:r>
      <w:r w:rsidR="00227FF9">
        <w:t xml:space="preserve"> ha</w:t>
      </w:r>
      <w:r w:rsidR="00227FF9">
        <w:rPr>
          <w:vertAlign w:val="superscript"/>
        </w:rPr>
        <w:t>-1</w:t>
      </w:r>
      <w:r w:rsidR="00227FF9">
        <w:t xml:space="preserve"> season</w:t>
      </w:r>
      <w:r w:rsidR="00227FF9">
        <w:rPr>
          <w:vertAlign w:val="superscript"/>
        </w:rPr>
        <w:t>-1</w:t>
      </w:r>
      <w:r w:rsidR="00227FF9">
        <w:t xml:space="preserve"> (±3.2 MgCO</w:t>
      </w:r>
      <w:r w:rsidR="00227FF9">
        <w:rPr>
          <w:vertAlign w:val="subscript"/>
        </w:rPr>
        <w:t>2</w:t>
      </w:r>
      <w:r w:rsidR="00227FF9">
        <w:t xml:space="preserve"> ha</w:t>
      </w:r>
      <w:r w:rsidR="00227FF9">
        <w:rPr>
          <w:vertAlign w:val="superscript"/>
        </w:rPr>
        <w:t>-1</w:t>
      </w:r>
      <w:r w:rsidR="00227FF9">
        <w:t xml:space="preserve"> season</w:t>
      </w:r>
      <w:r w:rsidR="00227FF9">
        <w:rPr>
          <w:vertAlign w:val="superscript"/>
        </w:rPr>
        <w:t>-1</w:t>
      </w:r>
      <w:r w:rsidR="00227FF9">
        <w:t xml:space="preserve">) from between clumps (bare). </w:t>
      </w:r>
      <w:r w:rsidR="006341EA">
        <w:t>The contribution of CO</w:t>
      </w:r>
      <w:r w:rsidR="006341EA">
        <w:rPr>
          <w:vertAlign w:val="subscript"/>
        </w:rPr>
        <w:t>2</w:t>
      </w:r>
      <w:r w:rsidR="006341EA">
        <w:t xml:space="preserve"> should not be overlooked when analyzing system contributions especially in the warmer Southeastern region. The objective of combining SOC data from Chapter 1 with CO</w:t>
      </w:r>
      <w:r w:rsidR="006341EA">
        <w:rPr>
          <w:vertAlign w:val="subscript"/>
        </w:rPr>
        <w:t>2</w:t>
      </w:r>
      <w:r w:rsidR="006341EA">
        <w:t xml:space="preserve"> data from this study became exceedingly difficult due to unresolvable complications involving the calculations of bulk SOC. Therefore the relationship will not be addresses in quantitative manner, but the problems will be presented.</w:t>
      </w:r>
    </w:p>
    <w:p w:rsidR="00F24219" w:rsidRPr="003F76BE" w:rsidRDefault="00F24219" w:rsidP="00265C65">
      <w:pPr>
        <w:pStyle w:val="NoSpacing"/>
        <w:rPr>
          <w:rFonts w:ascii="Times New Roman" w:hAnsi="Times New Roman"/>
          <w:sz w:val="24"/>
          <w:szCs w:val="24"/>
        </w:rPr>
      </w:pPr>
    </w:p>
    <w:p w:rsidR="00F24219" w:rsidRPr="00C0338A" w:rsidRDefault="00F24219" w:rsidP="00265C65">
      <w:pPr>
        <w:pStyle w:val="NoSpacing"/>
        <w:rPr>
          <w:rFonts w:ascii="Times New Roman" w:hAnsi="Times New Roman"/>
          <w:sz w:val="24"/>
          <w:szCs w:val="24"/>
        </w:rPr>
      </w:pPr>
    </w:p>
    <w:p w:rsidR="00F24219" w:rsidRPr="00C0338A" w:rsidRDefault="00F24219" w:rsidP="00265C65">
      <w:pPr>
        <w:pStyle w:val="NoSpacing"/>
        <w:rPr>
          <w:rFonts w:ascii="Times New Roman" w:hAnsi="Times New Roman"/>
          <w:i/>
          <w:sz w:val="24"/>
          <w:szCs w:val="24"/>
        </w:rPr>
      </w:pPr>
      <w:r w:rsidRPr="00C0338A">
        <w:rPr>
          <w:rFonts w:ascii="Times New Roman" w:hAnsi="Times New Roman"/>
          <w:b/>
          <w:i/>
          <w:sz w:val="24"/>
          <w:szCs w:val="24"/>
        </w:rPr>
        <w:t>Keywords</w:t>
      </w:r>
      <w:r w:rsidRPr="00C0338A">
        <w:rPr>
          <w:rFonts w:ascii="Times New Roman" w:hAnsi="Times New Roman"/>
          <w:i/>
          <w:sz w:val="24"/>
          <w:szCs w:val="24"/>
        </w:rPr>
        <w:t xml:space="preserve">: biofuel, bioenergy, </w:t>
      </w:r>
      <w:r w:rsidRPr="00C0338A">
        <w:rPr>
          <w:rFonts w:ascii="Times New Roman" w:hAnsi="Times New Roman"/>
          <w:sz w:val="24"/>
          <w:szCs w:val="24"/>
        </w:rPr>
        <w:t>CO</w:t>
      </w:r>
      <w:r w:rsidRPr="00C0338A">
        <w:rPr>
          <w:rFonts w:ascii="Times New Roman" w:hAnsi="Times New Roman"/>
          <w:sz w:val="24"/>
          <w:szCs w:val="24"/>
          <w:vertAlign w:val="subscript"/>
        </w:rPr>
        <w:t>2</w:t>
      </w:r>
      <w:r w:rsidRPr="00C0338A">
        <w:rPr>
          <w:rFonts w:ascii="Times New Roman" w:hAnsi="Times New Roman"/>
          <w:i/>
          <w:sz w:val="24"/>
          <w:szCs w:val="24"/>
        </w:rPr>
        <w:t>, carbon seques</w:t>
      </w:r>
      <w:r w:rsidR="00243C89">
        <w:rPr>
          <w:rFonts w:ascii="Times New Roman" w:hAnsi="Times New Roman"/>
          <w:i/>
          <w:sz w:val="24"/>
          <w:szCs w:val="24"/>
        </w:rPr>
        <w:t>tration, global climate change</w:t>
      </w:r>
      <w:r>
        <w:rPr>
          <w:rFonts w:ascii="Times New Roman" w:hAnsi="Times New Roman"/>
          <w:i/>
          <w:sz w:val="24"/>
          <w:szCs w:val="24"/>
        </w:rPr>
        <w:t>, SOC</w:t>
      </w:r>
    </w:p>
    <w:p w:rsidR="00F24219" w:rsidRPr="00C0338A" w:rsidRDefault="00F24219" w:rsidP="00265C65">
      <w:r w:rsidRPr="00C0338A">
        <w:t xml:space="preserve"> </w:t>
      </w:r>
    </w:p>
    <w:p w:rsidR="00F24219" w:rsidRPr="00C0338A" w:rsidRDefault="00F24219" w:rsidP="00265C65">
      <w:pPr>
        <w:numPr>
          <w:ilvl w:val="12"/>
          <w:numId w:val="0"/>
        </w:numPr>
        <w:jc w:val="center"/>
      </w:pPr>
      <w:bookmarkStart w:id="0" w:name="_GoBack"/>
      <w:bookmarkEnd w:id="0"/>
      <w:r w:rsidRPr="00C0338A">
        <w:br w:type="page"/>
      </w:r>
      <w:r w:rsidRPr="00C0338A">
        <w:rPr>
          <w:b/>
          <w:bCs/>
          <w:sz w:val="28"/>
          <w:szCs w:val="28"/>
        </w:rPr>
        <w:lastRenderedPageBreak/>
        <w:t>TABLE OF CONTENTS</w:t>
      </w:r>
    </w:p>
    <w:p w:rsidR="00F24219" w:rsidRPr="00C0338A" w:rsidRDefault="00F24219" w:rsidP="00265C6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0338A">
        <w:tab/>
      </w:r>
      <w:r w:rsidRPr="00C0338A">
        <w:tab/>
      </w:r>
      <w:r w:rsidRPr="00C0338A">
        <w:tab/>
      </w:r>
      <w:r w:rsidRPr="00C0338A">
        <w:tab/>
      </w:r>
      <w:r w:rsidRPr="00C0338A">
        <w:tab/>
      </w:r>
      <w:r w:rsidRPr="00C0338A">
        <w:tab/>
      </w:r>
      <w:r w:rsidRPr="00C0338A">
        <w:tab/>
      </w:r>
      <w:r w:rsidRPr="00C0338A">
        <w:tab/>
      </w:r>
    </w:p>
    <w:p w:rsidR="00F24219" w:rsidRPr="004D4F8A" w:rsidRDefault="00F24219">
      <w:pPr>
        <w:pStyle w:val="TOC2"/>
        <w:rPr>
          <w:noProof/>
        </w:rPr>
      </w:pPr>
      <w:r w:rsidRPr="00C0338A">
        <w:fldChar w:fldCharType="begin"/>
      </w:r>
      <w:r w:rsidRPr="00C0338A">
        <w:instrText xml:space="preserve"> TOC \o "1-3" \h \z </w:instrText>
      </w:r>
      <w:r w:rsidRPr="00C0338A">
        <w:fldChar w:fldCharType="separate"/>
      </w:r>
    </w:p>
    <w:p w:rsidR="00F24219" w:rsidRPr="004D4F8A" w:rsidRDefault="00754729" w:rsidP="00265C65">
      <w:pPr>
        <w:pStyle w:val="TOC2"/>
        <w:rPr>
          <w:noProof/>
        </w:rPr>
      </w:pPr>
      <w:r>
        <w:t xml:space="preserve">General </w:t>
      </w:r>
      <w:hyperlink w:anchor="_Toc143332841" w:history="1">
        <w:r w:rsidR="00F24219" w:rsidRPr="004D4F8A">
          <w:rPr>
            <w:noProof/>
          </w:rPr>
          <w:t>Intr</w:t>
        </w:r>
        <w:r>
          <w:rPr>
            <w:noProof/>
          </w:rPr>
          <w:t>oduction</w:t>
        </w:r>
        <w:r w:rsidR="00F24219" w:rsidRPr="004D4F8A">
          <w:rPr>
            <w:noProof/>
            <w:webHidden/>
          </w:rPr>
          <w:tab/>
        </w:r>
        <w:r w:rsidR="00F24219" w:rsidRPr="004D4F8A">
          <w:rPr>
            <w:noProof/>
            <w:webHidden/>
          </w:rPr>
          <w:fldChar w:fldCharType="begin"/>
        </w:r>
        <w:r w:rsidR="00F24219" w:rsidRPr="004D4F8A">
          <w:rPr>
            <w:noProof/>
            <w:webHidden/>
          </w:rPr>
          <w:instrText xml:space="preserve"> PAGEREF _Toc143332841 \h </w:instrText>
        </w:r>
        <w:r w:rsidR="00F24219" w:rsidRPr="004D4F8A">
          <w:rPr>
            <w:noProof/>
            <w:webHidden/>
          </w:rPr>
        </w:r>
        <w:r w:rsidR="00F24219" w:rsidRPr="004D4F8A">
          <w:rPr>
            <w:noProof/>
            <w:webHidden/>
          </w:rPr>
          <w:fldChar w:fldCharType="separate"/>
        </w:r>
        <w:r w:rsidR="00F24219" w:rsidRPr="004D4F8A">
          <w:rPr>
            <w:noProof/>
            <w:webHidden/>
          </w:rPr>
          <w:t>1</w:t>
        </w:r>
        <w:r w:rsidR="00F24219" w:rsidRPr="004D4F8A">
          <w:rPr>
            <w:noProof/>
            <w:webHidden/>
          </w:rPr>
          <w:fldChar w:fldCharType="end"/>
        </w:r>
      </w:hyperlink>
    </w:p>
    <w:p w:rsidR="00F24219" w:rsidRDefault="00754729" w:rsidP="00754729">
      <w:pPr>
        <w:pStyle w:val="TOC3"/>
        <w:ind w:left="0" w:firstLine="240"/>
      </w:pPr>
      <w:r>
        <w:t xml:space="preserve">   Overall</w:t>
      </w:r>
      <w:hyperlink w:anchor="_Toc143332842" w:history="1">
        <w:r>
          <w:rPr>
            <w:noProof/>
          </w:rPr>
          <w:t xml:space="preserve"> </w:t>
        </w:r>
        <w:r w:rsidR="00F24219" w:rsidRPr="004D4F8A">
          <w:rPr>
            <w:noProof/>
          </w:rPr>
          <w:t xml:space="preserve"> Goals and Hypotheses</w:t>
        </w:r>
        <w:r w:rsidR="00627E33">
          <w:rPr>
            <w:noProof/>
            <w:webHidden/>
          </w:rPr>
          <w:t>…</w:t>
        </w:r>
        <w:r w:rsidR="00F24219">
          <w:rPr>
            <w:noProof/>
            <w:webHidden/>
          </w:rPr>
          <w:t>……………………………………………</w:t>
        </w:r>
        <w:r w:rsidR="00627E33">
          <w:rPr>
            <w:noProof/>
            <w:webHidden/>
          </w:rPr>
          <w:t>….</w:t>
        </w:r>
        <w:r w:rsidR="00F33C3D">
          <w:rPr>
            <w:noProof/>
            <w:webHidden/>
          </w:rPr>
          <w:t>.</w:t>
        </w:r>
        <w:r w:rsidR="00F24219">
          <w:rPr>
            <w:noProof/>
            <w:webHidden/>
          </w:rPr>
          <w:t>….</w:t>
        </w:r>
        <w:r w:rsidR="00F24219" w:rsidRPr="004D4F8A">
          <w:rPr>
            <w:noProof/>
            <w:webHidden/>
          </w:rPr>
          <w:fldChar w:fldCharType="begin"/>
        </w:r>
        <w:r w:rsidR="00F24219" w:rsidRPr="004D4F8A">
          <w:rPr>
            <w:noProof/>
            <w:webHidden/>
          </w:rPr>
          <w:instrText xml:space="preserve"> PAGEREF _Toc143332842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33C3D">
        <w:t>4</w:t>
      </w:r>
    </w:p>
    <w:p w:rsidR="00F24219" w:rsidRPr="004D4F8A" w:rsidRDefault="005127DF" w:rsidP="00265C65">
      <w:pPr>
        <w:pStyle w:val="TOC2"/>
        <w:rPr>
          <w:noProof/>
        </w:rPr>
      </w:pPr>
      <w:hyperlink w:anchor="_Toc143332841" w:history="1">
        <w:r w:rsidR="00F24219">
          <w:rPr>
            <w:noProof/>
          </w:rPr>
          <w:t>R</w:t>
        </w:r>
        <w:r w:rsidR="00A326F3">
          <w:rPr>
            <w:noProof/>
          </w:rPr>
          <w:t>eferences</w:t>
        </w:r>
        <w:r w:rsidR="00F24219" w:rsidRPr="004D4F8A">
          <w:rPr>
            <w:noProof/>
            <w:webHidden/>
          </w:rPr>
          <w:tab/>
        </w:r>
      </w:hyperlink>
      <w:r w:rsidR="00F33C3D">
        <w:t>6</w:t>
      </w:r>
    </w:p>
    <w:p w:rsidR="00F24219" w:rsidRPr="004D4F8A" w:rsidRDefault="00F24219" w:rsidP="00265C65"/>
    <w:p w:rsidR="00F33C3D" w:rsidRPr="00F33C3D" w:rsidRDefault="00F33C3D" w:rsidP="00F33C3D">
      <w:pPr>
        <w:pStyle w:val="StyleHeading1Centered"/>
        <w:rPr>
          <w:rFonts w:ascii="Times New Roman" w:hAnsi="Times New Roman"/>
          <w:b w:val="0"/>
          <w:szCs w:val="32"/>
        </w:rPr>
      </w:pPr>
      <w:r>
        <w:rPr>
          <w:rFonts w:ascii="Times New Roman" w:hAnsi="Times New Roman"/>
          <w:b w:val="0"/>
          <w:sz w:val="24"/>
        </w:rPr>
        <w:t xml:space="preserve">Chapter I: </w:t>
      </w:r>
      <w:r w:rsidRPr="00F33C3D">
        <w:rPr>
          <w:rFonts w:ascii="Times New Roman" w:hAnsi="Times New Roman"/>
          <w:b w:val="0"/>
          <w:sz w:val="24"/>
        </w:rPr>
        <w:t>Effects of continuous Switchgrass Production on soil organic carbon storage and bulk density and the relationship of depth, Previous management, soil texture, and soil taxonomy on soc</w:t>
      </w:r>
    </w:p>
    <w:p w:rsidR="00F24219" w:rsidRPr="004D4F8A" w:rsidRDefault="00F24219" w:rsidP="00265C65">
      <w:pPr>
        <w:pStyle w:val="TOC3"/>
      </w:pPr>
    </w:p>
    <w:p w:rsidR="00F24219" w:rsidRPr="004D4F8A" w:rsidRDefault="005127DF" w:rsidP="00265C65">
      <w:pPr>
        <w:pStyle w:val="TOC2"/>
        <w:rPr>
          <w:noProof/>
        </w:rPr>
      </w:pPr>
      <w:hyperlink w:anchor="_Toc143332848" w:history="1">
        <w:r w:rsidR="00F24219" w:rsidRPr="004D4F8A">
          <w:rPr>
            <w:noProof/>
          </w:rPr>
          <w:t>Abstract</w:t>
        </w:r>
        <w:r w:rsidR="00F24219" w:rsidRPr="004D4F8A">
          <w:rPr>
            <w:noProof/>
            <w:webHidden/>
          </w:rPr>
          <w:tab/>
        </w:r>
        <w:r w:rsidR="00F24219">
          <w:rPr>
            <w:noProof/>
            <w:webHidden/>
          </w:rPr>
          <w:t>.</w:t>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33C3D">
        <w:t>9</w:t>
      </w:r>
    </w:p>
    <w:p w:rsidR="00F24219" w:rsidRDefault="005127DF" w:rsidP="00265C65">
      <w:pPr>
        <w:pStyle w:val="TOC2"/>
      </w:pPr>
      <w:hyperlink w:anchor="_Toc143332848" w:history="1">
        <w:r w:rsidR="00F24219" w:rsidRPr="004D4F8A">
          <w:rPr>
            <w:noProof/>
          </w:rPr>
          <w:t>Introduction</w:t>
        </w:r>
        <w:r w:rsidR="00F24219" w:rsidRPr="004D4F8A">
          <w:rPr>
            <w:noProof/>
            <w:webHidden/>
          </w:rPr>
          <w:tab/>
        </w:r>
        <w:r w:rsidR="00F24219">
          <w:rPr>
            <w:noProof/>
            <w:webHidden/>
          </w:rPr>
          <w:t>.</w:t>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33C3D">
        <w:t>9</w:t>
      </w:r>
      <w:r w:rsidR="00F24219">
        <w:t xml:space="preserve"> </w:t>
      </w:r>
    </w:p>
    <w:p w:rsidR="00F24219" w:rsidRPr="00C0338A" w:rsidRDefault="005127DF" w:rsidP="00265C65">
      <w:pPr>
        <w:pStyle w:val="TOC2"/>
        <w:rPr>
          <w:noProof/>
        </w:rPr>
      </w:pPr>
      <w:hyperlink w:anchor="_Toc143332848" w:history="1">
        <w:r w:rsidR="00F24219" w:rsidRPr="004D4F8A">
          <w:rPr>
            <w:noProof/>
          </w:rPr>
          <w:t>Literature Review</w:t>
        </w:r>
        <w:r w:rsidR="00F24219" w:rsidRPr="004D4F8A">
          <w:rPr>
            <w:noProof/>
            <w:webHidden/>
          </w:rPr>
          <w:tab/>
        </w:r>
        <w:r w:rsidR="00F33C3D">
          <w:rPr>
            <w:noProof/>
            <w:webHidden/>
          </w:rPr>
          <w:t>11</w:t>
        </w:r>
      </w:hyperlink>
    </w:p>
    <w:p w:rsidR="00F24219" w:rsidRPr="00697D05" w:rsidRDefault="005127DF" w:rsidP="00265C65">
      <w:pPr>
        <w:pStyle w:val="TOC2"/>
        <w:rPr>
          <w:noProof/>
        </w:rPr>
      </w:pPr>
      <w:hyperlink w:anchor="_Toc143332848" w:history="1">
        <w:r w:rsidR="00F24219" w:rsidRPr="004D4F8A">
          <w:rPr>
            <w:noProof/>
          </w:rPr>
          <w:t>Materials and Methods</w:t>
        </w:r>
        <w:r w:rsidR="00F24219" w:rsidRPr="004D4F8A">
          <w:rPr>
            <w:noProof/>
            <w:webHidden/>
          </w:rPr>
          <w:tab/>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24219">
        <w:t>1</w:t>
      </w:r>
      <w:r w:rsidR="00F33C3D">
        <w:t>5</w:t>
      </w:r>
    </w:p>
    <w:p w:rsidR="00F24219" w:rsidRDefault="005127DF" w:rsidP="00265C65">
      <w:pPr>
        <w:pStyle w:val="TOC2"/>
      </w:pPr>
      <w:hyperlink w:anchor="_Toc143332848" w:history="1">
        <w:r w:rsidR="00F24219" w:rsidRPr="004D4F8A">
          <w:rPr>
            <w:noProof/>
          </w:rPr>
          <w:t>Results</w:t>
        </w:r>
        <w:r w:rsidR="00F24219">
          <w:rPr>
            <w:noProof/>
          </w:rPr>
          <w:t xml:space="preserve"> and Discussion</w:t>
        </w:r>
        <w:r w:rsidR="00F24219" w:rsidRPr="004D4F8A">
          <w:rPr>
            <w:noProof/>
            <w:webHidden/>
          </w:rPr>
          <w:tab/>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33C3D">
        <w:t>20</w:t>
      </w:r>
    </w:p>
    <w:p w:rsidR="00F24219" w:rsidRDefault="005127DF" w:rsidP="00265C65">
      <w:pPr>
        <w:pStyle w:val="TOC2"/>
      </w:pPr>
      <w:hyperlink w:anchor="_Toc143332848" w:history="1">
        <w:r w:rsidR="00F24219">
          <w:rPr>
            <w:noProof/>
          </w:rPr>
          <w:t>References</w:t>
        </w:r>
        <w:r w:rsidR="00F24219" w:rsidRPr="004D4F8A">
          <w:rPr>
            <w:noProof/>
            <w:webHidden/>
          </w:rPr>
          <w:tab/>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33C3D">
        <w:t>33</w:t>
      </w:r>
    </w:p>
    <w:p w:rsidR="00F24219" w:rsidRDefault="005127DF" w:rsidP="00265C65">
      <w:pPr>
        <w:pStyle w:val="TOC2"/>
      </w:pPr>
      <w:hyperlink w:anchor="_Toc143332848" w:history="1">
        <w:r w:rsidR="00F24219">
          <w:rPr>
            <w:noProof/>
          </w:rPr>
          <w:t>Appendix</w:t>
        </w:r>
        <w:r w:rsidR="00F24219" w:rsidRPr="004D4F8A">
          <w:rPr>
            <w:noProof/>
            <w:webHidden/>
          </w:rPr>
          <w:tab/>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33C3D">
        <w:t>37</w:t>
      </w:r>
    </w:p>
    <w:p w:rsidR="00F24219" w:rsidRPr="009F2657" w:rsidRDefault="00F24219" w:rsidP="00265C65"/>
    <w:p w:rsidR="00F24219" w:rsidRPr="00C0338A" w:rsidRDefault="00F24219" w:rsidP="00265C65"/>
    <w:p w:rsidR="00F24219" w:rsidRPr="00C0338A" w:rsidRDefault="00F24219" w:rsidP="00265C65">
      <w:pPr>
        <w:jc w:val="center"/>
      </w:pPr>
      <w:r w:rsidRPr="00C0338A">
        <w:t>CHAPTER II: CARBON DIOXIDE FLUX FROM SOILS IN SWITCHGRASS PRODUCTION</w:t>
      </w:r>
    </w:p>
    <w:p w:rsidR="00F24219" w:rsidRPr="00C0338A" w:rsidRDefault="00F24219" w:rsidP="00265C65"/>
    <w:p w:rsidR="00F24219" w:rsidRPr="004D4F8A" w:rsidRDefault="005127DF" w:rsidP="00265C65">
      <w:pPr>
        <w:pStyle w:val="TOC2"/>
        <w:rPr>
          <w:noProof/>
        </w:rPr>
      </w:pPr>
      <w:hyperlink w:anchor="_Toc143332848" w:history="1">
        <w:r w:rsidR="00F24219" w:rsidRPr="004D4F8A">
          <w:rPr>
            <w:noProof/>
          </w:rPr>
          <w:t>Abstract</w:t>
        </w:r>
        <w:r w:rsidR="00F24219" w:rsidRPr="004D4F8A">
          <w:rPr>
            <w:noProof/>
            <w:webHidden/>
          </w:rPr>
          <w:tab/>
        </w:r>
        <w:r w:rsidR="00F24219">
          <w:rPr>
            <w:noProof/>
            <w:webHidden/>
          </w:rPr>
          <w:t>.</w:t>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33C3D">
        <w:t>39</w:t>
      </w:r>
    </w:p>
    <w:p w:rsidR="00F24219" w:rsidRDefault="005127DF" w:rsidP="00265C65">
      <w:pPr>
        <w:pStyle w:val="TOC2"/>
      </w:pPr>
      <w:hyperlink w:anchor="_Toc143332848" w:history="1">
        <w:r w:rsidR="00F24219" w:rsidRPr="004D4F8A">
          <w:rPr>
            <w:noProof/>
          </w:rPr>
          <w:t>Introduction</w:t>
        </w:r>
        <w:r w:rsidR="00F24219" w:rsidRPr="004D4F8A">
          <w:rPr>
            <w:noProof/>
            <w:webHidden/>
          </w:rPr>
          <w:tab/>
        </w:r>
        <w:r w:rsidR="00F24219">
          <w:rPr>
            <w:noProof/>
            <w:webHidden/>
          </w:rPr>
          <w:t>.</w:t>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33C3D">
        <w:t>39</w:t>
      </w:r>
      <w:r w:rsidR="00F24219">
        <w:t xml:space="preserve"> </w:t>
      </w:r>
    </w:p>
    <w:p w:rsidR="00F24219" w:rsidRPr="00C0338A" w:rsidRDefault="005127DF" w:rsidP="00265C65">
      <w:pPr>
        <w:pStyle w:val="TOC2"/>
        <w:rPr>
          <w:noProof/>
        </w:rPr>
      </w:pPr>
      <w:hyperlink w:anchor="_Toc143332848" w:history="1">
        <w:r w:rsidR="00F24219" w:rsidRPr="004D4F8A">
          <w:rPr>
            <w:noProof/>
          </w:rPr>
          <w:t>Literature Review</w:t>
        </w:r>
        <w:r w:rsidR="00F24219" w:rsidRPr="004D4F8A">
          <w:rPr>
            <w:noProof/>
            <w:webHidden/>
          </w:rPr>
          <w:tab/>
        </w:r>
      </w:hyperlink>
      <w:r w:rsidR="00F33C3D">
        <w:t>40</w:t>
      </w:r>
    </w:p>
    <w:p w:rsidR="00F24219" w:rsidRPr="00697D05" w:rsidRDefault="005127DF" w:rsidP="00265C65">
      <w:pPr>
        <w:pStyle w:val="TOC2"/>
        <w:rPr>
          <w:noProof/>
        </w:rPr>
      </w:pPr>
      <w:hyperlink w:anchor="_Toc143332848" w:history="1">
        <w:r w:rsidR="00F24219" w:rsidRPr="004D4F8A">
          <w:rPr>
            <w:noProof/>
          </w:rPr>
          <w:t>Materials and Methods</w:t>
        </w:r>
        <w:r w:rsidR="00F24219" w:rsidRPr="004D4F8A">
          <w:rPr>
            <w:noProof/>
            <w:webHidden/>
          </w:rPr>
          <w:tab/>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33C3D">
        <w:t>45</w:t>
      </w:r>
    </w:p>
    <w:p w:rsidR="00F24219" w:rsidRDefault="005127DF" w:rsidP="00265C65">
      <w:pPr>
        <w:pStyle w:val="TOC2"/>
      </w:pPr>
      <w:hyperlink w:anchor="_Toc143332848" w:history="1">
        <w:r w:rsidR="00F24219" w:rsidRPr="004D4F8A">
          <w:rPr>
            <w:noProof/>
          </w:rPr>
          <w:t>Results</w:t>
        </w:r>
        <w:r w:rsidR="00F24219">
          <w:rPr>
            <w:noProof/>
          </w:rPr>
          <w:t xml:space="preserve"> and Discussion</w:t>
        </w:r>
        <w:r w:rsidR="00F24219" w:rsidRPr="004D4F8A">
          <w:rPr>
            <w:noProof/>
            <w:webHidden/>
          </w:rPr>
          <w:tab/>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33C3D">
        <w:t>56</w:t>
      </w:r>
    </w:p>
    <w:p w:rsidR="00F24219" w:rsidRDefault="005127DF" w:rsidP="00265C65">
      <w:pPr>
        <w:pStyle w:val="TOC2"/>
      </w:pPr>
      <w:hyperlink w:anchor="_Toc143332848" w:history="1">
        <w:r w:rsidR="00F24219">
          <w:rPr>
            <w:noProof/>
          </w:rPr>
          <w:t>References</w:t>
        </w:r>
        <w:r w:rsidR="00F24219" w:rsidRPr="004D4F8A">
          <w:rPr>
            <w:noProof/>
            <w:webHidden/>
          </w:rPr>
          <w:tab/>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33C3D">
        <w:t>66</w:t>
      </w:r>
    </w:p>
    <w:p w:rsidR="00F24219" w:rsidRDefault="005127DF" w:rsidP="00265C65">
      <w:pPr>
        <w:pStyle w:val="TOC2"/>
      </w:pPr>
      <w:hyperlink w:anchor="_Toc143332848" w:history="1">
        <w:r w:rsidR="00F24219">
          <w:rPr>
            <w:noProof/>
          </w:rPr>
          <w:t>Appendix</w:t>
        </w:r>
        <w:r w:rsidR="00F24219" w:rsidRPr="004D4F8A">
          <w:rPr>
            <w:noProof/>
            <w:webHidden/>
          </w:rPr>
          <w:tab/>
        </w:r>
        <w:r w:rsidR="00F24219" w:rsidRPr="004D4F8A">
          <w:rPr>
            <w:noProof/>
            <w:webHidden/>
          </w:rPr>
          <w:fldChar w:fldCharType="begin"/>
        </w:r>
        <w:r w:rsidR="00F24219" w:rsidRPr="004D4F8A">
          <w:rPr>
            <w:noProof/>
            <w:webHidden/>
          </w:rPr>
          <w:instrText xml:space="preserve"> PAGEREF _Toc143332848 \h </w:instrText>
        </w:r>
        <w:r w:rsidR="00F24219" w:rsidRPr="004D4F8A">
          <w:rPr>
            <w:noProof/>
            <w:webHidden/>
          </w:rPr>
        </w:r>
        <w:r w:rsidR="00F24219" w:rsidRPr="004D4F8A">
          <w:rPr>
            <w:noProof/>
            <w:webHidden/>
          </w:rPr>
          <w:fldChar w:fldCharType="separate"/>
        </w:r>
        <w:r w:rsidR="00F24219" w:rsidRPr="004D4F8A">
          <w:rPr>
            <w:bCs/>
            <w:noProof/>
            <w:webHidden/>
          </w:rPr>
          <w:t>.</w:t>
        </w:r>
        <w:r w:rsidR="00F24219" w:rsidRPr="004D4F8A">
          <w:rPr>
            <w:noProof/>
            <w:webHidden/>
          </w:rPr>
          <w:fldChar w:fldCharType="end"/>
        </w:r>
      </w:hyperlink>
      <w:r w:rsidR="00F24219">
        <w:t>6</w:t>
      </w:r>
      <w:r w:rsidR="00F33C3D">
        <w:t>9</w:t>
      </w:r>
    </w:p>
    <w:p w:rsidR="00F24219" w:rsidRPr="00C0338A" w:rsidRDefault="00F24219" w:rsidP="00265C65"/>
    <w:p w:rsidR="00F24219" w:rsidRPr="00C0338A" w:rsidRDefault="00F24219" w:rsidP="00265C65"/>
    <w:p w:rsidR="00F24219" w:rsidRPr="00C0338A" w:rsidRDefault="00F24219" w:rsidP="00265C65">
      <w:pPr>
        <w:jc w:val="center"/>
      </w:pPr>
      <w:r w:rsidRPr="00C0338A">
        <w:t>CONCLUSIONS AND FUTURE RESEARCH</w:t>
      </w:r>
    </w:p>
    <w:p w:rsidR="00F24219" w:rsidRPr="00C0338A" w:rsidRDefault="00F24219" w:rsidP="00265C65"/>
    <w:p w:rsidR="00F24219" w:rsidRPr="00C0338A" w:rsidRDefault="005127DF">
      <w:pPr>
        <w:pStyle w:val="TOC2"/>
        <w:rPr>
          <w:noProof/>
        </w:rPr>
      </w:pPr>
      <w:hyperlink w:anchor="_Toc143332866" w:history="1">
        <w:r w:rsidR="00F24219" w:rsidRPr="00C0338A">
          <w:rPr>
            <w:noProof/>
          </w:rPr>
          <w:t>Conclusions and Recommendations</w:t>
        </w:r>
        <w:r w:rsidR="00F24219" w:rsidRPr="00C0338A">
          <w:rPr>
            <w:noProof/>
            <w:webHidden/>
          </w:rPr>
          <w:tab/>
        </w:r>
        <w:r w:rsidR="00A326F3">
          <w:rPr>
            <w:noProof/>
            <w:webHidden/>
          </w:rPr>
          <w:t>80</w:t>
        </w:r>
      </w:hyperlink>
    </w:p>
    <w:p w:rsidR="00F24219" w:rsidRDefault="00F33C3D" w:rsidP="00265C65">
      <w:pPr>
        <w:pStyle w:val="TOC2"/>
        <w:rPr>
          <w:noProof/>
        </w:rPr>
      </w:pPr>
      <w:r>
        <w:t xml:space="preserve">     </w:t>
      </w:r>
      <w:hyperlink w:anchor="_Toc143332867" w:history="1">
        <w:r w:rsidR="00F24219">
          <w:rPr>
            <w:noProof/>
          </w:rPr>
          <w:t>References</w:t>
        </w:r>
        <w:r w:rsidR="00F24219" w:rsidRPr="00C0338A">
          <w:rPr>
            <w:noProof/>
            <w:webHidden/>
          </w:rPr>
          <w:tab/>
        </w:r>
        <w:r w:rsidR="00A326F3">
          <w:rPr>
            <w:noProof/>
            <w:webHidden/>
          </w:rPr>
          <w:t>84</w:t>
        </w:r>
      </w:hyperlink>
    </w:p>
    <w:p w:rsidR="00A326F3" w:rsidRPr="00A326F3" w:rsidRDefault="00A326F3" w:rsidP="00A326F3"/>
    <w:p w:rsidR="00F24219" w:rsidRPr="00C0338A" w:rsidRDefault="005127DF">
      <w:pPr>
        <w:pStyle w:val="TOC2"/>
        <w:rPr>
          <w:noProof/>
        </w:rPr>
      </w:pPr>
      <w:hyperlink w:anchor="_Toc143332869" w:history="1">
        <w:r w:rsidR="00F24219" w:rsidRPr="00C0338A">
          <w:rPr>
            <w:noProof/>
          </w:rPr>
          <w:t>Vita</w:t>
        </w:r>
        <w:r w:rsidR="00F24219" w:rsidRPr="00C0338A">
          <w:rPr>
            <w:noProof/>
            <w:webHidden/>
          </w:rPr>
          <w:tab/>
        </w:r>
        <w:r w:rsidR="00A326F3">
          <w:rPr>
            <w:noProof/>
            <w:webHidden/>
          </w:rPr>
          <w:t>85</w:t>
        </w:r>
      </w:hyperlink>
    </w:p>
    <w:p w:rsidR="00F24219" w:rsidRPr="00CC4FDF" w:rsidRDefault="00F24219" w:rsidP="00265C65">
      <w:pPr>
        <w:numPr>
          <w:ilvl w:val="12"/>
          <w:numId w:val="0"/>
        </w:numPr>
        <w:jc w:val="center"/>
        <w:rPr>
          <w:b/>
          <w:bCs/>
          <w:sz w:val="28"/>
          <w:szCs w:val="28"/>
        </w:rPr>
      </w:pPr>
      <w:r w:rsidRPr="00C0338A">
        <w:fldChar w:fldCharType="end"/>
      </w:r>
      <w:r w:rsidRPr="00C0338A">
        <w:rPr>
          <w:b/>
          <w:bCs/>
          <w:sz w:val="28"/>
          <w:szCs w:val="28"/>
        </w:rPr>
        <w:br w:type="page"/>
      </w:r>
      <w:r w:rsidRPr="00C0338A">
        <w:rPr>
          <w:b/>
          <w:bCs/>
          <w:sz w:val="28"/>
          <w:szCs w:val="28"/>
        </w:rPr>
        <w:lastRenderedPageBreak/>
        <w:t>LIST OF TABLES</w:t>
      </w:r>
    </w:p>
    <w:p w:rsidR="00F24219" w:rsidRPr="00C0338A" w:rsidRDefault="00F24219">
      <w:pPr>
        <w:numPr>
          <w:ilvl w:val="12"/>
          <w:numId w:val="0"/>
        </w:numPr>
        <w:jc w:val="center"/>
      </w:pPr>
    </w:p>
    <w:p w:rsidR="00F24219" w:rsidRPr="00C0338A" w:rsidRDefault="00F24219" w:rsidP="00265C6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pPr>
      <w:r w:rsidRPr="00C0338A">
        <w:t>Table</w:t>
      </w:r>
      <w:r w:rsidRPr="00C0338A">
        <w:tab/>
      </w:r>
      <w:r w:rsidRPr="00C0338A">
        <w:tab/>
      </w:r>
      <w:r w:rsidRPr="00C0338A">
        <w:tab/>
      </w:r>
      <w:r w:rsidRPr="00C0338A">
        <w:tab/>
      </w:r>
      <w:r w:rsidRPr="00C0338A">
        <w:tab/>
      </w:r>
      <w:r w:rsidRPr="00C0338A">
        <w:tab/>
      </w:r>
      <w:r w:rsidRPr="00C0338A">
        <w:tab/>
      </w:r>
      <w:r w:rsidRPr="00C0338A">
        <w:tab/>
      </w:r>
      <w:r w:rsidRPr="00C0338A">
        <w:tab/>
      </w:r>
      <w:r w:rsidRPr="00C0338A">
        <w:tab/>
        <w:t xml:space="preserve">   </w:t>
      </w:r>
      <w:r>
        <w:tab/>
      </w:r>
      <w:r w:rsidRPr="00C0338A">
        <w:t>Page</w:t>
      </w:r>
    </w:p>
    <w:p w:rsidR="00F24219" w:rsidRPr="00C0338A" w:rsidRDefault="00F2421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F24219" w:rsidRPr="009A31CC" w:rsidRDefault="00F24219" w:rsidP="00265C65">
      <w:pPr>
        <w:pStyle w:val="TableofFigures"/>
        <w:tabs>
          <w:tab w:val="right" w:leader="dot" w:pos="8630"/>
        </w:tabs>
        <w:spacing w:line="360" w:lineRule="auto"/>
        <w:ind w:left="475" w:hanging="475"/>
        <w:rPr>
          <w:rStyle w:val="Hyperlink"/>
          <w:noProof/>
          <w:color w:val="auto"/>
          <w:u w:val="none"/>
        </w:rPr>
      </w:pPr>
      <w:r w:rsidRPr="009A31CC">
        <w:fldChar w:fldCharType="begin"/>
      </w:r>
      <w:r w:rsidRPr="009A31CC">
        <w:instrText xml:space="preserve"> TOC \h \z \c "Table" </w:instrText>
      </w:r>
      <w:r w:rsidRPr="009A31CC">
        <w:fldChar w:fldCharType="separate"/>
      </w:r>
      <w:hyperlink w:anchor="_Toc300132163" w:history="1">
        <w:r w:rsidRPr="009A31CC">
          <w:rPr>
            <w:rStyle w:val="Hyperlink"/>
            <w:noProof/>
            <w:color w:val="auto"/>
            <w:u w:val="none"/>
          </w:rPr>
          <w:t>1.1 Fertilizer recommendations for switchgrass</w:t>
        </w:r>
        <w:r w:rsidRPr="009A31CC">
          <w:rPr>
            <w:noProof/>
            <w:webHidden/>
          </w:rPr>
          <w:tab/>
        </w:r>
        <w:r w:rsidRPr="009A31CC">
          <w:rPr>
            <w:noProof/>
            <w:webHidden/>
          </w:rPr>
          <w:fldChar w:fldCharType="begin"/>
        </w:r>
        <w:r w:rsidRPr="009A31CC">
          <w:rPr>
            <w:noProof/>
            <w:webHidden/>
          </w:rPr>
          <w:instrText xml:space="preserve"> PAGEREF _Toc300132163 \h </w:instrText>
        </w:r>
        <w:r w:rsidRPr="009A31CC">
          <w:rPr>
            <w:noProof/>
            <w:webHidden/>
          </w:rPr>
        </w:r>
        <w:r w:rsidRPr="009A31CC">
          <w:rPr>
            <w:noProof/>
            <w:webHidden/>
          </w:rPr>
          <w:fldChar w:fldCharType="separate"/>
        </w:r>
        <w:r w:rsidRPr="009A31CC">
          <w:rPr>
            <w:noProof/>
            <w:webHidden/>
          </w:rPr>
          <w:t>1</w:t>
        </w:r>
        <w:r w:rsidRPr="009A31CC">
          <w:rPr>
            <w:noProof/>
            <w:webHidden/>
          </w:rPr>
          <w:fldChar w:fldCharType="end"/>
        </w:r>
      </w:hyperlink>
      <w:r w:rsidR="00EC16C1">
        <w:rPr>
          <w:rStyle w:val="Hyperlink"/>
          <w:noProof/>
          <w:color w:val="auto"/>
          <w:u w:val="none"/>
        </w:rPr>
        <w:t>6</w:t>
      </w:r>
    </w:p>
    <w:p w:rsidR="00F24219" w:rsidRPr="009A31CC" w:rsidRDefault="005127DF" w:rsidP="00265C65">
      <w:pPr>
        <w:pStyle w:val="TableofFigures"/>
        <w:tabs>
          <w:tab w:val="right" w:leader="dot" w:pos="8630"/>
        </w:tabs>
        <w:spacing w:line="360" w:lineRule="auto"/>
        <w:ind w:left="475" w:hanging="475"/>
        <w:rPr>
          <w:rStyle w:val="Hyperlink"/>
          <w:noProof/>
          <w:color w:val="auto"/>
          <w:u w:val="none"/>
        </w:rPr>
      </w:pPr>
      <w:hyperlink w:anchor="_Toc300132163" w:history="1">
        <w:r w:rsidR="00F24219" w:rsidRPr="009A31CC">
          <w:rPr>
            <w:rStyle w:val="Hyperlink"/>
            <w:noProof/>
            <w:color w:val="auto"/>
            <w:u w:val="none"/>
          </w:rPr>
          <w:t>1.2</w:t>
        </w:r>
        <w:r w:rsidR="00EC16C1">
          <w:rPr>
            <w:rStyle w:val="Hyperlink"/>
            <w:noProof/>
            <w:color w:val="auto"/>
            <w:u w:val="none"/>
          </w:rPr>
          <w:t xml:space="preserve"> Depth SAS Output</w:t>
        </w:r>
        <w:r w:rsidR="00F24219" w:rsidRPr="009A31CC">
          <w:rPr>
            <w:noProof/>
            <w:webHidden/>
          </w:rPr>
          <w:tab/>
        </w:r>
        <w:r w:rsidR="00EC16C1">
          <w:rPr>
            <w:noProof/>
            <w:webHidden/>
          </w:rPr>
          <w:t>21</w:t>
        </w:r>
      </w:hyperlink>
    </w:p>
    <w:p w:rsidR="00F24219" w:rsidRPr="009A31CC" w:rsidRDefault="005127DF" w:rsidP="00265C65">
      <w:pPr>
        <w:pStyle w:val="TableofFigures"/>
        <w:tabs>
          <w:tab w:val="right" w:leader="dot" w:pos="8630"/>
        </w:tabs>
        <w:spacing w:line="360" w:lineRule="auto"/>
        <w:ind w:left="475" w:hanging="475"/>
        <w:rPr>
          <w:rStyle w:val="Hyperlink"/>
          <w:noProof/>
          <w:color w:val="auto"/>
          <w:u w:val="none"/>
        </w:rPr>
      </w:pPr>
      <w:hyperlink w:anchor="_Toc300132163" w:history="1">
        <w:r w:rsidR="00F24219" w:rsidRPr="009A31CC">
          <w:rPr>
            <w:rStyle w:val="Hyperlink"/>
            <w:noProof/>
            <w:color w:val="auto"/>
            <w:u w:val="none"/>
          </w:rPr>
          <w:t xml:space="preserve">1.3 </w:t>
        </w:r>
        <w:r w:rsidR="00EC16C1">
          <w:rPr>
            <w:rStyle w:val="Hyperlink"/>
            <w:noProof/>
            <w:color w:val="auto"/>
            <w:u w:val="none"/>
          </w:rPr>
          <w:t>Previous Cropping Management SAS Output</w:t>
        </w:r>
        <w:r w:rsidR="00F24219" w:rsidRPr="009A31CC">
          <w:rPr>
            <w:noProof/>
            <w:webHidden/>
          </w:rPr>
          <w:tab/>
        </w:r>
        <w:r w:rsidR="00EC16C1">
          <w:rPr>
            <w:noProof/>
            <w:webHidden/>
          </w:rPr>
          <w:t>24</w:t>
        </w:r>
      </w:hyperlink>
    </w:p>
    <w:p w:rsidR="00F24219" w:rsidRPr="009A31CC" w:rsidRDefault="005127DF" w:rsidP="00265C65">
      <w:pPr>
        <w:pStyle w:val="TableofFigures"/>
        <w:tabs>
          <w:tab w:val="right" w:leader="dot" w:pos="8630"/>
        </w:tabs>
        <w:spacing w:line="360" w:lineRule="auto"/>
        <w:ind w:left="475" w:hanging="475"/>
        <w:rPr>
          <w:rStyle w:val="Hyperlink"/>
          <w:noProof/>
          <w:color w:val="auto"/>
          <w:u w:val="none"/>
        </w:rPr>
      </w:pPr>
      <w:hyperlink w:anchor="_Toc300132163" w:history="1">
        <w:r w:rsidR="00F24219" w:rsidRPr="009A31CC">
          <w:rPr>
            <w:rStyle w:val="Hyperlink"/>
            <w:noProof/>
            <w:color w:val="auto"/>
            <w:u w:val="none"/>
          </w:rPr>
          <w:t xml:space="preserve">1.4 </w:t>
        </w:r>
        <w:r w:rsidR="00EC16C1">
          <w:rPr>
            <w:rStyle w:val="Hyperlink"/>
            <w:noProof/>
            <w:color w:val="auto"/>
            <w:u w:val="none"/>
          </w:rPr>
          <w:t>Location SAS Output</w:t>
        </w:r>
        <w:r w:rsidR="00F24219" w:rsidRPr="009A31CC">
          <w:rPr>
            <w:noProof/>
            <w:webHidden/>
          </w:rPr>
          <w:tab/>
        </w:r>
        <w:r w:rsidR="00EC16C1">
          <w:rPr>
            <w:noProof/>
            <w:webHidden/>
          </w:rPr>
          <w:t>2</w:t>
        </w:r>
      </w:hyperlink>
      <w:r w:rsidR="00EC16C1">
        <w:rPr>
          <w:noProof/>
        </w:rPr>
        <w:t>5</w:t>
      </w:r>
    </w:p>
    <w:p w:rsidR="00F24219" w:rsidRPr="009A31CC" w:rsidRDefault="005127DF" w:rsidP="00265C65">
      <w:pPr>
        <w:pStyle w:val="TableofFigures"/>
        <w:tabs>
          <w:tab w:val="right" w:leader="dot" w:pos="8630"/>
        </w:tabs>
        <w:spacing w:line="360" w:lineRule="auto"/>
        <w:ind w:left="475" w:hanging="475"/>
        <w:rPr>
          <w:rStyle w:val="Hyperlink"/>
          <w:noProof/>
          <w:color w:val="auto"/>
          <w:u w:val="none"/>
        </w:rPr>
      </w:pPr>
      <w:hyperlink w:anchor="_Toc300132163" w:history="1">
        <w:r w:rsidR="00F24219" w:rsidRPr="009A31CC">
          <w:rPr>
            <w:rStyle w:val="Hyperlink"/>
            <w:noProof/>
            <w:color w:val="auto"/>
            <w:u w:val="none"/>
          </w:rPr>
          <w:t>1.</w:t>
        </w:r>
        <w:r w:rsidR="00EC16C1">
          <w:rPr>
            <w:rStyle w:val="Hyperlink"/>
            <w:noProof/>
            <w:color w:val="auto"/>
            <w:u w:val="none"/>
          </w:rPr>
          <w:t>5 Texture SAS Output</w:t>
        </w:r>
        <w:r w:rsidR="00F24219" w:rsidRPr="009A31CC">
          <w:rPr>
            <w:noProof/>
            <w:webHidden/>
          </w:rPr>
          <w:tab/>
        </w:r>
      </w:hyperlink>
      <w:r w:rsidR="00EC16C1">
        <w:rPr>
          <w:noProof/>
        </w:rPr>
        <w:t>27</w:t>
      </w:r>
    </w:p>
    <w:p w:rsidR="00EC16C1" w:rsidRDefault="005127DF" w:rsidP="00265C65">
      <w:pPr>
        <w:pStyle w:val="TableofFigures"/>
        <w:tabs>
          <w:tab w:val="right" w:leader="dot" w:pos="8630"/>
        </w:tabs>
        <w:spacing w:line="360" w:lineRule="auto"/>
        <w:ind w:left="475" w:hanging="475"/>
        <w:rPr>
          <w:rStyle w:val="Hyperlink"/>
          <w:noProof/>
          <w:color w:val="auto"/>
          <w:u w:val="none"/>
        </w:rPr>
      </w:pPr>
      <w:hyperlink w:anchor="_Toc300132163" w:history="1">
        <w:r w:rsidR="00EC16C1">
          <w:rPr>
            <w:rStyle w:val="Hyperlink"/>
            <w:noProof/>
            <w:color w:val="auto"/>
            <w:u w:val="none"/>
          </w:rPr>
          <w:t>1.6 Taxonomy SAS Output</w:t>
        </w:r>
        <w:r w:rsidR="00F24219" w:rsidRPr="009A31CC">
          <w:rPr>
            <w:noProof/>
            <w:webHidden/>
          </w:rPr>
          <w:tab/>
        </w:r>
        <w:r w:rsidR="00EC16C1">
          <w:rPr>
            <w:noProof/>
            <w:webHidden/>
          </w:rPr>
          <w:t>29</w:t>
        </w:r>
      </w:hyperlink>
    </w:p>
    <w:p w:rsidR="00F24219" w:rsidRPr="009A31CC" w:rsidRDefault="005127DF" w:rsidP="00265C65">
      <w:pPr>
        <w:pStyle w:val="TableofFigures"/>
        <w:tabs>
          <w:tab w:val="right" w:leader="dot" w:pos="8630"/>
        </w:tabs>
        <w:spacing w:line="360" w:lineRule="auto"/>
        <w:ind w:left="475" w:hanging="475"/>
        <w:rPr>
          <w:rStyle w:val="Hyperlink"/>
          <w:noProof/>
          <w:color w:val="auto"/>
          <w:u w:val="none"/>
        </w:rPr>
      </w:pPr>
      <w:hyperlink w:anchor="_Toc300132163" w:history="1">
        <w:r w:rsidR="00EC16C1">
          <w:rPr>
            <w:rStyle w:val="Hyperlink"/>
            <w:noProof/>
            <w:color w:val="auto"/>
            <w:u w:val="none"/>
          </w:rPr>
          <w:t>1.7 Appendix – Bulk Density</w:t>
        </w:r>
        <w:r w:rsidR="00F24219" w:rsidRPr="009A31CC">
          <w:rPr>
            <w:noProof/>
            <w:webHidden/>
          </w:rPr>
          <w:tab/>
          <w:t>3</w:t>
        </w:r>
      </w:hyperlink>
      <w:r w:rsidR="00EC16C1">
        <w:rPr>
          <w:noProof/>
        </w:rPr>
        <w:t>7</w:t>
      </w:r>
    </w:p>
    <w:p w:rsidR="00F24219" w:rsidRPr="009A31CC" w:rsidRDefault="00F24219" w:rsidP="00265C65"/>
    <w:p w:rsidR="00F24219" w:rsidRPr="009A31CC" w:rsidRDefault="005127DF" w:rsidP="00265C65">
      <w:pPr>
        <w:pStyle w:val="TableofFigures"/>
        <w:tabs>
          <w:tab w:val="right" w:leader="dot" w:pos="8630"/>
        </w:tabs>
        <w:spacing w:line="360" w:lineRule="auto"/>
        <w:ind w:left="475" w:hanging="475"/>
        <w:rPr>
          <w:rStyle w:val="Hyperlink"/>
          <w:noProof/>
          <w:color w:val="auto"/>
          <w:u w:val="none"/>
        </w:rPr>
      </w:pPr>
      <w:hyperlink w:anchor="_Toc300132163" w:history="1">
        <w:r w:rsidR="00F24219" w:rsidRPr="009A31CC">
          <w:rPr>
            <w:rStyle w:val="Hyperlink"/>
            <w:noProof/>
            <w:color w:val="auto"/>
            <w:u w:val="none"/>
          </w:rPr>
          <w:t>2.1 Soil classification and chemical properties at CO</w:t>
        </w:r>
        <w:r w:rsidR="00F24219" w:rsidRPr="009A31CC">
          <w:rPr>
            <w:rStyle w:val="Hyperlink"/>
            <w:noProof/>
            <w:color w:val="auto"/>
            <w:u w:val="none"/>
            <w:vertAlign w:val="subscript"/>
          </w:rPr>
          <w:t>2</w:t>
        </w:r>
        <w:r w:rsidR="00F24219" w:rsidRPr="009A31CC">
          <w:rPr>
            <w:rStyle w:val="Hyperlink"/>
            <w:noProof/>
            <w:color w:val="auto"/>
            <w:u w:val="none"/>
          </w:rPr>
          <w:t xml:space="preserve"> measurement sites</w:t>
        </w:r>
        <w:r w:rsidR="00F24219" w:rsidRPr="009A31CC">
          <w:rPr>
            <w:noProof/>
            <w:webHidden/>
          </w:rPr>
          <w:tab/>
        </w:r>
        <w:r w:rsidR="00EC16C1">
          <w:rPr>
            <w:noProof/>
            <w:webHidden/>
          </w:rPr>
          <w:t>5</w:t>
        </w:r>
        <w:r w:rsidR="00F24219" w:rsidRPr="009A31CC">
          <w:rPr>
            <w:noProof/>
            <w:webHidden/>
          </w:rPr>
          <w:t>6</w:t>
        </w:r>
      </w:hyperlink>
    </w:p>
    <w:p w:rsidR="00F24219" w:rsidRPr="009A31CC" w:rsidRDefault="005127DF" w:rsidP="00265C65">
      <w:pPr>
        <w:pStyle w:val="TableofFigures"/>
        <w:tabs>
          <w:tab w:val="right" w:leader="dot" w:pos="8630"/>
        </w:tabs>
        <w:spacing w:line="360" w:lineRule="auto"/>
        <w:ind w:left="475" w:hanging="475"/>
        <w:rPr>
          <w:rStyle w:val="Hyperlink"/>
          <w:noProof/>
          <w:color w:val="auto"/>
          <w:u w:val="none"/>
        </w:rPr>
      </w:pPr>
      <w:hyperlink w:anchor="_Toc300132163" w:history="1">
        <w:r w:rsidR="00F24219" w:rsidRPr="009A31CC">
          <w:rPr>
            <w:rStyle w:val="Hyperlink"/>
            <w:noProof/>
            <w:color w:val="auto"/>
            <w:u w:val="none"/>
          </w:rPr>
          <w:t>2.2 GHG production from uerea application</w:t>
        </w:r>
        <w:r w:rsidR="00F24219" w:rsidRPr="009A31CC">
          <w:rPr>
            <w:noProof/>
            <w:webHidden/>
          </w:rPr>
          <w:tab/>
          <w:t>6</w:t>
        </w:r>
        <w:r w:rsidR="00EC16C1">
          <w:rPr>
            <w:noProof/>
            <w:webHidden/>
          </w:rPr>
          <w:t>2</w:t>
        </w:r>
      </w:hyperlink>
    </w:p>
    <w:p w:rsidR="00F24219" w:rsidRPr="009A31CC" w:rsidRDefault="00F24219" w:rsidP="00265C65"/>
    <w:p w:rsidR="00F24219" w:rsidRPr="009A31CC" w:rsidRDefault="00F2421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9A31CC">
        <w:fldChar w:fldCharType="end"/>
      </w:r>
    </w:p>
    <w:p w:rsidR="00F24219" w:rsidRPr="009A31CC" w:rsidRDefault="00F24219">
      <w:pPr>
        <w:spacing w:line="2" w:lineRule="exact"/>
      </w:pPr>
    </w:p>
    <w:p w:rsidR="00F24219" w:rsidRPr="009A31CC" w:rsidRDefault="00F24219">
      <w:pPr>
        <w:spacing w:line="2" w:lineRule="exact"/>
      </w:pPr>
    </w:p>
    <w:p w:rsidR="00F24219" w:rsidRPr="009A31CC" w:rsidRDefault="00F24219">
      <w:pPr>
        <w:tabs>
          <w:tab w:val="right" w:leader="dot" w:pos="8228"/>
        </w:tabs>
        <w:rPr>
          <w:b/>
          <w:bCs/>
          <w:sz w:val="28"/>
          <w:szCs w:val="28"/>
        </w:rPr>
      </w:pPr>
    </w:p>
    <w:p w:rsidR="00F24219" w:rsidRPr="009A31CC" w:rsidRDefault="00F24219">
      <w:pPr>
        <w:numPr>
          <w:ilvl w:val="12"/>
          <w:numId w:val="0"/>
        </w:numPr>
        <w:jc w:val="center"/>
      </w:pPr>
      <w:r w:rsidRPr="009A31CC">
        <w:rPr>
          <w:sz w:val="28"/>
          <w:szCs w:val="28"/>
        </w:rPr>
        <w:br w:type="page"/>
      </w:r>
      <w:r w:rsidRPr="009A31CC">
        <w:rPr>
          <w:b/>
          <w:bCs/>
          <w:sz w:val="28"/>
          <w:szCs w:val="28"/>
        </w:rPr>
        <w:lastRenderedPageBreak/>
        <w:t>LIST OF FIGURES</w:t>
      </w:r>
    </w:p>
    <w:p w:rsidR="00F24219" w:rsidRPr="009A31CC" w:rsidRDefault="00F24219">
      <w:pPr>
        <w:numPr>
          <w:ilvl w:val="12"/>
          <w:numId w:val="0"/>
        </w:numPr>
      </w:pPr>
    </w:p>
    <w:p w:rsidR="00F24219" w:rsidRPr="009A31CC" w:rsidRDefault="00F24219" w:rsidP="00265C6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ind w:left="8280" w:hanging="8280"/>
        <w:jc w:val="right"/>
      </w:pPr>
      <w:r w:rsidRPr="009A31CC">
        <w:t>Figure</w:t>
      </w:r>
      <w:r w:rsidRPr="009A31CC">
        <w:tab/>
      </w:r>
      <w:r w:rsidRPr="009A31CC">
        <w:tab/>
      </w:r>
      <w:r w:rsidRPr="009A31CC">
        <w:tab/>
      </w:r>
      <w:r w:rsidRPr="009A31CC">
        <w:tab/>
      </w:r>
      <w:r w:rsidRPr="009A31CC">
        <w:tab/>
      </w:r>
      <w:r w:rsidRPr="009A31CC">
        <w:tab/>
      </w:r>
      <w:r w:rsidRPr="009A31CC">
        <w:tab/>
      </w:r>
      <w:r w:rsidRPr="009A31CC">
        <w:tab/>
      </w:r>
      <w:r w:rsidRPr="009A31CC">
        <w:tab/>
      </w:r>
      <w:r w:rsidRPr="009A31CC">
        <w:tab/>
      </w:r>
      <w:r w:rsidRPr="009A31CC">
        <w:tab/>
        <w:t>Page</w:t>
      </w:r>
    </w:p>
    <w:p w:rsidR="00F24219" w:rsidRPr="009A31CC" w:rsidRDefault="00F2421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bookmarkStart w:id="1" w:name="_Toc143332841"/>
    <w:p w:rsidR="00F24219" w:rsidRPr="009A31CC" w:rsidRDefault="00F24219" w:rsidP="00265C65">
      <w:pPr>
        <w:pStyle w:val="TableofFigures"/>
        <w:tabs>
          <w:tab w:val="right" w:leader="dot" w:pos="8630"/>
        </w:tabs>
        <w:spacing w:line="360" w:lineRule="auto"/>
        <w:rPr>
          <w:rStyle w:val="Hyperlink"/>
          <w:noProof/>
          <w:color w:val="auto"/>
          <w:u w:val="none"/>
        </w:rPr>
      </w:pPr>
      <w:r w:rsidRPr="009A31CC">
        <w:fldChar w:fldCharType="begin"/>
      </w:r>
      <w:r w:rsidRPr="009A31CC">
        <w:instrText xml:space="preserve"> TOC \h \z \c "Figure" </w:instrText>
      </w:r>
      <w:r w:rsidRPr="009A31CC">
        <w:fldChar w:fldCharType="separate"/>
      </w:r>
      <w:hyperlink w:anchor="_Toc300132164" w:history="1">
        <w:r w:rsidRPr="009A31CC">
          <w:rPr>
            <w:rStyle w:val="Hyperlink"/>
            <w:noProof/>
            <w:color w:val="auto"/>
            <w:u w:val="none"/>
          </w:rPr>
          <w:t>0.1 Distribution of switchgrass production.</w:t>
        </w:r>
        <w:r w:rsidRPr="009A31CC">
          <w:rPr>
            <w:noProof/>
            <w:webHidden/>
          </w:rPr>
          <w:tab/>
          <w:t>9</w:t>
        </w:r>
      </w:hyperlink>
    </w:p>
    <w:p w:rsidR="00F24219" w:rsidRPr="009A31CC" w:rsidRDefault="00F24219" w:rsidP="00265C65"/>
    <w:p w:rsidR="00F24219" w:rsidRPr="009A31CC" w:rsidRDefault="00F24219" w:rsidP="00265C65">
      <w:pPr>
        <w:pStyle w:val="TableofFigures"/>
        <w:tabs>
          <w:tab w:val="right" w:leader="dot" w:pos="8630"/>
        </w:tabs>
        <w:spacing w:line="360" w:lineRule="auto"/>
        <w:ind w:left="0" w:firstLine="0"/>
      </w:pPr>
      <w:r w:rsidRPr="009A31CC">
        <w:fldChar w:fldCharType="end"/>
      </w:r>
      <w:r w:rsidRPr="009A31CC">
        <w:fldChar w:fldCharType="begin"/>
      </w:r>
      <w:r w:rsidRPr="009A31CC">
        <w:instrText xml:space="preserve"> TOC \h \z \c "Figure" </w:instrText>
      </w:r>
      <w:r w:rsidRPr="009A31CC">
        <w:fldChar w:fldCharType="separate"/>
      </w:r>
      <w:hyperlink w:anchor="_Toc300132164" w:history="1">
        <w:r w:rsidRPr="009A31CC">
          <w:rPr>
            <w:rStyle w:val="Hyperlink"/>
            <w:noProof/>
            <w:color w:val="auto"/>
            <w:u w:val="none"/>
          </w:rPr>
          <w:t>1.1 Map of farm sites.</w:t>
        </w:r>
        <w:r w:rsidRPr="009A31CC">
          <w:rPr>
            <w:noProof/>
            <w:webHidden/>
          </w:rPr>
          <w:tab/>
        </w:r>
        <w:r w:rsidRPr="009A31CC">
          <w:rPr>
            <w:noProof/>
            <w:webHidden/>
          </w:rPr>
          <w:fldChar w:fldCharType="begin"/>
        </w:r>
        <w:r w:rsidRPr="009A31CC">
          <w:rPr>
            <w:noProof/>
            <w:webHidden/>
          </w:rPr>
          <w:instrText xml:space="preserve"> PAGEREF _Toc300132164 \h </w:instrText>
        </w:r>
        <w:r w:rsidRPr="009A31CC">
          <w:rPr>
            <w:noProof/>
            <w:webHidden/>
          </w:rPr>
        </w:r>
        <w:r w:rsidRPr="009A31CC">
          <w:rPr>
            <w:noProof/>
            <w:webHidden/>
          </w:rPr>
          <w:fldChar w:fldCharType="separate"/>
        </w:r>
        <w:r w:rsidRPr="009A31CC">
          <w:rPr>
            <w:noProof/>
            <w:webHidden/>
          </w:rPr>
          <w:t>1</w:t>
        </w:r>
        <w:r w:rsidR="00E82A5F">
          <w:rPr>
            <w:noProof/>
            <w:webHidden/>
          </w:rPr>
          <w:t>6</w:t>
        </w:r>
        <w:r w:rsidRPr="009A31CC">
          <w:rPr>
            <w:noProof/>
            <w:webHidden/>
          </w:rPr>
          <w:fldChar w:fldCharType="end"/>
        </w:r>
      </w:hyperlink>
    </w:p>
    <w:p w:rsidR="00F24219" w:rsidRPr="009A31CC" w:rsidRDefault="00F24219" w:rsidP="00265C65">
      <w:pPr>
        <w:pStyle w:val="TableofFigures"/>
        <w:tabs>
          <w:tab w:val="right" w:leader="dot" w:pos="8630"/>
        </w:tabs>
        <w:spacing w:line="360" w:lineRule="auto"/>
        <w:rPr>
          <w:rFonts w:ascii="Calibri" w:hAnsi="Calibri"/>
          <w:noProof/>
          <w:sz w:val="22"/>
          <w:szCs w:val="22"/>
        </w:rPr>
      </w:pPr>
      <w:r w:rsidRPr="009A31CC">
        <w:fldChar w:fldCharType="end"/>
      </w:r>
      <w:r w:rsidRPr="009A31CC">
        <w:fldChar w:fldCharType="begin"/>
      </w:r>
      <w:r w:rsidRPr="009A31CC">
        <w:instrText xml:space="preserve"> TOC \h \z \c "Figure" </w:instrText>
      </w:r>
      <w:r w:rsidRPr="009A31CC">
        <w:fldChar w:fldCharType="separate"/>
      </w:r>
      <w:hyperlink w:anchor="_Toc300132164" w:history="1">
        <w:r w:rsidRPr="009A31CC">
          <w:rPr>
            <w:rStyle w:val="Hyperlink"/>
            <w:noProof/>
            <w:color w:val="auto"/>
            <w:u w:val="none"/>
          </w:rPr>
          <w:t>1.2 Percent SOC by depth.</w:t>
        </w:r>
        <w:r w:rsidRPr="009A31CC">
          <w:rPr>
            <w:noProof/>
            <w:webHidden/>
          </w:rPr>
          <w:tab/>
        </w:r>
        <w:r w:rsidRPr="009A31CC">
          <w:rPr>
            <w:noProof/>
            <w:webHidden/>
          </w:rPr>
          <w:fldChar w:fldCharType="begin"/>
        </w:r>
        <w:r w:rsidRPr="009A31CC">
          <w:rPr>
            <w:noProof/>
            <w:webHidden/>
          </w:rPr>
          <w:instrText xml:space="preserve"> PAGEREF _Toc300132164 \h </w:instrText>
        </w:r>
        <w:r w:rsidRPr="009A31CC">
          <w:rPr>
            <w:noProof/>
            <w:webHidden/>
          </w:rPr>
        </w:r>
        <w:r w:rsidRPr="009A31CC">
          <w:rPr>
            <w:noProof/>
            <w:webHidden/>
          </w:rPr>
          <w:fldChar w:fldCharType="separate"/>
        </w:r>
        <w:r w:rsidR="00E82A5F">
          <w:rPr>
            <w:noProof/>
            <w:webHidden/>
          </w:rPr>
          <w:t>20</w:t>
        </w:r>
        <w:r w:rsidRPr="009A31CC">
          <w:rPr>
            <w:noProof/>
            <w:webHidden/>
          </w:rPr>
          <w:fldChar w:fldCharType="end"/>
        </w:r>
      </w:hyperlink>
    </w:p>
    <w:p w:rsidR="00F24219" w:rsidRPr="009A31CC" w:rsidRDefault="00F24219" w:rsidP="00265C65">
      <w:pPr>
        <w:pStyle w:val="TableofFigures"/>
        <w:tabs>
          <w:tab w:val="right" w:leader="dot" w:pos="8630"/>
        </w:tabs>
        <w:spacing w:line="360" w:lineRule="auto"/>
        <w:rPr>
          <w:rFonts w:ascii="Calibri" w:hAnsi="Calibri"/>
          <w:noProof/>
          <w:sz w:val="22"/>
          <w:szCs w:val="22"/>
        </w:rPr>
      </w:pPr>
      <w:r w:rsidRPr="009A31CC">
        <w:fldChar w:fldCharType="end"/>
      </w:r>
      <w:r w:rsidRPr="009A31CC">
        <w:fldChar w:fldCharType="begin"/>
      </w:r>
      <w:r w:rsidRPr="009A31CC">
        <w:instrText xml:space="preserve"> TOC \h \z \c "Figure" </w:instrText>
      </w:r>
      <w:r w:rsidRPr="009A31CC">
        <w:fldChar w:fldCharType="separate"/>
      </w:r>
      <w:hyperlink w:anchor="_Toc300132164" w:history="1">
        <w:r w:rsidRPr="009A31CC">
          <w:rPr>
            <w:rStyle w:val="Hyperlink"/>
            <w:noProof/>
            <w:color w:val="auto"/>
            <w:u w:val="none"/>
          </w:rPr>
          <w:t>1.3 Percent change in SOC by depth.</w:t>
        </w:r>
        <w:r w:rsidRPr="009A31CC">
          <w:rPr>
            <w:noProof/>
            <w:webHidden/>
          </w:rPr>
          <w:tab/>
        </w:r>
        <w:r w:rsidR="00E82A5F">
          <w:rPr>
            <w:noProof/>
            <w:webHidden/>
          </w:rPr>
          <w:t>21</w:t>
        </w:r>
      </w:hyperlink>
    </w:p>
    <w:p w:rsidR="00F24219" w:rsidRPr="009A31CC" w:rsidRDefault="00F24219" w:rsidP="00265C65">
      <w:pPr>
        <w:pStyle w:val="TableofFigures"/>
        <w:tabs>
          <w:tab w:val="right" w:leader="dot" w:pos="8630"/>
        </w:tabs>
        <w:spacing w:line="360" w:lineRule="auto"/>
        <w:rPr>
          <w:rFonts w:ascii="Calibri" w:hAnsi="Calibri"/>
          <w:noProof/>
          <w:sz w:val="22"/>
          <w:szCs w:val="22"/>
        </w:rPr>
      </w:pPr>
      <w:r w:rsidRPr="009A31CC">
        <w:fldChar w:fldCharType="end"/>
      </w:r>
      <w:r w:rsidRPr="009A31CC">
        <w:fldChar w:fldCharType="begin"/>
      </w:r>
      <w:r w:rsidRPr="009A31CC">
        <w:instrText xml:space="preserve"> TOC \h \z \c "Figure" </w:instrText>
      </w:r>
      <w:r w:rsidRPr="009A31CC">
        <w:fldChar w:fldCharType="separate"/>
      </w:r>
      <w:hyperlink w:anchor="_Toc300132164" w:history="1">
        <w:r w:rsidRPr="009A31CC">
          <w:rPr>
            <w:rStyle w:val="Hyperlink"/>
            <w:noProof/>
            <w:color w:val="auto"/>
            <w:u w:val="none"/>
          </w:rPr>
          <w:t xml:space="preserve">1.4 Percent SOC by </w:t>
        </w:r>
        <w:r w:rsidR="00E82A5F">
          <w:rPr>
            <w:rStyle w:val="Hyperlink"/>
            <w:noProof/>
            <w:color w:val="auto"/>
            <w:u w:val="none"/>
          </w:rPr>
          <w:t>previous cropping management</w:t>
        </w:r>
        <w:r w:rsidRPr="009A31CC">
          <w:rPr>
            <w:rStyle w:val="Hyperlink"/>
            <w:noProof/>
            <w:color w:val="auto"/>
            <w:u w:val="none"/>
          </w:rPr>
          <w:t>.</w:t>
        </w:r>
        <w:r w:rsidRPr="009A31CC">
          <w:rPr>
            <w:noProof/>
            <w:webHidden/>
          </w:rPr>
          <w:tab/>
        </w:r>
        <w:r w:rsidR="00E82A5F">
          <w:rPr>
            <w:noProof/>
            <w:webHidden/>
          </w:rPr>
          <w:t>23</w:t>
        </w:r>
      </w:hyperlink>
    </w:p>
    <w:p w:rsidR="00F24219" w:rsidRPr="009A31CC" w:rsidRDefault="00F24219" w:rsidP="00265C65">
      <w:pPr>
        <w:pStyle w:val="TableofFigures"/>
        <w:tabs>
          <w:tab w:val="right" w:leader="dot" w:pos="8630"/>
        </w:tabs>
        <w:spacing w:line="360" w:lineRule="auto"/>
        <w:rPr>
          <w:rFonts w:ascii="Calibri" w:hAnsi="Calibri"/>
          <w:noProof/>
          <w:sz w:val="22"/>
          <w:szCs w:val="22"/>
        </w:rPr>
      </w:pPr>
      <w:r w:rsidRPr="009A31CC">
        <w:fldChar w:fldCharType="end"/>
      </w:r>
      <w:r w:rsidRPr="009A31CC">
        <w:fldChar w:fldCharType="begin"/>
      </w:r>
      <w:r w:rsidRPr="009A31CC">
        <w:instrText xml:space="preserve"> TOC \h \z \c "Figure" </w:instrText>
      </w:r>
      <w:r w:rsidRPr="009A31CC">
        <w:fldChar w:fldCharType="separate"/>
      </w:r>
      <w:hyperlink w:anchor="_Toc300132164" w:history="1">
        <w:r w:rsidR="00E82A5F">
          <w:rPr>
            <w:rStyle w:val="Hyperlink"/>
            <w:noProof/>
            <w:color w:val="auto"/>
            <w:u w:val="none"/>
          </w:rPr>
          <w:t>1.5</w:t>
        </w:r>
        <w:r w:rsidRPr="009A31CC">
          <w:rPr>
            <w:rStyle w:val="Hyperlink"/>
            <w:noProof/>
            <w:color w:val="auto"/>
            <w:u w:val="none"/>
          </w:rPr>
          <w:t xml:space="preserve"> Percent</w:t>
        </w:r>
        <w:r w:rsidR="00E82A5F">
          <w:rPr>
            <w:rStyle w:val="Hyperlink"/>
            <w:noProof/>
            <w:color w:val="auto"/>
            <w:u w:val="none"/>
          </w:rPr>
          <w:t xml:space="preserve"> </w:t>
        </w:r>
        <w:r w:rsidRPr="009A31CC">
          <w:rPr>
            <w:rStyle w:val="Hyperlink"/>
            <w:noProof/>
            <w:color w:val="auto"/>
            <w:u w:val="none"/>
          </w:rPr>
          <w:t xml:space="preserve">SOC by </w:t>
        </w:r>
        <w:r w:rsidR="00E82A5F">
          <w:rPr>
            <w:rStyle w:val="Hyperlink"/>
            <w:noProof/>
            <w:color w:val="auto"/>
            <w:u w:val="none"/>
          </w:rPr>
          <w:t>location</w:t>
        </w:r>
        <w:r w:rsidRPr="009A31CC">
          <w:rPr>
            <w:rStyle w:val="Hyperlink"/>
            <w:noProof/>
            <w:color w:val="auto"/>
            <w:u w:val="none"/>
          </w:rPr>
          <w:t>.</w:t>
        </w:r>
        <w:r w:rsidRPr="009A31CC">
          <w:rPr>
            <w:noProof/>
            <w:webHidden/>
          </w:rPr>
          <w:tab/>
        </w:r>
        <w:r w:rsidR="00E82A5F">
          <w:rPr>
            <w:noProof/>
            <w:webHidden/>
          </w:rPr>
          <w:t>25</w:t>
        </w:r>
      </w:hyperlink>
    </w:p>
    <w:p w:rsidR="00F24219" w:rsidRPr="009A31CC" w:rsidRDefault="00F24219" w:rsidP="00265C65">
      <w:pPr>
        <w:pStyle w:val="TableofFigures"/>
        <w:tabs>
          <w:tab w:val="right" w:leader="dot" w:pos="8630"/>
        </w:tabs>
        <w:spacing w:line="360" w:lineRule="auto"/>
        <w:rPr>
          <w:rFonts w:ascii="Calibri" w:hAnsi="Calibri"/>
          <w:noProof/>
          <w:sz w:val="22"/>
          <w:szCs w:val="22"/>
        </w:rPr>
      </w:pPr>
      <w:r w:rsidRPr="009A31CC">
        <w:fldChar w:fldCharType="end"/>
      </w:r>
      <w:r w:rsidRPr="009A31CC">
        <w:fldChar w:fldCharType="begin"/>
      </w:r>
      <w:r w:rsidRPr="009A31CC">
        <w:instrText xml:space="preserve"> TOC \h \z \c "Figure" </w:instrText>
      </w:r>
      <w:r w:rsidRPr="009A31CC">
        <w:fldChar w:fldCharType="separate"/>
      </w:r>
      <w:hyperlink w:anchor="_Toc300132164" w:history="1">
        <w:r w:rsidRPr="009A31CC">
          <w:rPr>
            <w:rStyle w:val="Hyperlink"/>
            <w:noProof/>
            <w:color w:val="auto"/>
            <w:u w:val="none"/>
          </w:rPr>
          <w:t xml:space="preserve">1.6 Percent SOC by </w:t>
        </w:r>
        <w:r w:rsidR="00E82A5F">
          <w:rPr>
            <w:rStyle w:val="Hyperlink"/>
            <w:noProof/>
            <w:color w:val="auto"/>
            <w:u w:val="none"/>
          </w:rPr>
          <w:t>texture</w:t>
        </w:r>
        <w:r w:rsidRPr="009A31CC">
          <w:rPr>
            <w:rStyle w:val="Hyperlink"/>
            <w:noProof/>
            <w:color w:val="auto"/>
            <w:u w:val="none"/>
          </w:rPr>
          <w:t>.</w:t>
        </w:r>
        <w:r w:rsidRPr="009A31CC">
          <w:rPr>
            <w:noProof/>
            <w:webHidden/>
          </w:rPr>
          <w:tab/>
        </w:r>
        <w:r w:rsidRPr="009A31CC">
          <w:rPr>
            <w:noProof/>
            <w:webHidden/>
          </w:rPr>
          <w:fldChar w:fldCharType="begin"/>
        </w:r>
        <w:r w:rsidRPr="009A31CC">
          <w:rPr>
            <w:noProof/>
            <w:webHidden/>
          </w:rPr>
          <w:instrText xml:space="preserve"> PAGEREF _Toc300132164 \h </w:instrText>
        </w:r>
        <w:r w:rsidRPr="009A31CC">
          <w:rPr>
            <w:noProof/>
            <w:webHidden/>
          </w:rPr>
        </w:r>
        <w:r w:rsidRPr="009A31CC">
          <w:rPr>
            <w:noProof/>
            <w:webHidden/>
          </w:rPr>
          <w:fldChar w:fldCharType="separate"/>
        </w:r>
        <w:r w:rsidRPr="009A31CC">
          <w:rPr>
            <w:noProof/>
            <w:webHidden/>
          </w:rPr>
          <w:t>2</w:t>
        </w:r>
        <w:r w:rsidR="00E82A5F">
          <w:rPr>
            <w:noProof/>
            <w:webHidden/>
          </w:rPr>
          <w:t>7</w:t>
        </w:r>
        <w:r w:rsidRPr="009A31CC">
          <w:rPr>
            <w:noProof/>
            <w:webHidden/>
          </w:rPr>
          <w:fldChar w:fldCharType="end"/>
        </w:r>
      </w:hyperlink>
    </w:p>
    <w:p w:rsidR="00F24219" w:rsidRPr="009A31CC" w:rsidRDefault="00F24219" w:rsidP="00265C65">
      <w:pPr>
        <w:pStyle w:val="TableofFigures"/>
        <w:tabs>
          <w:tab w:val="right" w:leader="dot" w:pos="8630"/>
        </w:tabs>
        <w:spacing w:line="360" w:lineRule="auto"/>
        <w:rPr>
          <w:rFonts w:ascii="Calibri" w:hAnsi="Calibri"/>
          <w:noProof/>
          <w:sz w:val="22"/>
          <w:szCs w:val="22"/>
        </w:rPr>
      </w:pPr>
      <w:r w:rsidRPr="009A31CC">
        <w:fldChar w:fldCharType="end"/>
      </w:r>
      <w:r w:rsidRPr="009A31CC">
        <w:fldChar w:fldCharType="begin"/>
      </w:r>
      <w:r w:rsidRPr="009A31CC">
        <w:instrText xml:space="preserve"> TOC \h \z \c "Figure" </w:instrText>
      </w:r>
      <w:r w:rsidRPr="009A31CC">
        <w:fldChar w:fldCharType="separate"/>
      </w:r>
      <w:hyperlink w:anchor="_Toc300132164" w:history="1">
        <w:r w:rsidRPr="009A31CC">
          <w:rPr>
            <w:rStyle w:val="Hyperlink"/>
            <w:noProof/>
            <w:color w:val="auto"/>
            <w:u w:val="none"/>
          </w:rPr>
          <w:t xml:space="preserve">1.7 Percent </w:t>
        </w:r>
        <w:r w:rsidR="00E82A5F">
          <w:rPr>
            <w:rStyle w:val="Hyperlink"/>
            <w:noProof/>
            <w:color w:val="auto"/>
            <w:u w:val="none"/>
          </w:rPr>
          <w:t>SOC taxonomy</w:t>
        </w:r>
        <w:r w:rsidRPr="009A31CC">
          <w:rPr>
            <w:rStyle w:val="Hyperlink"/>
            <w:noProof/>
            <w:color w:val="auto"/>
            <w:u w:val="none"/>
          </w:rPr>
          <w:t>.</w:t>
        </w:r>
        <w:r w:rsidRPr="009A31CC">
          <w:rPr>
            <w:noProof/>
            <w:webHidden/>
          </w:rPr>
          <w:tab/>
          <w:t>2</w:t>
        </w:r>
        <w:r w:rsidR="00E82A5F">
          <w:rPr>
            <w:noProof/>
            <w:webHidden/>
          </w:rPr>
          <w:t>8</w:t>
        </w:r>
      </w:hyperlink>
    </w:p>
    <w:p w:rsidR="00F24219" w:rsidRPr="009A31CC" w:rsidRDefault="00F24219" w:rsidP="00265C65">
      <w:pPr>
        <w:pStyle w:val="TableofFigures"/>
        <w:tabs>
          <w:tab w:val="right" w:leader="dot" w:pos="8630"/>
        </w:tabs>
        <w:spacing w:line="360" w:lineRule="auto"/>
        <w:rPr>
          <w:rFonts w:ascii="Calibri" w:hAnsi="Calibri"/>
          <w:noProof/>
          <w:sz w:val="22"/>
          <w:szCs w:val="22"/>
        </w:rPr>
      </w:pPr>
      <w:r w:rsidRPr="009A31CC">
        <w:fldChar w:fldCharType="end"/>
      </w:r>
      <w:r w:rsidRPr="009A31CC">
        <w:fldChar w:fldCharType="begin"/>
      </w:r>
      <w:r w:rsidRPr="009A31CC">
        <w:instrText xml:space="preserve"> TOC \h \z \c "Figure" </w:instrText>
      </w:r>
      <w:r w:rsidRPr="009A31CC">
        <w:fldChar w:fldCharType="separate"/>
      </w:r>
      <w:hyperlink w:anchor="_Toc300132164" w:history="1">
        <w:r w:rsidRPr="009A31CC">
          <w:rPr>
            <w:rStyle w:val="Hyperlink"/>
            <w:noProof/>
            <w:color w:val="auto"/>
            <w:u w:val="none"/>
          </w:rPr>
          <w:t xml:space="preserve">1.8 </w:t>
        </w:r>
        <w:r w:rsidR="00E82A5F">
          <w:rPr>
            <w:rStyle w:val="Hyperlink"/>
            <w:noProof/>
            <w:color w:val="auto"/>
            <w:u w:val="none"/>
          </w:rPr>
          <w:t>Bulk Density</w:t>
        </w:r>
        <w:r w:rsidRPr="009A31CC">
          <w:rPr>
            <w:rStyle w:val="Hyperlink"/>
            <w:noProof/>
            <w:color w:val="auto"/>
            <w:u w:val="none"/>
          </w:rPr>
          <w:t>.</w:t>
        </w:r>
        <w:r w:rsidRPr="009A31CC">
          <w:rPr>
            <w:noProof/>
            <w:webHidden/>
          </w:rPr>
          <w:tab/>
        </w:r>
        <w:r w:rsidR="00E82A5F">
          <w:rPr>
            <w:noProof/>
            <w:webHidden/>
          </w:rPr>
          <w:t>30</w:t>
        </w:r>
      </w:hyperlink>
    </w:p>
    <w:p w:rsidR="00F24219" w:rsidRPr="009A31CC" w:rsidRDefault="00F24219" w:rsidP="00E82A5F">
      <w:pPr>
        <w:pStyle w:val="TableofFigures"/>
        <w:tabs>
          <w:tab w:val="right" w:leader="dot" w:pos="8630"/>
        </w:tabs>
        <w:spacing w:line="360" w:lineRule="auto"/>
        <w:ind w:left="0" w:firstLine="0"/>
        <w:rPr>
          <w:rStyle w:val="Hyperlink"/>
          <w:noProof/>
          <w:color w:val="auto"/>
          <w:u w:val="none"/>
        </w:rPr>
      </w:pPr>
      <w:r w:rsidRPr="009A31CC">
        <w:fldChar w:fldCharType="end"/>
      </w:r>
      <w:r w:rsidRPr="009A31CC">
        <w:fldChar w:fldCharType="begin"/>
      </w:r>
      <w:r w:rsidRPr="009A31CC">
        <w:instrText xml:space="preserve"> TOC \h \z \c "Figure" </w:instrText>
      </w:r>
      <w:r w:rsidRPr="009A31CC">
        <w:fldChar w:fldCharType="separate"/>
      </w:r>
      <w:hyperlink w:anchor="_Toc300132164" w:history="1">
        <w:r w:rsidR="00E82A5F">
          <w:rPr>
            <w:rStyle w:val="Hyperlink"/>
            <w:noProof/>
            <w:color w:val="auto"/>
            <w:u w:val="none"/>
          </w:rPr>
          <w:t>1.9</w:t>
        </w:r>
        <w:r w:rsidRPr="009A31CC">
          <w:rPr>
            <w:rStyle w:val="Hyperlink"/>
            <w:noProof/>
            <w:color w:val="auto"/>
            <w:u w:val="none"/>
          </w:rPr>
          <w:t xml:space="preserve">  Bulk Density versus percent SOC.</w:t>
        </w:r>
        <w:r w:rsidRPr="009A31CC">
          <w:rPr>
            <w:noProof/>
            <w:webHidden/>
          </w:rPr>
          <w:tab/>
        </w:r>
        <w:r w:rsidR="00E82A5F">
          <w:rPr>
            <w:noProof/>
            <w:webHidden/>
          </w:rPr>
          <w:t>30</w:t>
        </w:r>
      </w:hyperlink>
    </w:p>
    <w:p w:rsidR="00F24219" w:rsidRPr="009A31CC" w:rsidRDefault="00F24219" w:rsidP="00265C65"/>
    <w:p w:rsidR="00F24219" w:rsidRPr="009A31CC" w:rsidRDefault="00F24219" w:rsidP="00265C65">
      <w:pPr>
        <w:pStyle w:val="TableofFigures"/>
        <w:tabs>
          <w:tab w:val="right" w:leader="dot" w:pos="8630"/>
        </w:tabs>
        <w:spacing w:line="360" w:lineRule="auto"/>
        <w:ind w:left="0" w:firstLine="0"/>
      </w:pPr>
      <w:r w:rsidRPr="009A31CC">
        <w:fldChar w:fldCharType="end"/>
      </w:r>
      <w:r w:rsidRPr="009A31CC">
        <w:fldChar w:fldCharType="begin"/>
      </w:r>
      <w:r w:rsidRPr="009A31CC">
        <w:instrText xml:space="preserve"> TOC \h \z \c "Figure" </w:instrText>
      </w:r>
      <w:r w:rsidRPr="009A31CC">
        <w:fldChar w:fldCharType="separate"/>
      </w:r>
      <w:hyperlink w:anchor="_Toc300132164" w:history="1">
        <w:r w:rsidRPr="009A31CC">
          <w:rPr>
            <w:rStyle w:val="Hyperlink"/>
            <w:noProof/>
            <w:color w:val="auto"/>
            <w:u w:val="none"/>
          </w:rPr>
          <w:t>2.1 LICOR LI-8100 system.</w:t>
        </w:r>
        <w:r w:rsidRPr="009A31CC">
          <w:rPr>
            <w:noProof/>
            <w:webHidden/>
          </w:rPr>
          <w:tab/>
        </w:r>
        <w:r w:rsidR="00E82A5F">
          <w:rPr>
            <w:noProof/>
            <w:webHidden/>
          </w:rPr>
          <w:t>47</w:t>
        </w:r>
      </w:hyperlink>
    </w:p>
    <w:p w:rsidR="00F24219" w:rsidRPr="009A31CC" w:rsidRDefault="00F24219" w:rsidP="00265C65">
      <w:pPr>
        <w:pStyle w:val="TableofFigures"/>
        <w:tabs>
          <w:tab w:val="right" w:leader="dot" w:pos="8630"/>
        </w:tabs>
        <w:spacing w:line="360" w:lineRule="auto"/>
        <w:ind w:left="0" w:firstLine="0"/>
        <w:rPr>
          <w:rStyle w:val="Hyperlink"/>
          <w:noProof/>
          <w:color w:val="auto"/>
          <w:u w:val="none"/>
        </w:rPr>
      </w:pPr>
      <w:r w:rsidRPr="009A31CC">
        <w:fldChar w:fldCharType="end"/>
      </w:r>
      <w:hyperlink w:anchor="_Toc300132164" w:history="1">
        <w:r w:rsidRPr="009A31CC">
          <w:rPr>
            <w:rStyle w:val="Hyperlink"/>
            <w:noProof/>
            <w:color w:val="auto"/>
            <w:u w:val="none"/>
          </w:rPr>
          <w:t>2.2 Field system set-up</w:t>
        </w:r>
        <w:r w:rsidRPr="009A31CC">
          <w:rPr>
            <w:noProof/>
            <w:webHidden/>
          </w:rPr>
          <w:tab/>
        </w:r>
        <w:r w:rsidR="00E82A5F">
          <w:rPr>
            <w:noProof/>
            <w:webHidden/>
          </w:rPr>
          <w:t>49</w:t>
        </w:r>
      </w:hyperlink>
    </w:p>
    <w:p w:rsidR="00F24219" w:rsidRPr="009A31CC" w:rsidRDefault="005127DF" w:rsidP="00265C65">
      <w:pPr>
        <w:pStyle w:val="TableofFigures"/>
        <w:tabs>
          <w:tab w:val="right" w:leader="dot" w:pos="8630"/>
        </w:tabs>
        <w:spacing w:line="360" w:lineRule="auto"/>
        <w:ind w:left="0" w:firstLine="0"/>
        <w:rPr>
          <w:rStyle w:val="Hyperlink"/>
          <w:noProof/>
          <w:color w:val="auto"/>
          <w:u w:val="none"/>
        </w:rPr>
      </w:pPr>
      <w:hyperlink w:anchor="_Toc300132164" w:history="1">
        <w:r w:rsidR="00F24219" w:rsidRPr="009A31CC">
          <w:rPr>
            <w:rStyle w:val="Hyperlink"/>
            <w:noProof/>
            <w:color w:val="auto"/>
            <w:u w:val="none"/>
          </w:rPr>
          <w:t>2.3 CO</w:t>
        </w:r>
        <w:r w:rsidR="00F24219" w:rsidRPr="009A31CC">
          <w:rPr>
            <w:rStyle w:val="Hyperlink"/>
            <w:noProof/>
            <w:color w:val="auto"/>
            <w:u w:val="none"/>
            <w:vertAlign w:val="subscript"/>
          </w:rPr>
          <w:t>2</w:t>
        </w:r>
        <w:r w:rsidR="00F24219" w:rsidRPr="009A31CC">
          <w:rPr>
            <w:rStyle w:val="Hyperlink"/>
            <w:noProof/>
            <w:color w:val="auto"/>
            <w:u w:val="none"/>
          </w:rPr>
          <w:t xml:space="preserve"> flux relationship to soil temperature.</w:t>
        </w:r>
        <w:r w:rsidR="00F24219" w:rsidRPr="009A31CC">
          <w:rPr>
            <w:noProof/>
            <w:webHidden/>
          </w:rPr>
          <w:tab/>
        </w:r>
      </w:hyperlink>
      <w:r w:rsidR="00E82A5F">
        <w:rPr>
          <w:noProof/>
        </w:rPr>
        <w:t>59</w:t>
      </w:r>
    </w:p>
    <w:p w:rsidR="00F24219" w:rsidRPr="009A31CC" w:rsidRDefault="005127DF" w:rsidP="00265C65">
      <w:pPr>
        <w:pStyle w:val="TableofFigures"/>
        <w:tabs>
          <w:tab w:val="right" w:leader="dot" w:pos="8630"/>
        </w:tabs>
        <w:spacing w:line="360" w:lineRule="auto"/>
        <w:ind w:left="0" w:firstLine="0"/>
        <w:rPr>
          <w:rStyle w:val="Hyperlink"/>
          <w:noProof/>
          <w:color w:val="auto"/>
          <w:u w:val="none"/>
        </w:rPr>
      </w:pPr>
      <w:hyperlink w:anchor="_Toc300132164" w:history="1">
        <w:r w:rsidR="00F24219" w:rsidRPr="009A31CC">
          <w:rPr>
            <w:rStyle w:val="Hyperlink"/>
            <w:noProof/>
            <w:color w:val="auto"/>
            <w:u w:val="none"/>
          </w:rPr>
          <w:t>2.4 CO</w:t>
        </w:r>
        <w:r w:rsidR="00F24219" w:rsidRPr="009A31CC">
          <w:rPr>
            <w:rStyle w:val="Hyperlink"/>
            <w:noProof/>
            <w:color w:val="auto"/>
            <w:u w:val="none"/>
            <w:vertAlign w:val="subscript"/>
          </w:rPr>
          <w:t>2</w:t>
        </w:r>
        <w:r w:rsidR="00F24219" w:rsidRPr="009A31CC">
          <w:rPr>
            <w:rStyle w:val="Hyperlink"/>
            <w:noProof/>
            <w:color w:val="auto"/>
            <w:u w:val="none"/>
          </w:rPr>
          <w:t xml:space="preserve"> flux</w:t>
        </w:r>
        <w:r w:rsidR="00E82A5F">
          <w:rPr>
            <w:rStyle w:val="Hyperlink"/>
            <w:noProof/>
            <w:color w:val="auto"/>
            <w:u w:val="none"/>
          </w:rPr>
          <w:t xml:space="preserve"> by season</w:t>
        </w:r>
        <w:r w:rsidR="00F24219" w:rsidRPr="009A31CC">
          <w:rPr>
            <w:noProof/>
            <w:webHidden/>
          </w:rPr>
          <w:tab/>
        </w:r>
        <w:r w:rsidR="00E82A5F">
          <w:rPr>
            <w:noProof/>
            <w:webHidden/>
          </w:rPr>
          <w:t>60</w:t>
        </w:r>
      </w:hyperlink>
    </w:p>
    <w:p w:rsidR="00F24219" w:rsidRPr="009A31CC" w:rsidRDefault="005127DF" w:rsidP="00265C65">
      <w:pPr>
        <w:pStyle w:val="TableofFigures"/>
        <w:tabs>
          <w:tab w:val="right" w:leader="dot" w:pos="8630"/>
        </w:tabs>
        <w:spacing w:line="360" w:lineRule="auto"/>
        <w:ind w:left="0" w:firstLine="0"/>
      </w:pPr>
      <w:hyperlink w:anchor="_Toc300132164" w:history="1">
        <w:r w:rsidR="00F24219" w:rsidRPr="009A31CC">
          <w:rPr>
            <w:rStyle w:val="Hyperlink"/>
            <w:noProof/>
            <w:color w:val="auto"/>
            <w:u w:val="none"/>
          </w:rPr>
          <w:t>2.5 Daily variation in CO</w:t>
        </w:r>
        <w:r w:rsidR="00F24219" w:rsidRPr="009A31CC">
          <w:rPr>
            <w:rStyle w:val="Hyperlink"/>
            <w:noProof/>
            <w:color w:val="auto"/>
            <w:u w:val="none"/>
            <w:vertAlign w:val="subscript"/>
          </w:rPr>
          <w:t>2</w:t>
        </w:r>
        <w:r w:rsidR="00F24219" w:rsidRPr="009A31CC">
          <w:rPr>
            <w:rStyle w:val="Hyperlink"/>
            <w:noProof/>
            <w:color w:val="auto"/>
            <w:u w:val="none"/>
          </w:rPr>
          <w:t xml:space="preserve"> flux</w:t>
        </w:r>
        <w:r w:rsidR="00F24219" w:rsidRPr="009A31CC">
          <w:rPr>
            <w:noProof/>
            <w:webHidden/>
          </w:rPr>
          <w:tab/>
          <w:t>6</w:t>
        </w:r>
        <w:r w:rsidR="00E82A5F">
          <w:rPr>
            <w:noProof/>
            <w:webHidden/>
          </w:rPr>
          <w:t>1</w:t>
        </w:r>
      </w:hyperlink>
    </w:p>
    <w:p w:rsidR="00E82A5F" w:rsidRPr="009A31CC" w:rsidRDefault="005127DF" w:rsidP="00E82A5F">
      <w:pPr>
        <w:pStyle w:val="TableofFigures"/>
        <w:tabs>
          <w:tab w:val="right" w:leader="dot" w:pos="8630"/>
        </w:tabs>
        <w:spacing w:line="360" w:lineRule="auto"/>
        <w:ind w:left="0" w:firstLine="0"/>
        <w:rPr>
          <w:rStyle w:val="Hyperlink"/>
          <w:noProof/>
          <w:color w:val="auto"/>
          <w:u w:val="none"/>
        </w:rPr>
      </w:pPr>
      <w:hyperlink w:anchor="_Toc300132164" w:history="1">
        <w:r w:rsidR="00E82A5F">
          <w:rPr>
            <w:rStyle w:val="Hyperlink"/>
            <w:noProof/>
            <w:color w:val="auto"/>
            <w:u w:val="none"/>
          </w:rPr>
          <w:t>2.6</w:t>
        </w:r>
        <w:r w:rsidR="00E82A5F" w:rsidRPr="009A31CC">
          <w:rPr>
            <w:rStyle w:val="Hyperlink"/>
            <w:noProof/>
            <w:color w:val="auto"/>
            <w:u w:val="none"/>
          </w:rPr>
          <w:t xml:space="preserve"> CO</w:t>
        </w:r>
        <w:r w:rsidR="00E82A5F" w:rsidRPr="009A31CC">
          <w:rPr>
            <w:rStyle w:val="Hyperlink"/>
            <w:noProof/>
            <w:color w:val="auto"/>
            <w:u w:val="none"/>
            <w:vertAlign w:val="subscript"/>
          </w:rPr>
          <w:t>2</w:t>
        </w:r>
        <w:r w:rsidR="00E82A5F" w:rsidRPr="009A31CC">
          <w:rPr>
            <w:rStyle w:val="Hyperlink"/>
            <w:noProof/>
            <w:color w:val="auto"/>
            <w:u w:val="none"/>
          </w:rPr>
          <w:t xml:space="preserve"> flux</w:t>
        </w:r>
        <w:r w:rsidR="00E82A5F">
          <w:rPr>
            <w:rStyle w:val="Hyperlink"/>
            <w:noProof/>
            <w:color w:val="auto"/>
            <w:u w:val="none"/>
          </w:rPr>
          <w:t xml:space="preserve"> June 2010-August 2011</w:t>
        </w:r>
        <w:r w:rsidR="00E82A5F" w:rsidRPr="009A31CC">
          <w:rPr>
            <w:noProof/>
            <w:webHidden/>
          </w:rPr>
          <w:tab/>
        </w:r>
        <w:r w:rsidR="00E82A5F">
          <w:rPr>
            <w:noProof/>
            <w:webHidden/>
          </w:rPr>
          <w:t>63</w:t>
        </w:r>
      </w:hyperlink>
    </w:p>
    <w:p w:rsidR="00F24219" w:rsidRPr="007E03DC" w:rsidRDefault="00F24219" w:rsidP="00265C65"/>
    <w:p w:rsidR="00F24219" w:rsidRPr="007E03DC" w:rsidRDefault="00F24219" w:rsidP="00265C65"/>
    <w:p w:rsidR="00F24219" w:rsidRPr="007E03DC" w:rsidRDefault="00F24219" w:rsidP="00265C65"/>
    <w:bookmarkEnd w:id="1"/>
    <w:p w:rsidR="00083574" w:rsidRDefault="00083574" w:rsidP="00265C65">
      <w:pPr>
        <w:rPr>
          <w:b/>
          <w:sz w:val="28"/>
        </w:rPr>
        <w:sectPr w:rsidR="00083574" w:rsidSect="00083574">
          <w:footerReference w:type="default" r:id="rId11"/>
          <w:pgSz w:w="12240" w:h="15840" w:code="1"/>
          <w:pgMar w:top="1440" w:right="1800" w:bottom="1872" w:left="1800" w:header="720" w:footer="1440" w:gutter="0"/>
          <w:pgNumType w:fmt="lowerRoman" w:start="1"/>
          <w:cols w:space="720"/>
          <w:noEndnote/>
          <w:titlePg/>
          <w:docGrid w:linePitch="360"/>
        </w:sectPr>
      </w:pPr>
    </w:p>
    <w:p w:rsidR="00F24219" w:rsidRPr="007E03DC" w:rsidRDefault="00F24219" w:rsidP="00FC66DA">
      <w:pPr>
        <w:jc w:val="center"/>
      </w:pPr>
      <w:r>
        <w:rPr>
          <w:b/>
          <w:sz w:val="28"/>
        </w:rPr>
        <w:lastRenderedPageBreak/>
        <w:t>GENERAL INTRODUCTION</w:t>
      </w:r>
    </w:p>
    <w:p w:rsidR="00F24219" w:rsidRPr="00C0338A" w:rsidRDefault="00F24219">
      <w:pPr>
        <w:numPr>
          <w:ilvl w:val="12"/>
          <w:numId w:val="0"/>
        </w:numPr>
        <w:jc w:val="center"/>
      </w:pPr>
    </w:p>
    <w:p w:rsidR="00F24219" w:rsidRDefault="00F24219" w:rsidP="00265C65">
      <w:pPr>
        <w:pStyle w:val="NoSpacing"/>
        <w:spacing w:line="480" w:lineRule="auto"/>
        <w:rPr>
          <w:rFonts w:ascii="Times New Roman" w:hAnsi="Times New Roman"/>
          <w:sz w:val="24"/>
          <w:szCs w:val="24"/>
        </w:rPr>
      </w:pPr>
      <w:r w:rsidRPr="00C0338A">
        <w:rPr>
          <w:rFonts w:ascii="Times New Roman" w:hAnsi="Times New Roman"/>
        </w:rPr>
        <w:tab/>
      </w:r>
      <w:r w:rsidRPr="00C0338A">
        <w:rPr>
          <w:rFonts w:ascii="Times New Roman" w:hAnsi="Times New Roman"/>
          <w:sz w:val="24"/>
          <w:szCs w:val="24"/>
        </w:rPr>
        <w:t>According to the EPA</w:t>
      </w:r>
      <w:r>
        <w:rPr>
          <w:rFonts w:ascii="Times New Roman" w:hAnsi="Times New Roman"/>
          <w:sz w:val="24"/>
          <w:szCs w:val="24"/>
        </w:rPr>
        <w:t xml:space="preserve"> (2011)</w:t>
      </w:r>
      <w:r w:rsidRPr="00C0338A">
        <w:rPr>
          <w:rFonts w:ascii="Times New Roman" w:hAnsi="Times New Roman"/>
          <w:sz w:val="24"/>
          <w:szCs w:val="24"/>
        </w:rPr>
        <w:t>,</w:t>
      </w:r>
      <w:r>
        <w:rPr>
          <w:rFonts w:ascii="Times New Roman" w:hAnsi="Times New Roman"/>
          <w:sz w:val="24"/>
          <w:szCs w:val="24"/>
        </w:rPr>
        <w:t xml:space="preserve"> CO</w:t>
      </w:r>
      <w:r>
        <w:rPr>
          <w:rFonts w:ascii="Times New Roman" w:hAnsi="Times New Roman"/>
          <w:sz w:val="24"/>
          <w:szCs w:val="24"/>
          <w:vertAlign w:val="subscript"/>
        </w:rPr>
        <w:t>2</w:t>
      </w:r>
      <w:r>
        <w:rPr>
          <w:rFonts w:ascii="Times New Roman" w:hAnsi="Times New Roman"/>
          <w:sz w:val="24"/>
          <w:szCs w:val="24"/>
        </w:rPr>
        <w:t xml:space="preserve"> is </w:t>
      </w:r>
      <w:r w:rsidRPr="00C0338A">
        <w:rPr>
          <w:rFonts w:ascii="Times New Roman" w:hAnsi="Times New Roman"/>
          <w:sz w:val="24"/>
          <w:szCs w:val="24"/>
        </w:rPr>
        <w:t>the primary greenhouse ga</w:t>
      </w:r>
      <w:r>
        <w:rPr>
          <w:rFonts w:ascii="Times New Roman" w:hAnsi="Times New Roman"/>
          <w:sz w:val="24"/>
          <w:szCs w:val="24"/>
        </w:rPr>
        <w:t>s (GHG) emitted from anthropogenic sources, accounting for 83</w:t>
      </w:r>
      <w:r w:rsidRPr="00C0338A">
        <w:rPr>
          <w:rFonts w:ascii="Times New Roman" w:hAnsi="Times New Roman"/>
          <w:sz w:val="24"/>
          <w:szCs w:val="24"/>
        </w:rPr>
        <w:t>% of the total GHG emissions. Of that percentage, 94</w:t>
      </w:r>
      <w:r>
        <w:rPr>
          <w:rFonts w:ascii="Times New Roman" w:hAnsi="Times New Roman"/>
          <w:sz w:val="24"/>
          <w:szCs w:val="24"/>
        </w:rPr>
        <w:t>.6</w:t>
      </w:r>
      <w:r w:rsidRPr="00C0338A">
        <w:rPr>
          <w:rFonts w:ascii="Times New Roman" w:hAnsi="Times New Roman"/>
          <w:sz w:val="24"/>
          <w:szCs w:val="24"/>
        </w:rPr>
        <w:t xml:space="preserve">% comes from </w:t>
      </w:r>
      <w:r>
        <w:rPr>
          <w:rFonts w:ascii="Times New Roman" w:hAnsi="Times New Roman"/>
          <w:sz w:val="24"/>
          <w:szCs w:val="24"/>
        </w:rPr>
        <w:t>fossil fuel combustion</w:t>
      </w:r>
      <w:r w:rsidRPr="00C0338A">
        <w:rPr>
          <w:rFonts w:ascii="Times New Roman" w:hAnsi="Times New Roman"/>
          <w:sz w:val="24"/>
          <w:szCs w:val="24"/>
        </w:rPr>
        <w:t xml:space="preserve"> </w:t>
      </w:r>
      <w:r>
        <w:rPr>
          <w:rFonts w:ascii="Times New Roman" w:hAnsi="Times New Roman"/>
          <w:noProof/>
          <w:sz w:val="24"/>
          <w:szCs w:val="24"/>
        </w:rPr>
        <w:t>(USEPA, 2011)</w:t>
      </w:r>
      <w:r>
        <w:rPr>
          <w:rFonts w:ascii="Times New Roman" w:hAnsi="Times New Roman"/>
          <w:sz w:val="24"/>
          <w:szCs w:val="24"/>
        </w:rPr>
        <w:t xml:space="preserve">. From 1990 to 2009 total emissions from the energy and agriculture sector grew by 463.3 </w:t>
      </w:r>
      <w:r w:rsidRPr="00906891">
        <w:rPr>
          <w:rFonts w:ascii="Times New Roman" w:hAnsi="Times New Roman"/>
          <w:sz w:val="24"/>
          <w:szCs w:val="24"/>
        </w:rPr>
        <w:t>TgCO</w:t>
      </w:r>
      <w:r w:rsidRPr="00906891">
        <w:rPr>
          <w:rFonts w:ascii="Times New Roman" w:hAnsi="Times New Roman"/>
          <w:sz w:val="24"/>
          <w:szCs w:val="24"/>
          <w:vertAlign w:val="subscript"/>
        </w:rPr>
        <w:t>2</w:t>
      </w:r>
      <w:r>
        <w:rPr>
          <w:rFonts w:ascii="Times New Roman" w:hAnsi="Times New Roman"/>
          <w:sz w:val="24"/>
          <w:szCs w:val="24"/>
        </w:rPr>
        <w:t xml:space="preserve">-Eq (9%) and 35.7 </w:t>
      </w:r>
      <w:r w:rsidRPr="00906891">
        <w:rPr>
          <w:rFonts w:ascii="Times New Roman" w:hAnsi="Times New Roman"/>
          <w:sz w:val="24"/>
          <w:szCs w:val="24"/>
        </w:rPr>
        <w:t>TgCO</w:t>
      </w:r>
      <w:r w:rsidRPr="00906891">
        <w:rPr>
          <w:rFonts w:ascii="Times New Roman" w:hAnsi="Times New Roman"/>
          <w:sz w:val="24"/>
          <w:szCs w:val="24"/>
          <w:vertAlign w:val="subscript"/>
        </w:rPr>
        <w:t>2</w:t>
      </w:r>
      <w:r>
        <w:rPr>
          <w:rFonts w:ascii="Times New Roman" w:hAnsi="Times New Roman"/>
          <w:sz w:val="24"/>
          <w:szCs w:val="24"/>
        </w:rPr>
        <w:t xml:space="preserve">-Eq (9%) respectively </w:t>
      </w:r>
      <w:r>
        <w:rPr>
          <w:rFonts w:ascii="Times New Roman" w:hAnsi="Times New Roman"/>
          <w:noProof/>
          <w:sz w:val="24"/>
          <w:szCs w:val="24"/>
        </w:rPr>
        <w:t>(USEPA, 2011)</w:t>
      </w:r>
      <w:r>
        <w:rPr>
          <w:rFonts w:ascii="Times New Roman" w:hAnsi="Times New Roman"/>
          <w:sz w:val="24"/>
          <w:szCs w:val="24"/>
        </w:rPr>
        <w:t>. C-sequestration increased from land use management by 17% totaling 143.5 TgCO</w:t>
      </w:r>
      <w:r>
        <w:rPr>
          <w:rFonts w:ascii="Times New Roman" w:hAnsi="Times New Roman"/>
          <w:sz w:val="24"/>
          <w:szCs w:val="24"/>
          <w:vertAlign w:val="subscript"/>
        </w:rPr>
        <w:t>2</w:t>
      </w:r>
      <w:r>
        <w:rPr>
          <w:rFonts w:ascii="Times New Roman" w:hAnsi="Times New Roman"/>
          <w:sz w:val="24"/>
          <w:szCs w:val="24"/>
        </w:rPr>
        <w:t xml:space="preserve">-Eq </w:t>
      </w:r>
      <w:r>
        <w:rPr>
          <w:rFonts w:ascii="Times New Roman" w:hAnsi="Times New Roman"/>
          <w:noProof/>
          <w:sz w:val="24"/>
          <w:szCs w:val="24"/>
        </w:rPr>
        <w:t>(USEPA, 2011)</w:t>
      </w:r>
      <w:r>
        <w:rPr>
          <w:rFonts w:ascii="Times New Roman" w:hAnsi="Times New Roman"/>
          <w:sz w:val="24"/>
          <w:szCs w:val="24"/>
        </w:rPr>
        <w:t xml:space="preserve">. </w:t>
      </w:r>
      <w:r>
        <w:rPr>
          <w:rFonts w:ascii="Times New Roman" w:hAnsi="Times New Roman"/>
          <w:sz w:val="24"/>
          <w:szCs w:val="24"/>
          <w:vertAlign w:val="subscript"/>
        </w:rPr>
        <w:t xml:space="preserve"> </w:t>
      </w:r>
      <w:r>
        <w:rPr>
          <w:rFonts w:ascii="Times New Roman" w:hAnsi="Times New Roman"/>
          <w:sz w:val="24"/>
          <w:szCs w:val="24"/>
        </w:rPr>
        <w:t>The</w:t>
      </w:r>
      <w:r w:rsidRPr="00C0338A">
        <w:rPr>
          <w:rFonts w:ascii="Times New Roman" w:hAnsi="Times New Roman"/>
          <w:sz w:val="24"/>
          <w:szCs w:val="24"/>
        </w:rPr>
        <w:t xml:space="preserve"> EPA estimates that 10 to 25% of current GHG emission could be offset through forestry an</w:t>
      </w:r>
      <w:r>
        <w:rPr>
          <w:rFonts w:ascii="Times New Roman" w:hAnsi="Times New Roman"/>
          <w:sz w:val="24"/>
          <w:szCs w:val="24"/>
        </w:rPr>
        <w:t>d agriculture actions (2010</w:t>
      </w:r>
      <w:r w:rsidRPr="00C0338A">
        <w:rPr>
          <w:rFonts w:ascii="Times New Roman" w:hAnsi="Times New Roman"/>
          <w:sz w:val="24"/>
          <w:szCs w:val="24"/>
        </w:rPr>
        <w:t xml:space="preserve">). One action the EPA suggests is bioenergy </w:t>
      </w:r>
      <w:r w:rsidR="00227FF9" w:rsidRPr="00C0338A">
        <w:rPr>
          <w:rFonts w:ascii="Times New Roman" w:hAnsi="Times New Roman"/>
          <w:sz w:val="24"/>
          <w:szCs w:val="24"/>
        </w:rPr>
        <w:t>production</w:t>
      </w:r>
      <w:r w:rsidR="00227FF9">
        <w:rPr>
          <w:rFonts w:ascii="Times New Roman" w:hAnsi="Times New Roman"/>
          <w:noProof/>
          <w:sz w:val="24"/>
          <w:szCs w:val="24"/>
        </w:rPr>
        <w:t xml:space="preserve"> (</w:t>
      </w:r>
      <w:r>
        <w:rPr>
          <w:rFonts w:ascii="Times New Roman" w:hAnsi="Times New Roman"/>
          <w:noProof/>
          <w:sz w:val="24"/>
          <w:szCs w:val="24"/>
        </w:rPr>
        <w:t>USEPA, 2010)</w:t>
      </w:r>
      <w:r w:rsidRPr="00C0338A">
        <w:rPr>
          <w:rFonts w:ascii="Times New Roman" w:hAnsi="Times New Roman"/>
          <w:sz w:val="24"/>
          <w:szCs w:val="24"/>
        </w:rPr>
        <w:t xml:space="preserve">. </w:t>
      </w:r>
    </w:p>
    <w:p w:rsidR="00F24219" w:rsidRPr="00C0338A" w:rsidRDefault="00F24219" w:rsidP="00265C65">
      <w:pPr>
        <w:pStyle w:val="NoSpacing"/>
        <w:spacing w:line="480" w:lineRule="auto"/>
        <w:ind w:firstLine="720"/>
        <w:rPr>
          <w:rFonts w:ascii="Times New Roman" w:hAnsi="Times New Roman"/>
          <w:sz w:val="24"/>
          <w:szCs w:val="24"/>
        </w:rPr>
      </w:pPr>
      <w:r w:rsidRPr="00C0338A">
        <w:rPr>
          <w:rFonts w:ascii="Times New Roman" w:hAnsi="Times New Roman"/>
          <w:sz w:val="24"/>
          <w:szCs w:val="24"/>
        </w:rPr>
        <w:t xml:space="preserve">Increasing national and international concerns regarding climate change, and the push to meet the goal of replacing 30% of fossil fuels with biofuels by 2030 has </w:t>
      </w:r>
      <w:r>
        <w:rPr>
          <w:rFonts w:ascii="Times New Roman" w:hAnsi="Times New Roman"/>
          <w:sz w:val="24"/>
          <w:szCs w:val="24"/>
        </w:rPr>
        <w:t>created an</w:t>
      </w:r>
      <w:r w:rsidRPr="00C0338A">
        <w:rPr>
          <w:rFonts w:ascii="Times New Roman" w:hAnsi="Times New Roman"/>
          <w:sz w:val="24"/>
          <w:szCs w:val="24"/>
        </w:rPr>
        <w:t xml:space="preserve"> increasing need for research relevant to the environmental implications of growing bioenergy crops </w:t>
      </w:r>
      <w:r w:rsidRPr="00C0338A">
        <w:rPr>
          <w:rFonts w:ascii="Times New Roman" w:hAnsi="Times New Roman"/>
          <w:noProof/>
          <w:sz w:val="24"/>
          <w:szCs w:val="24"/>
        </w:rPr>
        <w:t>(Blanco-Canqui, 2010; Follett, 2010)</w:t>
      </w:r>
      <w:r w:rsidRPr="00C0338A">
        <w:rPr>
          <w:rFonts w:ascii="Times New Roman" w:hAnsi="Times New Roman"/>
          <w:sz w:val="24"/>
          <w:szCs w:val="24"/>
        </w:rPr>
        <w:t>.  The United States is trying to implement policy based on sound science regarding biofuels. Oak Ridge National Laboratory (ORNL), the Roundtable on Sustainable Biofuels (RSB, 2010), U.S. Biomass Research and Development Board, Global Bioenergy Partnership (GBEP, 2010), and the Council on Sustainable Biomass Production (CSBP, 2010) are all working to develop sustainability indicators so sound polic</w:t>
      </w:r>
      <w:r>
        <w:rPr>
          <w:rFonts w:ascii="Times New Roman" w:hAnsi="Times New Roman"/>
          <w:sz w:val="24"/>
          <w:szCs w:val="24"/>
        </w:rPr>
        <w:t>ies</w:t>
      </w:r>
      <w:r w:rsidRPr="00C0338A">
        <w:rPr>
          <w:rFonts w:ascii="Times New Roman" w:hAnsi="Times New Roman"/>
          <w:sz w:val="24"/>
          <w:szCs w:val="24"/>
        </w:rPr>
        <w:t xml:space="preserve"> regardin</w:t>
      </w:r>
      <w:r>
        <w:rPr>
          <w:rFonts w:ascii="Times New Roman" w:hAnsi="Times New Roman"/>
          <w:sz w:val="24"/>
          <w:szCs w:val="24"/>
        </w:rPr>
        <w:t>g biofuel production can be implemented</w:t>
      </w:r>
      <w:r w:rsidRPr="00C0338A">
        <w:rPr>
          <w:rFonts w:ascii="Times New Roman" w:hAnsi="Times New Roman"/>
          <w:sz w:val="24"/>
          <w:szCs w:val="24"/>
        </w:rPr>
        <w:t xml:space="preserve"> around the world </w:t>
      </w:r>
      <w:r>
        <w:rPr>
          <w:rFonts w:ascii="Times New Roman" w:hAnsi="Times New Roman"/>
          <w:noProof/>
          <w:sz w:val="24"/>
          <w:szCs w:val="24"/>
        </w:rPr>
        <w:t>(McBride et al., 2011)</w:t>
      </w:r>
      <w:r>
        <w:rPr>
          <w:rFonts w:ascii="Times New Roman" w:hAnsi="Times New Roman"/>
          <w:sz w:val="24"/>
          <w:szCs w:val="24"/>
        </w:rPr>
        <w:t>.</w:t>
      </w:r>
      <w:r w:rsidRPr="00C0338A">
        <w:rPr>
          <w:rFonts w:ascii="Times New Roman" w:hAnsi="Times New Roman"/>
          <w:sz w:val="24"/>
          <w:szCs w:val="24"/>
        </w:rPr>
        <w:t xml:space="preserve"> Thus far</w:t>
      </w:r>
      <w:r>
        <w:rPr>
          <w:rFonts w:ascii="Times New Roman" w:hAnsi="Times New Roman"/>
          <w:sz w:val="24"/>
          <w:szCs w:val="24"/>
        </w:rPr>
        <w:t>,</w:t>
      </w:r>
      <w:r w:rsidRPr="00C0338A">
        <w:rPr>
          <w:rFonts w:ascii="Times New Roman" w:hAnsi="Times New Roman"/>
          <w:sz w:val="24"/>
          <w:szCs w:val="24"/>
        </w:rPr>
        <w:t xml:space="preserve"> </w:t>
      </w:r>
      <w:r>
        <w:rPr>
          <w:rFonts w:ascii="Times New Roman" w:hAnsi="Times New Roman"/>
          <w:sz w:val="24"/>
          <w:szCs w:val="24"/>
        </w:rPr>
        <w:t>nineteen</w:t>
      </w:r>
      <w:r w:rsidRPr="00C0338A">
        <w:rPr>
          <w:rFonts w:ascii="Times New Roman" w:hAnsi="Times New Roman"/>
          <w:sz w:val="24"/>
          <w:szCs w:val="24"/>
        </w:rPr>
        <w:t xml:space="preserve"> indicators in six categories have been chosen to assess sustainability of biofuels </w:t>
      </w:r>
      <w:r>
        <w:rPr>
          <w:rFonts w:ascii="Times New Roman" w:hAnsi="Times New Roman"/>
          <w:noProof/>
          <w:sz w:val="24"/>
          <w:szCs w:val="24"/>
        </w:rPr>
        <w:t>(McBride et al., 2011)</w:t>
      </w:r>
      <w:r w:rsidRPr="00C0338A">
        <w:rPr>
          <w:rFonts w:ascii="Times New Roman" w:hAnsi="Times New Roman"/>
          <w:sz w:val="24"/>
          <w:szCs w:val="24"/>
        </w:rPr>
        <w:t xml:space="preserve">. </w:t>
      </w:r>
      <w:r>
        <w:rPr>
          <w:rFonts w:ascii="Times New Roman" w:hAnsi="Times New Roman"/>
          <w:sz w:val="24"/>
          <w:szCs w:val="24"/>
        </w:rPr>
        <w:t>This paper addresses t</w:t>
      </w:r>
      <w:r w:rsidRPr="00C0338A">
        <w:rPr>
          <w:rFonts w:ascii="Times New Roman" w:hAnsi="Times New Roman"/>
          <w:sz w:val="24"/>
          <w:szCs w:val="24"/>
        </w:rPr>
        <w:t xml:space="preserve">he categories of soil quality and greenhouse gases from switchgrass </w:t>
      </w:r>
      <w:r w:rsidRPr="00C0338A">
        <w:rPr>
          <w:rFonts w:ascii="Times New Roman" w:hAnsi="Times New Roman"/>
          <w:sz w:val="24"/>
          <w:szCs w:val="24"/>
        </w:rPr>
        <w:lastRenderedPageBreak/>
        <w:t>biofuel production</w:t>
      </w:r>
      <w:r>
        <w:rPr>
          <w:rFonts w:ascii="Times New Roman" w:hAnsi="Times New Roman"/>
          <w:sz w:val="24"/>
          <w:szCs w:val="24"/>
        </w:rPr>
        <w:t>.</w:t>
      </w:r>
      <w:r w:rsidRPr="00C0338A">
        <w:rPr>
          <w:rFonts w:ascii="Times New Roman" w:hAnsi="Times New Roman"/>
          <w:sz w:val="24"/>
          <w:szCs w:val="24"/>
        </w:rPr>
        <w:t xml:space="preserve"> </w:t>
      </w:r>
      <w:r>
        <w:rPr>
          <w:rFonts w:ascii="Times New Roman" w:hAnsi="Times New Roman"/>
          <w:sz w:val="24"/>
          <w:szCs w:val="24"/>
        </w:rPr>
        <w:t>Previous research in the past few decades</w:t>
      </w:r>
      <w:r w:rsidRPr="00C0338A">
        <w:rPr>
          <w:rFonts w:ascii="Times New Roman" w:hAnsi="Times New Roman"/>
          <w:sz w:val="24"/>
          <w:szCs w:val="24"/>
        </w:rPr>
        <w:t xml:space="preserve"> has focused on bioenergy production in the hopes of achieving higher biomass generation for biofuel production</w:t>
      </w:r>
      <w:r>
        <w:rPr>
          <w:rFonts w:ascii="Times New Roman" w:hAnsi="Times New Roman"/>
          <w:sz w:val="24"/>
          <w:szCs w:val="24"/>
        </w:rPr>
        <w:t>. R</w:t>
      </w:r>
      <w:r w:rsidRPr="00C0338A">
        <w:rPr>
          <w:rFonts w:ascii="Times New Roman" w:hAnsi="Times New Roman"/>
          <w:sz w:val="24"/>
          <w:szCs w:val="24"/>
        </w:rPr>
        <w:t>esearch regarding soil environmental consequences from bioenergy crops</w:t>
      </w:r>
      <w:r>
        <w:rPr>
          <w:rFonts w:ascii="Times New Roman" w:hAnsi="Times New Roman"/>
          <w:sz w:val="24"/>
          <w:szCs w:val="24"/>
        </w:rPr>
        <w:t xml:space="preserve"> is</w:t>
      </w:r>
      <w:r w:rsidRPr="00C0338A">
        <w:rPr>
          <w:rFonts w:ascii="Times New Roman" w:hAnsi="Times New Roman"/>
          <w:sz w:val="24"/>
          <w:szCs w:val="24"/>
        </w:rPr>
        <w:t xml:space="preserve"> incomplete on both a local and national leve</w:t>
      </w:r>
      <w:r>
        <w:rPr>
          <w:rFonts w:ascii="Times New Roman" w:hAnsi="Times New Roman"/>
          <w:sz w:val="24"/>
          <w:szCs w:val="24"/>
        </w:rPr>
        <w:t>l.</w:t>
      </w:r>
    </w:p>
    <w:p w:rsidR="00F24219" w:rsidRDefault="00F24219" w:rsidP="00265C65">
      <w:pPr>
        <w:pStyle w:val="NoSpacing"/>
        <w:spacing w:line="480" w:lineRule="auto"/>
        <w:ind w:firstLine="720"/>
        <w:rPr>
          <w:rFonts w:ascii="Times New Roman" w:hAnsi="Times New Roman"/>
          <w:sz w:val="24"/>
          <w:szCs w:val="24"/>
        </w:rPr>
      </w:pPr>
      <w:r w:rsidRPr="00C0338A">
        <w:rPr>
          <w:rFonts w:ascii="Times New Roman" w:hAnsi="Times New Roman"/>
          <w:sz w:val="24"/>
          <w:szCs w:val="24"/>
        </w:rPr>
        <w:t xml:space="preserve">Bioenergy crops are any plant material that can be used to produce bioenergy. These crops are chosen by their capacity to produce large volumes of biomass, high energy potential, and can be grown in marginal soils </w:t>
      </w:r>
      <w:r w:rsidRPr="00C0338A">
        <w:rPr>
          <w:rFonts w:ascii="Times New Roman" w:hAnsi="Times New Roman"/>
          <w:noProof/>
          <w:sz w:val="24"/>
          <w:szCs w:val="24"/>
        </w:rPr>
        <w:t>(Lemus and Lal, 2005)</w:t>
      </w:r>
      <w:r w:rsidRPr="00C0338A">
        <w:rPr>
          <w:rFonts w:ascii="Times New Roman" w:hAnsi="Times New Roman"/>
          <w:sz w:val="24"/>
          <w:szCs w:val="24"/>
        </w:rPr>
        <w:t xml:space="preserve">. Several crops stand out as potential bioenergy feedstock including corn, switchgrass, hybrid poplar, willows, high-diversity grasslands, and soybeans </w:t>
      </w:r>
      <w:r>
        <w:rPr>
          <w:rFonts w:ascii="Times New Roman" w:hAnsi="Times New Roman"/>
          <w:noProof/>
          <w:sz w:val="24"/>
          <w:szCs w:val="24"/>
        </w:rPr>
        <w:t>(Groom et al., 2008; McLaughlin and Kszos, 2005)</w:t>
      </w:r>
      <w:r w:rsidRPr="00C0338A">
        <w:rPr>
          <w:rFonts w:ascii="Times New Roman" w:hAnsi="Times New Roman"/>
          <w:sz w:val="24"/>
          <w:szCs w:val="24"/>
        </w:rPr>
        <w:t>. Currently corn is the primary supply of biofuels</w:t>
      </w:r>
      <w:r>
        <w:rPr>
          <w:rFonts w:ascii="Times New Roman" w:hAnsi="Times New Roman"/>
          <w:sz w:val="24"/>
          <w:szCs w:val="24"/>
        </w:rPr>
        <w:t xml:space="preserve"> in the United States</w:t>
      </w:r>
      <w:r w:rsidRPr="00C0338A">
        <w:rPr>
          <w:rFonts w:ascii="Times New Roman" w:hAnsi="Times New Roman"/>
          <w:sz w:val="24"/>
          <w:szCs w:val="24"/>
        </w:rPr>
        <w:t>; however the</w:t>
      </w:r>
      <w:r>
        <w:rPr>
          <w:rFonts w:ascii="Times New Roman" w:hAnsi="Times New Roman"/>
          <w:sz w:val="24"/>
          <w:szCs w:val="24"/>
        </w:rPr>
        <w:t xml:space="preserve"> high</w:t>
      </w:r>
      <w:r w:rsidRPr="00C0338A">
        <w:rPr>
          <w:rFonts w:ascii="Times New Roman" w:hAnsi="Times New Roman"/>
          <w:sz w:val="24"/>
          <w:szCs w:val="24"/>
        </w:rPr>
        <w:t xml:space="preserve"> water requirements and fertilizer inputs make corn an unsuitable alternative to petroleum</w:t>
      </w:r>
      <w:r>
        <w:rPr>
          <w:rFonts w:ascii="Times New Roman" w:hAnsi="Times New Roman"/>
          <w:sz w:val="24"/>
          <w:szCs w:val="24"/>
        </w:rPr>
        <w:t xml:space="preserve"> </w:t>
      </w:r>
      <w:r>
        <w:rPr>
          <w:rFonts w:ascii="Times New Roman" w:hAnsi="Times New Roman"/>
          <w:noProof/>
          <w:sz w:val="24"/>
          <w:szCs w:val="24"/>
        </w:rPr>
        <w:t>(Dale et al., 2011; McLaughlin and Kszos, 2005)</w:t>
      </w:r>
      <w:r w:rsidRPr="00C0338A">
        <w:rPr>
          <w:rFonts w:ascii="Times New Roman" w:hAnsi="Times New Roman"/>
          <w:sz w:val="24"/>
          <w:szCs w:val="24"/>
        </w:rPr>
        <w:t>.</w:t>
      </w:r>
    </w:p>
    <w:p w:rsidR="00F24219" w:rsidRDefault="00F24219" w:rsidP="00265C65"/>
    <w:p w:rsidR="00F24219" w:rsidRDefault="00243C89" w:rsidP="000F102B">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ent Placeholder 3" o:spid="_x0000_i1025" type="#_x0000_t75" style="width:5in;height:255.75pt;visibility:visible">
            <v:imagedata r:id="rId12" o:title=""/>
            <o:lock v:ext="edit" grouping="t"/>
          </v:shape>
        </w:pict>
      </w:r>
    </w:p>
    <w:p w:rsidR="00F24219" w:rsidRDefault="00F24219" w:rsidP="00265C65">
      <w:pPr>
        <w:pStyle w:val="NormalWeb"/>
        <w:spacing w:before="0" w:beforeAutospacing="0" w:after="0" w:afterAutospacing="0"/>
      </w:pPr>
      <w:r w:rsidRPr="00A75915">
        <w:rPr>
          <w:b/>
        </w:rPr>
        <w:t xml:space="preserve">Figure 0.1 </w:t>
      </w:r>
      <w:r>
        <w:rPr>
          <w:b/>
        </w:rPr>
        <w:t>D</w:t>
      </w:r>
      <w:r w:rsidRPr="00A75915">
        <w:rPr>
          <w:b/>
        </w:rPr>
        <w:t>istribution of switchgrass production</w:t>
      </w:r>
      <w:r>
        <w:rPr>
          <w:b/>
        </w:rPr>
        <w:t xml:space="preserve"> - </w:t>
      </w:r>
      <w:r>
        <w:rPr>
          <w:b/>
          <w:noProof/>
        </w:rPr>
        <w:t>(USDA)</w:t>
      </w:r>
    </w:p>
    <w:p w:rsidR="00F24219" w:rsidRPr="00A75915" w:rsidRDefault="00F24219" w:rsidP="00265C65">
      <w:pPr>
        <w:pStyle w:val="NoSpacing"/>
        <w:spacing w:line="480" w:lineRule="auto"/>
        <w:ind w:firstLine="720"/>
        <w:rPr>
          <w:rFonts w:ascii="Times New Roman" w:hAnsi="Times New Roman"/>
          <w:sz w:val="24"/>
          <w:szCs w:val="24"/>
        </w:rPr>
      </w:pPr>
    </w:p>
    <w:p w:rsidR="00F24219" w:rsidRPr="00C0338A" w:rsidRDefault="00F24219" w:rsidP="00265C65">
      <w:pPr>
        <w:pStyle w:val="NoSpacing"/>
        <w:spacing w:line="480" w:lineRule="auto"/>
        <w:ind w:firstLine="720"/>
        <w:rPr>
          <w:rFonts w:ascii="Times New Roman" w:hAnsi="Times New Roman"/>
          <w:sz w:val="24"/>
          <w:szCs w:val="24"/>
        </w:rPr>
      </w:pPr>
      <w:r w:rsidRPr="00C0338A">
        <w:rPr>
          <w:rFonts w:ascii="Times New Roman" w:hAnsi="Times New Roman"/>
          <w:sz w:val="24"/>
          <w:szCs w:val="24"/>
        </w:rPr>
        <w:t xml:space="preserve">Since 1978, The Bioenergy Feedstock Development Program (BFDP), initiated at ORNL under The Department of Energy (DOE) sponsorship, has researched a vast array of potential bioenergy feedstock </w:t>
      </w:r>
      <w:r w:rsidRPr="00C0338A">
        <w:rPr>
          <w:rFonts w:ascii="Times New Roman" w:hAnsi="Times New Roman"/>
          <w:noProof/>
          <w:sz w:val="24"/>
          <w:szCs w:val="24"/>
        </w:rPr>
        <w:t>(McLaughlin and Kszos, 2005)</w:t>
      </w:r>
      <w:r w:rsidRPr="00C0338A">
        <w:rPr>
          <w:rFonts w:ascii="Times New Roman" w:hAnsi="Times New Roman"/>
          <w:sz w:val="24"/>
          <w:szCs w:val="24"/>
        </w:rPr>
        <w:t>. The focus of the program has been to find the most promising bioenergy feedstock based on productivity levels, intensity and type of management requirements, environmental attributes, and potential economic returns to the producers</w:t>
      </w:r>
      <w:r>
        <w:rPr>
          <w:rFonts w:ascii="Times New Roman" w:hAnsi="Times New Roman"/>
          <w:sz w:val="24"/>
          <w:szCs w:val="24"/>
        </w:rPr>
        <w:t xml:space="preserve"> </w:t>
      </w:r>
      <w:r>
        <w:rPr>
          <w:rFonts w:ascii="Times New Roman" w:hAnsi="Times New Roman"/>
          <w:noProof/>
          <w:sz w:val="24"/>
          <w:szCs w:val="24"/>
        </w:rPr>
        <w:t>(McLaughlin and Kszos, 2005)</w:t>
      </w:r>
      <w:r w:rsidRPr="00C0338A">
        <w:rPr>
          <w:rFonts w:ascii="Times New Roman" w:hAnsi="Times New Roman"/>
          <w:sz w:val="24"/>
          <w:szCs w:val="24"/>
        </w:rPr>
        <w:t xml:space="preserve">.  The BFDP chose switchgrass as one of the most promising potential feedstock for bioenergy production </w:t>
      </w:r>
      <w:r w:rsidRPr="00C0338A">
        <w:rPr>
          <w:rFonts w:ascii="Times New Roman" w:hAnsi="Times New Roman"/>
          <w:noProof/>
          <w:sz w:val="24"/>
          <w:szCs w:val="24"/>
        </w:rPr>
        <w:t>(McLaughlin and Kszos, 2005)</w:t>
      </w:r>
      <w:r w:rsidRPr="00C0338A">
        <w:rPr>
          <w:rFonts w:ascii="Times New Roman" w:hAnsi="Times New Roman"/>
          <w:sz w:val="24"/>
          <w:szCs w:val="24"/>
        </w:rPr>
        <w:t>. The characteristics of switchgrass that led to this emphasis were the high levels of productivity compared with other species, its perennial nature that reduces management intensity and input needs, its ability to protect against erosion and restore soil carbon, wildlife habitat, its adaptability to poor soil, and farmers’ familiarity with the production of grasses</w:t>
      </w:r>
      <w:r>
        <w:rPr>
          <w:rFonts w:ascii="Times New Roman" w:hAnsi="Times New Roman"/>
          <w:sz w:val="24"/>
          <w:szCs w:val="24"/>
        </w:rPr>
        <w:t xml:space="preserve"> </w:t>
      </w:r>
      <w:r w:rsidRPr="00C0338A">
        <w:rPr>
          <w:rFonts w:ascii="Times New Roman" w:hAnsi="Times New Roman"/>
          <w:noProof/>
          <w:sz w:val="24"/>
          <w:szCs w:val="24"/>
        </w:rPr>
        <w:t>(McLaughlin and Kszos, 2005)</w:t>
      </w:r>
      <w:r w:rsidRPr="00C0338A">
        <w:rPr>
          <w:rFonts w:ascii="Times New Roman" w:hAnsi="Times New Roman"/>
          <w:sz w:val="24"/>
          <w:szCs w:val="24"/>
        </w:rPr>
        <w:t xml:space="preserve">. Because of the potential of biofuel production from switchgrass and the high yield potential in the Southeastern United States, it </w:t>
      </w:r>
      <w:r>
        <w:rPr>
          <w:rFonts w:ascii="Times New Roman" w:hAnsi="Times New Roman"/>
          <w:sz w:val="24"/>
          <w:szCs w:val="24"/>
        </w:rPr>
        <w:t xml:space="preserve">commands the research initiative in regard to the soil system and carbon dynamics related to its production. Current research </w:t>
      </w:r>
      <w:r w:rsidRPr="00C0338A">
        <w:rPr>
          <w:rFonts w:ascii="Times New Roman" w:hAnsi="Times New Roman"/>
          <w:sz w:val="24"/>
          <w:szCs w:val="24"/>
        </w:rPr>
        <w:t>call</w:t>
      </w:r>
      <w:r>
        <w:rPr>
          <w:rFonts w:ascii="Times New Roman" w:hAnsi="Times New Roman"/>
          <w:sz w:val="24"/>
          <w:szCs w:val="24"/>
        </w:rPr>
        <w:t>s</w:t>
      </w:r>
      <w:r w:rsidRPr="00C0338A">
        <w:rPr>
          <w:rFonts w:ascii="Times New Roman" w:hAnsi="Times New Roman"/>
          <w:sz w:val="24"/>
          <w:szCs w:val="24"/>
        </w:rPr>
        <w:t xml:space="preserve"> for a systematic assessment of the roles of bioenergy crops in the C-cycle for evaluating the potential of SOC sequestratio</w:t>
      </w:r>
      <w:r>
        <w:rPr>
          <w:rFonts w:ascii="Times New Roman" w:hAnsi="Times New Roman"/>
          <w:sz w:val="24"/>
          <w:szCs w:val="24"/>
        </w:rPr>
        <w:t xml:space="preserve">n </w:t>
      </w:r>
      <w:r>
        <w:rPr>
          <w:rFonts w:ascii="Times New Roman" w:hAnsi="Times New Roman"/>
          <w:noProof/>
          <w:sz w:val="24"/>
          <w:szCs w:val="24"/>
        </w:rPr>
        <w:t>(Lemus and Lal, 2005)</w:t>
      </w:r>
      <w:r>
        <w:rPr>
          <w:rFonts w:ascii="Times New Roman" w:hAnsi="Times New Roman"/>
          <w:sz w:val="24"/>
          <w:szCs w:val="24"/>
        </w:rPr>
        <w:t>. This study was</w:t>
      </w:r>
      <w:r w:rsidRPr="00C0338A">
        <w:rPr>
          <w:rFonts w:ascii="Times New Roman" w:hAnsi="Times New Roman"/>
          <w:sz w:val="24"/>
          <w:szCs w:val="24"/>
        </w:rPr>
        <w:t xml:space="preserve"> directed to fill some of the information gaps in soil carbon dynamics under switchgrass used for bioenergy</w:t>
      </w:r>
      <w:r>
        <w:rPr>
          <w:rFonts w:ascii="Times New Roman" w:hAnsi="Times New Roman"/>
          <w:sz w:val="24"/>
          <w:szCs w:val="24"/>
        </w:rPr>
        <w:t xml:space="preserve"> feedstock</w:t>
      </w:r>
      <w:r w:rsidRPr="00C0338A">
        <w:rPr>
          <w:rFonts w:ascii="Times New Roman" w:hAnsi="Times New Roman"/>
          <w:sz w:val="24"/>
          <w:szCs w:val="24"/>
        </w:rPr>
        <w:t>.</w:t>
      </w:r>
    </w:p>
    <w:p w:rsidR="00F24219" w:rsidRPr="00C0338A" w:rsidRDefault="00F24219" w:rsidP="00265C65">
      <w:pPr>
        <w:pStyle w:val="NoSpacing"/>
        <w:spacing w:line="480" w:lineRule="auto"/>
        <w:ind w:firstLine="720"/>
        <w:rPr>
          <w:rFonts w:ascii="Times New Roman" w:hAnsi="Times New Roman"/>
          <w:sz w:val="24"/>
          <w:szCs w:val="24"/>
        </w:rPr>
      </w:pPr>
      <w:r w:rsidRPr="00C0338A">
        <w:rPr>
          <w:rFonts w:ascii="Times New Roman" w:hAnsi="Times New Roman"/>
          <w:sz w:val="24"/>
          <w:szCs w:val="24"/>
        </w:rPr>
        <w:t>The</w:t>
      </w:r>
      <w:r>
        <w:rPr>
          <w:rFonts w:ascii="Times New Roman" w:hAnsi="Times New Roman"/>
          <w:sz w:val="24"/>
          <w:szCs w:val="24"/>
        </w:rPr>
        <w:t xml:space="preserve"> primary</w:t>
      </w:r>
      <w:r w:rsidRPr="00C0338A">
        <w:rPr>
          <w:rFonts w:ascii="Times New Roman" w:hAnsi="Times New Roman"/>
          <w:sz w:val="24"/>
          <w:szCs w:val="24"/>
        </w:rPr>
        <w:t xml:space="preserve"> benefit of growing bioenergy crops on marginal soils is to protect the soils from erosion and rebuild the nutrient stores, while not displacing fertile soil used for </w:t>
      </w:r>
      <w:r w:rsidRPr="00C0338A">
        <w:rPr>
          <w:rFonts w:ascii="Times New Roman" w:hAnsi="Times New Roman"/>
          <w:sz w:val="24"/>
          <w:szCs w:val="24"/>
        </w:rPr>
        <w:lastRenderedPageBreak/>
        <w:t xml:space="preserve">growing food </w:t>
      </w:r>
      <w:r w:rsidRPr="00C0338A">
        <w:rPr>
          <w:rFonts w:ascii="Times New Roman" w:hAnsi="Times New Roman"/>
          <w:noProof/>
          <w:sz w:val="24"/>
          <w:szCs w:val="24"/>
        </w:rPr>
        <w:t>(McLaughlin and Kszos, 2005)</w:t>
      </w:r>
      <w:r w:rsidRPr="00C0338A">
        <w:rPr>
          <w:rFonts w:ascii="Times New Roman" w:hAnsi="Times New Roman"/>
          <w:sz w:val="24"/>
          <w:szCs w:val="24"/>
        </w:rPr>
        <w:t xml:space="preserve">. Marginal soils result from long term cultivation or mine disturbance. Three major causes of soil degradation are deforestation (29.4%), overgrazing (34.5%), and intensive agriculture (28.1%) </w:t>
      </w:r>
      <w:r w:rsidRPr="00C0338A">
        <w:rPr>
          <w:rFonts w:ascii="Times New Roman" w:hAnsi="Times New Roman"/>
          <w:noProof/>
          <w:sz w:val="24"/>
          <w:szCs w:val="24"/>
        </w:rPr>
        <w:t>(Lemus and Lal, 2005)</w:t>
      </w:r>
      <w:r w:rsidRPr="00C0338A">
        <w:rPr>
          <w:rFonts w:ascii="Times New Roman" w:hAnsi="Times New Roman"/>
          <w:sz w:val="24"/>
          <w:szCs w:val="24"/>
        </w:rPr>
        <w:t>. The United States has 10.8</w:t>
      </w:r>
      <w:r>
        <w:rPr>
          <w:rFonts w:ascii="Times New Roman" w:hAnsi="Times New Roman"/>
          <w:sz w:val="24"/>
          <w:szCs w:val="24"/>
        </w:rPr>
        <w:t xml:space="preserve"> </w:t>
      </w:r>
      <w:r w:rsidRPr="00C0338A">
        <w:rPr>
          <w:rFonts w:ascii="Times New Roman" w:hAnsi="Times New Roman"/>
          <w:sz w:val="24"/>
          <w:szCs w:val="24"/>
        </w:rPr>
        <w:t xml:space="preserve">Mha of severely eroded soils that could benefit from growing bioenergy crops </w:t>
      </w:r>
      <w:r w:rsidRPr="00C0338A">
        <w:rPr>
          <w:rFonts w:ascii="Times New Roman" w:hAnsi="Times New Roman"/>
          <w:noProof/>
          <w:sz w:val="24"/>
          <w:szCs w:val="24"/>
        </w:rPr>
        <w:t>(Lemus and Lal, 2005)</w:t>
      </w:r>
      <w:r w:rsidRPr="00C0338A">
        <w:rPr>
          <w:rFonts w:ascii="Times New Roman" w:hAnsi="Times New Roman"/>
          <w:sz w:val="24"/>
          <w:szCs w:val="24"/>
        </w:rPr>
        <w:t xml:space="preserve">. In Tennessee there are 168,100 ha of severely eroded land and 83,500 ha of mined land equaling 2.31% of total land in Tennessee that can potentially be restored by producing bioenergy feedstock </w:t>
      </w:r>
      <w:r w:rsidRPr="00C0338A">
        <w:rPr>
          <w:rFonts w:ascii="Times New Roman" w:hAnsi="Times New Roman"/>
          <w:noProof/>
          <w:sz w:val="24"/>
          <w:szCs w:val="24"/>
        </w:rPr>
        <w:t>(Lal, 2004)</w:t>
      </w:r>
      <w:r w:rsidRPr="00C0338A">
        <w:rPr>
          <w:rFonts w:ascii="Times New Roman" w:hAnsi="Times New Roman"/>
          <w:sz w:val="24"/>
          <w:szCs w:val="24"/>
        </w:rPr>
        <w:t xml:space="preserve">. Soils in the southeastern region have a high potential for SOC sequestration due to their low SOC content from long term cropping and high temperature and precipitation </w:t>
      </w:r>
      <w:r w:rsidRPr="00C0338A">
        <w:rPr>
          <w:rFonts w:ascii="Times New Roman" w:hAnsi="Times New Roman"/>
          <w:noProof/>
          <w:sz w:val="24"/>
          <w:szCs w:val="24"/>
        </w:rPr>
        <w:t>(Tolbert</w:t>
      </w:r>
      <w:r w:rsidRPr="00C0338A">
        <w:rPr>
          <w:rFonts w:ascii="Times New Roman" w:hAnsi="Times New Roman"/>
          <w:i/>
          <w:noProof/>
          <w:sz w:val="24"/>
          <w:szCs w:val="24"/>
        </w:rPr>
        <w:t xml:space="preserve"> et al.</w:t>
      </w:r>
      <w:r w:rsidRPr="00C0338A">
        <w:rPr>
          <w:rFonts w:ascii="Times New Roman" w:hAnsi="Times New Roman"/>
          <w:noProof/>
          <w:sz w:val="24"/>
          <w:szCs w:val="24"/>
        </w:rPr>
        <w:t>, 2002)</w:t>
      </w:r>
      <w:r w:rsidRPr="00C0338A">
        <w:rPr>
          <w:rFonts w:ascii="Times New Roman" w:hAnsi="Times New Roman"/>
          <w:sz w:val="24"/>
          <w:szCs w:val="24"/>
        </w:rPr>
        <w:t xml:space="preserve">. </w:t>
      </w:r>
      <w:bookmarkStart w:id="2" w:name="_Toc143332847"/>
    </w:p>
    <w:p w:rsidR="00F24219" w:rsidRPr="00C0338A" w:rsidRDefault="00F24219" w:rsidP="00265C65">
      <w:pPr>
        <w:numPr>
          <w:ilvl w:val="12"/>
          <w:numId w:val="0"/>
        </w:numPr>
        <w:spacing w:line="480" w:lineRule="auto"/>
        <w:rPr>
          <w:b/>
        </w:rPr>
      </w:pPr>
      <w:r w:rsidRPr="00C0338A">
        <w:rPr>
          <w:b/>
        </w:rPr>
        <w:t>Goals</w:t>
      </w:r>
    </w:p>
    <w:p w:rsidR="00F24219" w:rsidRPr="00C0338A" w:rsidRDefault="00F24219" w:rsidP="00265C65">
      <w:pPr>
        <w:numPr>
          <w:ilvl w:val="12"/>
          <w:numId w:val="0"/>
        </w:numPr>
        <w:spacing w:line="480" w:lineRule="auto"/>
      </w:pPr>
      <w:r w:rsidRPr="00C0338A">
        <w:t xml:space="preserve"> </w:t>
      </w:r>
      <w:r w:rsidRPr="00C0338A">
        <w:tab/>
        <w:t xml:space="preserve">The specific </w:t>
      </w:r>
      <w:r>
        <w:t>obj</w:t>
      </w:r>
      <w:r w:rsidR="00754729">
        <w:t>ectives of this study</w:t>
      </w:r>
      <w:r>
        <w:t xml:space="preserve">  were</w:t>
      </w:r>
      <w:r w:rsidRPr="00C0338A">
        <w:t xml:space="preserve">  1) to measure SOC under switchgrass production </w:t>
      </w:r>
      <w:r>
        <w:t xml:space="preserve">in order </w:t>
      </w:r>
      <w:r w:rsidR="00754729">
        <w:t>to predict</w:t>
      </w:r>
      <w:r w:rsidRPr="00C0338A">
        <w:t xml:space="preserve"> storage of carbon in soils based on previous cropping history, land management, soil physical characteristics, and </w:t>
      </w:r>
      <w:r w:rsidR="00754729">
        <w:t>time</w:t>
      </w:r>
      <w:r>
        <w:t>; and to  2) measure</w:t>
      </w:r>
      <w:r w:rsidRPr="00C0338A">
        <w:t xml:space="preserve"> soil </w:t>
      </w:r>
      <w:r w:rsidR="00754729">
        <w:t>CO</w:t>
      </w:r>
      <w:r w:rsidR="00754729">
        <w:rPr>
          <w:vertAlign w:val="subscript"/>
        </w:rPr>
        <w:t>2</w:t>
      </w:r>
      <w:r w:rsidR="00754729">
        <w:t xml:space="preserve"> flux</w:t>
      </w:r>
      <w:r w:rsidRPr="00C0338A">
        <w:t xml:space="preserve"> through the entire year to establish a) the annual, seasonal, and daily respiration</w:t>
      </w:r>
      <w:r>
        <w:t xml:space="preserve"> rates, and b) use this data with</w:t>
      </w:r>
      <w:r w:rsidRPr="00C0338A">
        <w:t xml:space="preserve"> soil carbon data to </w:t>
      </w:r>
      <w:r>
        <w:t>better understand the</w:t>
      </w:r>
      <w:r w:rsidRPr="00C0338A">
        <w:t xml:space="preserve"> carbon life cycle in soils under switchgrass production in East Tennessee. </w:t>
      </w:r>
      <w:r>
        <w:t xml:space="preserve"> Objective (1) and the results are addressed in Chapter I. Objective (2) and the results are addressed in Chapter II.</w:t>
      </w:r>
    </w:p>
    <w:p w:rsidR="00F24219" w:rsidRPr="00C0338A" w:rsidRDefault="00F24219" w:rsidP="00265C65">
      <w:pPr>
        <w:numPr>
          <w:ilvl w:val="12"/>
          <w:numId w:val="0"/>
        </w:numPr>
        <w:spacing w:line="480" w:lineRule="auto"/>
        <w:rPr>
          <w:b/>
        </w:rPr>
      </w:pPr>
      <w:r>
        <w:rPr>
          <w:b/>
        </w:rPr>
        <w:t>Hypotheses</w:t>
      </w:r>
    </w:p>
    <w:p w:rsidR="00F24219" w:rsidRPr="00C0338A" w:rsidRDefault="00F24219" w:rsidP="00265C65">
      <w:pPr>
        <w:numPr>
          <w:ilvl w:val="12"/>
          <w:numId w:val="0"/>
        </w:numPr>
        <w:spacing w:line="480" w:lineRule="auto"/>
        <w:ind w:firstLine="720"/>
      </w:pPr>
      <w:r>
        <w:t>The hypothesis for objective (1) was that</w:t>
      </w:r>
      <w:r w:rsidRPr="00C0338A">
        <w:t xml:space="preserve"> dee</w:t>
      </w:r>
      <w:r>
        <w:t>p carbon storage from roots would</w:t>
      </w:r>
      <w:r w:rsidRPr="00C0338A">
        <w:t xml:space="preserve"> be the most significant contribut</w:t>
      </w:r>
      <w:r>
        <w:t>or</w:t>
      </w:r>
      <w:r w:rsidRPr="00C0338A">
        <w:t xml:space="preserve"> to SOC</w:t>
      </w:r>
      <w:r>
        <w:t>, to a greater degree in the Southeastern United States</w:t>
      </w:r>
      <w:r w:rsidRPr="00C0338A">
        <w:t xml:space="preserve"> </w:t>
      </w:r>
      <w:r>
        <w:t>than in other climates because the Southeastern c</w:t>
      </w:r>
      <w:r w:rsidRPr="00C0338A">
        <w:t xml:space="preserve">limate region is well suited for </w:t>
      </w:r>
      <w:r w:rsidRPr="00C0338A">
        <w:lastRenderedPageBreak/>
        <w:t>high switchgrass yield. The second hyp</w:t>
      </w:r>
      <w:r>
        <w:t>othesis for objective (1) regarding SOC storage was</w:t>
      </w:r>
      <w:r w:rsidRPr="00C0338A">
        <w:t xml:space="preserve"> </w:t>
      </w:r>
      <w:r>
        <w:t xml:space="preserve">that </w:t>
      </w:r>
      <w:r w:rsidRPr="00C0338A">
        <w:t>historically high disturbance from p</w:t>
      </w:r>
      <w:r>
        <w:t>revious cropping management would</w:t>
      </w:r>
      <w:r w:rsidRPr="00C0338A">
        <w:t xml:space="preserve"> lead to a greater increase in SOC storage over time than those so</w:t>
      </w:r>
      <w:r w:rsidR="00754729">
        <w:t>ils that had little disturbance</w:t>
      </w:r>
      <w:r w:rsidR="000F102B">
        <w:t>. This hypothesis is based on research that indicated SOC decreases with disturbance from management like tillage which exposes soil organic matter (SOM) to microbes in an enriched oxygen environment resulting in the rapid decomposition of SOC in the lower soil profile. Due to the lower overall SOC content in these systems, a more rapid and dramatic increase in SOC is hypothesized when moving to a perennial system where SOM is not incorporated via tillage and harvest results in little soil disturbance.</w:t>
      </w:r>
      <w:r w:rsidRPr="00C0338A">
        <w:t xml:space="preserve"> The </w:t>
      </w:r>
      <w:r>
        <w:t>hypothesis for objective (2) regarding CO2 flux was</w:t>
      </w:r>
      <w:r w:rsidRPr="00C0338A">
        <w:t xml:space="preserve"> th</w:t>
      </w:r>
      <w:r>
        <w:t>at temperature and moisture would</w:t>
      </w:r>
      <w:r w:rsidRPr="00C0338A">
        <w:t xml:space="preserve"> b</w:t>
      </w:r>
      <w:r w:rsidR="00D357D5">
        <w:t>e the most influential factors a</w:t>
      </w:r>
      <w:r w:rsidRPr="00C0338A">
        <w:t>ffecting soil respiration, which is of particular interest in the humid subtropical climate of East Tennessee.</w:t>
      </w:r>
    </w:p>
    <w:p w:rsidR="00F24219" w:rsidRPr="00C0338A" w:rsidRDefault="00F24219" w:rsidP="00265C65">
      <w:pPr>
        <w:pStyle w:val="NoSpacing"/>
        <w:spacing w:line="480" w:lineRule="auto"/>
        <w:rPr>
          <w:rFonts w:ascii="Times New Roman" w:hAnsi="Times New Roman"/>
          <w:sz w:val="24"/>
          <w:szCs w:val="24"/>
        </w:rPr>
      </w:pPr>
    </w:p>
    <w:p w:rsidR="00F24219" w:rsidRPr="00C0338A" w:rsidRDefault="00F24219" w:rsidP="00265C65">
      <w:pPr>
        <w:rPr>
          <w:b/>
          <w:bCs/>
          <w:caps/>
        </w:rPr>
      </w:pPr>
    </w:p>
    <w:p w:rsidR="00F24219" w:rsidRDefault="00F24219" w:rsidP="00E025ED">
      <w:pPr>
        <w:pStyle w:val="Heading2"/>
        <w:rPr>
          <w:rFonts w:ascii="Times New Roman" w:hAnsi="Times New Roman" w:cs="Times New Roman"/>
        </w:rPr>
      </w:pPr>
      <w:r w:rsidRPr="00C0338A">
        <w:rPr>
          <w:rFonts w:ascii="Times New Roman" w:hAnsi="Times New Roman" w:cs="Times New Roman"/>
          <w:caps/>
          <w:sz w:val="24"/>
          <w:szCs w:val="24"/>
        </w:rPr>
        <w:br w:type="page"/>
      </w:r>
      <w:r w:rsidRPr="00C0338A">
        <w:rPr>
          <w:rFonts w:ascii="Times New Roman" w:hAnsi="Times New Roman" w:cs="Times New Roman"/>
        </w:rPr>
        <w:lastRenderedPageBreak/>
        <w:t>REFERENCES</w:t>
      </w:r>
    </w:p>
    <w:p w:rsidR="00E025ED" w:rsidRPr="00E025ED" w:rsidRDefault="00E025ED" w:rsidP="00E025ED"/>
    <w:p w:rsidR="00F24219" w:rsidRDefault="00F24219" w:rsidP="00265C65">
      <w:pPr>
        <w:spacing w:line="480" w:lineRule="auto"/>
        <w:ind w:left="720" w:hanging="720"/>
        <w:rPr>
          <w:noProof/>
        </w:rPr>
      </w:pPr>
      <w:r w:rsidRPr="00214F39">
        <w:rPr>
          <w:noProof/>
        </w:rPr>
        <w:t>Blanco-Canqui, H., 2010. Energy Crops and Their Implications on Soil and Environment. Agron J 102, 403-419.</w:t>
      </w:r>
    </w:p>
    <w:p w:rsidR="00F24219" w:rsidRPr="00C0338A" w:rsidRDefault="00F24219" w:rsidP="00265C65">
      <w:pPr>
        <w:spacing w:line="480" w:lineRule="auto"/>
        <w:ind w:left="720" w:hanging="720"/>
        <w:rPr>
          <w:noProof/>
        </w:rPr>
      </w:pPr>
      <w:r>
        <w:rPr>
          <w:noProof/>
        </w:rPr>
        <w:t>Dale V.H., Kline K.L., Wright L.L., Perlack R.D., Downing M., Graham R.L. (2011) Interactions among bioenergy feedstock choices, landscape dynamics, and land use. Ecological Applications 21:1039-1054.</w:t>
      </w:r>
    </w:p>
    <w:p w:rsidR="00F24219" w:rsidRPr="00C0338A" w:rsidRDefault="00F24219" w:rsidP="00265C65">
      <w:pPr>
        <w:spacing w:line="480" w:lineRule="auto"/>
        <w:ind w:left="720" w:hanging="720"/>
        <w:rPr>
          <w:noProof/>
        </w:rPr>
      </w:pPr>
      <w:r w:rsidRPr="00C0338A">
        <w:rPr>
          <w:noProof/>
        </w:rPr>
        <w:t>Follett, R.F., 2010. Symposium: Soil Carbon Sequestration and Greenhouse Gas Mitigation. Soil Sci Soc Am J 74, 345-346.</w:t>
      </w:r>
    </w:p>
    <w:p w:rsidR="00F24219" w:rsidRPr="00C0338A" w:rsidRDefault="00F24219" w:rsidP="00265C65">
      <w:pPr>
        <w:spacing w:line="480" w:lineRule="auto"/>
        <w:ind w:left="720" w:hanging="720"/>
        <w:rPr>
          <w:noProof/>
        </w:rPr>
      </w:pPr>
      <w:r w:rsidRPr="00C0338A">
        <w:rPr>
          <w:noProof/>
        </w:rPr>
        <w:t>Groom, M.J., Gray, E.M., Townsend, P.A., 2008. Biofuels and biodiversity: Principles for creating better policies for biofuel production. Conservation Biology 22, 602-609.</w:t>
      </w:r>
    </w:p>
    <w:p w:rsidR="00F24219" w:rsidRPr="00C0338A" w:rsidRDefault="00F24219" w:rsidP="00265C65">
      <w:pPr>
        <w:spacing w:line="480" w:lineRule="auto"/>
        <w:ind w:left="720" w:hanging="720"/>
        <w:rPr>
          <w:noProof/>
        </w:rPr>
      </w:pPr>
      <w:r w:rsidRPr="00C0338A">
        <w:rPr>
          <w:noProof/>
        </w:rPr>
        <w:t>Lal, R., 2004. Soil carbon sequestration impacts on global climate change and food security. Science 304, 1623-1627.</w:t>
      </w:r>
    </w:p>
    <w:p w:rsidR="00F24219" w:rsidRPr="00C0338A" w:rsidRDefault="00F24219" w:rsidP="00265C65">
      <w:pPr>
        <w:spacing w:line="480" w:lineRule="auto"/>
        <w:ind w:left="720" w:hanging="720"/>
        <w:rPr>
          <w:noProof/>
        </w:rPr>
      </w:pPr>
      <w:r w:rsidRPr="00C0338A">
        <w:rPr>
          <w:noProof/>
        </w:rPr>
        <w:t>Lemus, R., Lal, R., 2005. Bioenergy crops and carbon sequestration. Crit Rev Plant Sci 24, 1-21.</w:t>
      </w:r>
    </w:p>
    <w:p w:rsidR="00F24219" w:rsidRDefault="00F24219" w:rsidP="00265C65">
      <w:pPr>
        <w:spacing w:line="480" w:lineRule="auto"/>
        <w:ind w:left="720" w:hanging="720"/>
        <w:rPr>
          <w:noProof/>
        </w:rPr>
      </w:pPr>
      <w:r w:rsidRPr="00C0338A">
        <w:rPr>
          <w:noProof/>
        </w:rPr>
        <w:t>McLaughlin, S.B., Kszos, L.A., 2005. Development of switchgrass (Panicum virgatum) as a bioenergy feedstock in the United States. Biomass Bioenerg 28, 515-535.</w:t>
      </w:r>
      <w:r w:rsidRPr="0060517B">
        <w:rPr>
          <w:noProof/>
        </w:rPr>
        <w:t xml:space="preserve"> </w:t>
      </w:r>
    </w:p>
    <w:p w:rsidR="00F24219" w:rsidRDefault="00F24219" w:rsidP="00265C65">
      <w:pPr>
        <w:spacing w:line="480" w:lineRule="auto"/>
        <w:ind w:left="720" w:hanging="720"/>
        <w:rPr>
          <w:noProof/>
        </w:rPr>
      </w:pPr>
    </w:p>
    <w:p w:rsidR="00F24219" w:rsidRPr="00C0338A" w:rsidRDefault="00F24219" w:rsidP="00265C65">
      <w:pPr>
        <w:spacing w:line="480" w:lineRule="auto"/>
        <w:ind w:left="720" w:hanging="720"/>
        <w:rPr>
          <w:noProof/>
        </w:rPr>
      </w:pPr>
      <w:r>
        <w:rPr>
          <w:noProof/>
        </w:rPr>
        <w:t xml:space="preserve">McBride A.C., Dale V.H., Baskaran L.M., Downing M.E., Eaton L.M., Efroymson R.A., Garten C.T., Kline K.L., Jager H.I., Mulholland P.J., Parish E.S., Schweizer P.E., Storey J.M. (2011) Indicators to support environmental sustainability of </w:t>
      </w:r>
      <w:r>
        <w:rPr>
          <w:noProof/>
        </w:rPr>
        <w:lastRenderedPageBreak/>
        <w:t>bioenergy systems. Ecological Indicators 11:1277-1289. DOI: 10.1016/j.ecolind.2011.01.010.</w:t>
      </w:r>
    </w:p>
    <w:p w:rsidR="00F24219" w:rsidRDefault="00F24219" w:rsidP="00265C65">
      <w:pPr>
        <w:spacing w:line="480" w:lineRule="auto"/>
        <w:ind w:left="720" w:hanging="720"/>
        <w:rPr>
          <w:noProof/>
        </w:rPr>
      </w:pPr>
      <w:r w:rsidRPr="00C0338A">
        <w:rPr>
          <w:noProof/>
        </w:rPr>
        <w:t>Tolbert, V.R., Todd, D.E., Mann, L.K., Jawdy, C.M., Mays, D.A., Malik, R., Bandaranayake, W., Houston, A., Tyler, D., Pettry, D.E., 2002. Changes in soil quality and below-ground carbon storage with conversion of traditional agricultural crop lands to bioenergy crop production. Environ Pollut 116, S97-S106.</w:t>
      </w:r>
    </w:p>
    <w:p w:rsidR="00F24219" w:rsidRDefault="00F24219" w:rsidP="00265C65">
      <w:pPr>
        <w:spacing w:line="480" w:lineRule="auto"/>
        <w:ind w:left="720" w:hanging="720"/>
        <w:rPr>
          <w:noProof/>
        </w:rPr>
      </w:pPr>
      <w:r>
        <w:rPr>
          <w:noProof/>
        </w:rPr>
        <w:t>USEPA. (2010) Agricultural practices and forestry practices that sequester carbon and reduce other greenhouse gas emissions.</w:t>
      </w:r>
    </w:p>
    <w:p w:rsidR="00F24219" w:rsidRDefault="00F24219" w:rsidP="00265C65">
      <w:pPr>
        <w:spacing w:line="480" w:lineRule="auto"/>
        <w:ind w:left="720" w:hanging="720"/>
        <w:rPr>
          <w:noProof/>
        </w:rPr>
      </w:pPr>
      <w:r>
        <w:rPr>
          <w:noProof/>
        </w:rPr>
        <w:t>USEPA. (2011) Carbon dioxide.</w:t>
      </w:r>
    </w:p>
    <w:p w:rsidR="00F24219" w:rsidRPr="00C0338A" w:rsidRDefault="00F24219" w:rsidP="00265C65">
      <w:pPr>
        <w:spacing w:line="480" w:lineRule="auto"/>
        <w:ind w:left="720" w:hanging="720"/>
        <w:rPr>
          <w:noProof/>
        </w:rPr>
      </w:pPr>
    </w:p>
    <w:p w:rsidR="00F24219" w:rsidRPr="00C0338A" w:rsidRDefault="00F24219" w:rsidP="00265C65">
      <w:pPr>
        <w:numPr>
          <w:ilvl w:val="12"/>
          <w:numId w:val="0"/>
        </w:numPr>
      </w:pPr>
      <w:r w:rsidRPr="00C0338A">
        <w:br w:type="page"/>
      </w: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p w:rsidR="00F24219" w:rsidRPr="00C0338A" w:rsidRDefault="00F24219" w:rsidP="00265C65">
      <w:pPr>
        <w:numPr>
          <w:ilvl w:val="12"/>
          <w:numId w:val="0"/>
        </w:numPr>
      </w:pPr>
    </w:p>
    <w:bookmarkEnd w:id="2"/>
    <w:p w:rsidR="00F24219" w:rsidRPr="00C0338A" w:rsidRDefault="00F24219" w:rsidP="00265C65">
      <w:pPr>
        <w:pStyle w:val="StyleHeading1Centered"/>
        <w:rPr>
          <w:rFonts w:ascii="Times New Roman" w:hAnsi="Times New Roman"/>
        </w:rPr>
      </w:pPr>
      <w:r w:rsidRPr="00C0338A">
        <w:rPr>
          <w:rFonts w:ascii="Times New Roman" w:hAnsi="Times New Roman"/>
        </w:rPr>
        <w:t>CHAPTER I:</w:t>
      </w:r>
    </w:p>
    <w:p w:rsidR="00F24219" w:rsidRPr="00C0338A" w:rsidRDefault="00EE2CAE" w:rsidP="00265C65">
      <w:pPr>
        <w:pStyle w:val="StyleHeading1Centered"/>
        <w:rPr>
          <w:rFonts w:ascii="Times New Roman" w:hAnsi="Times New Roman"/>
          <w:sz w:val="32"/>
          <w:szCs w:val="32"/>
        </w:rPr>
      </w:pPr>
      <w:r>
        <w:rPr>
          <w:rFonts w:ascii="Times New Roman" w:hAnsi="Times New Roman"/>
        </w:rPr>
        <w:t xml:space="preserve">Effects of continuous </w:t>
      </w:r>
      <w:r w:rsidR="00F24219">
        <w:rPr>
          <w:rFonts w:ascii="Times New Roman" w:hAnsi="Times New Roman"/>
        </w:rPr>
        <w:t xml:space="preserve">Switchgrass </w:t>
      </w:r>
      <w:r>
        <w:rPr>
          <w:rFonts w:ascii="Times New Roman" w:hAnsi="Times New Roman"/>
        </w:rPr>
        <w:t xml:space="preserve">Production </w:t>
      </w:r>
      <w:r w:rsidR="00F24219">
        <w:rPr>
          <w:rFonts w:ascii="Times New Roman" w:hAnsi="Times New Roman"/>
        </w:rPr>
        <w:t>on soil organic carbon storage and bulk density an</w:t>
      </w:r>
      <w:r w:rsidR="00F33C3D">
        <w:rPr>
          <w:rFonts w:ascii="Times New Roman" w:hAnsi="Times New Roman"/>
        </w:rPr>
        <w:t>d the relationship of depth, Previous management,</w:t>
      </w:r>
      <w:r w:rsidR="00F24219">
        <w:rPr>
          <w:rFonts w:ascii="Times New Roman" w:hAnsi="Times New Roman"/>
        </w:rPr>
        <w:t xml:space="preserve"> soil texture</w:t>
      </w:r>
      <w:r w:rsidR="00F33C3D">
        <w:rPr>
          <w:rFonts w:ascii="Times New Roman" w:hAnsi="Times New Roman"/>
        </w:rPr>
        <w:t>, and soil taxonomy</w:t>
      </w:r>
      <w:r w:rsidR="00F24219">
        <w:rPr>
          <w:rFonts w:ascii="Times New Roman" w:hAnsi="Times New Roman"/>
        </w:rPr>
        <w:t xml:space="preserve"> on soc</w:t>
      </w:r>
    </w:p>
    <w:p w:rsidR="00F24219" w:rsidRPr="00C0338A" w:rsidRDefault="00F24219">
      <w:pPr>
        <w:numPr>
          <w:ilvl w:val="12"/>
          <w:numId w:val="0"/>
        </w:numPr>
        <w:rPr>
          <w:sz w:val="32"/>
          <w:szCs w:val="32"/>
        </w:rPr>
      </w:pPr>
      <w:r w:rsidRPr="00C0338A">
        <w:rPr>
          <w:sz w:val="32"/>
          <w:szCs w:val="32"/>
        </w:rPr>
        <w:tab/>
      </w:r>
      <w:r w:rsidRPr="00C0338A">
        <w:rPr>
          <w:sz w:val="32"/>
          <w:szCs w:val="32"/>
        </w:rPr>
        <w:tab/>
      </w:r>
      <w:r w:rsidRPr="00C0338A">
        <w:rPr>
          <w:sz w:val="32"/>
          <w:szCs w:val="32"/>
        </w:rPr>
        <w:tab/>
      </w:r>
      <w:r w:rsidRPr="00C0338A">
        <w:rPr>
          <w:sz w:val="32"/>
          <w:szCs w:val="32"/>
        </w:rPr>
        <w:tab/>
      </w:r>
      <w:r w:rsidRPr="00C0338A">
        <w:rPr>
          <w:sz w:val="32"/>
          <w:szCs w:val="32"/>
        </w:rPr>
        <w:tab/>
      </w:r>
      <w:r w:rsidRPr="00C0338A">
        <w:rPr>
          <w:sz w:val="32"/>
          <w:szCs w:val="32"/>
        </w:rPr>
        <w:tab/>
      </w:r>
    </w:p>
    <w:p w:rsidR="00F24219" w:rsidRPr="00C0338A" w:rsidRDefault="00F24219" w:rsidP="00265C65">
      <w:pPr>
        <w:numPr>
          <w:ilvl w:val="12"/>
          <w:numId w:val="0"/>
        </w:numPr>
        <w:jc w:val="center"/>
        <w:rPr>
          <w:b/>
        </w:rPr>
      </w:pPr>
      <w:r w:rsidRPr="00C0338A">
        <w:rPr>
          <w:sz w:val="32"/>
          <w:szCs w:val="32"/>
        </w:rPr>
        <w:br w:type="page"/>
      </w:r>
      <w:r w:rsidRPr="00C0338A">
        <w:rPr>
          <w:b/>
          <w:sz w:val="28"/>
        </w:rPr>
        <w:lastRenderedPageBreak/>
        <w:t>Abstract</w:t>
      </w:r>
    </w:p>
    <w:p w:rsidR="00F24219" w:rsidRPr="00C0338A" w:rsidRDefault="00F24219" w:rsidP="00265C65">
      <w:pPr>
        <w:numPr>
          <w:ilvl w:val="12"/>
          <w:numId w:val="0"/>
        </w:numPr>
        <w:jc w:val="center"/>
        <w:rPr>
          <w:highlight w:val="yellow"/>
        </w:rPr>
      </w:pPr>
    </w:p>
    <w:p w:rsidR="00F24219" w:rsidRPr="00C0338A" w:rsidRDefault="00F24219">
      <w:pPr>
        <w:numPr>
          <w:ilvl w:val="12"/>
          <w:numId w:val="0"/>
        </w:numPr>
      </w:pPr>
      <w:r>
        <w:t xml:space="preserve">Switchgrass has emerged as a renewable and potential carbon sink fuel source. Therefore the need for a more thorough regional assessment of carbon storage precipitated the primary interest of this study. The study was conducted on twelve farms across East Tennessee. The 250 sampling points represented 350 acres </w:t>
      </w:r>
      <w:r w:rsidR="00FE4215">
        <w:t>of switchgrass. Seven previous</w:t>
      </w:r>
      <w:r>
        <w:t xml:space="preserve"> </w:t>
      </w:r>
      <w:r w:rsidR="00FE4215">
        <w:t xml:space="preserve">different </w:t>
      </w:r>
      <w:r>
        <w:t>cropping systems, four soil textural classes, and four soil taxonomy classes are represented in this study. There was an average 10% decrease in SOC in the first 30 cm. SOC increased by 6% f</w:t>
      </w:r>
      <w:r w:rsidR="00FE4215">
        <w:t>rom 30 to 60 cm and increased</w:t>
      </w:r>
      <w:r>
        <w:t xml:space="preserve"> roughly</w:t>
      </w:r>
      <w:r w:rsidR="00FE4215">
        <w:t xml:space="preserve"> by</w:t>
      </w:r>
      <w:r>
        <w:t xml:space="preserve"> 30% </w:t>
      </w:r>
      <w:r w:rsidR="00FE4215">
        <w:t>in the deeper soil profile (60-120 cm)</w:t>
      </w:r>
      <w:r>
        <w:t xml:space="preserve">. However soil texture, soil taxonomy, and </w:t>
      </w:r>
      <w:r w:rsidR="004C2865">
        <w:t xml:space="preserve">previous cropping system </w:t>
      </w:r>
      <w:r>
        <w:t>showed no statistical significant effects on SOC storage</w:t>
      </w:r>
      <w:r w:rsidR="00FE4215">
        <w:t xml:space="preserve"> during the measurement period of this study (4 years)</w:t>
      </w:r>
      <w:r>
        <w:t>.</w:t>
      </w:r>
    </w:p>
    <w:p w:rsidR="00F24219" w:rsidRPr="00C0338A" w:rsidRDefault="00F24219">
      <w:pPr>
        <w:numPr>
          <w:ilvl w:val="12"/>
          <w:numId w:val="0"/>
        </w:numPr>
      </w:pPr>
    </w:p>
    <w:p w:rsidR="00F24219" w:rsidRPr="00C0338A" w:rsidRDefault="00F24219">
      <w:pPr>
        <w:pStyle w:val="Heading2"/>
        <w:rPr>
          <w:rFonts w:ascii="Times New Roman" w:hAnsi="Times New Roman" w:cs="Times New Roman"/>
        </w:rPr>
      </w:pPr>
      <w:r w:rsidRPr="00C0338A">
        <w:rPr>
          <w:rFonts w:ascii="Times New Roman" w:hAnsi="Times New Roman" w:cs="Times New Roman"/>
        </w:rPr>
        <w:t>Introduction</w:t>
      </w:r>
    </w:p>
    <w:p w:rsidR="00F24219" w:rsidRPr="00C0338A" w:rsidRDefault="00F24219">
      <w:pPr>
        <w:numPr>
          <w:ilvl w:val="12"/>
          <w:numId w:val="0"/>
        </w:numPr>
        <w:jc w:val="center"/>
      </w:pPr>
    </w:p>
    <w:p w:rsidR="00F24219" w:rsidRDefault="00F24219" w:rsidP="00265C65">
      <w:pPr>
        <w:numPr>
          <w:ilvl w:val="12"/>
          <w:numId w:val="0"/>
        </w:numPr>
        <w:spacing w:line="480" w:lineRule="auto"/>
        <w:ind w:firstLine="720"/>
      </w:pPr>
      <w:r>
        <w:t xml:space="preserve">Currently in the United States, there is a potential to utilize 17 Mha of land for bioenergy production </w:t>
      </w:r>
      <w:r>
        <w:rPr>
          <w:noProof/>
        </w:rPr>
        <w:t>(Walsh et al., 2003)</w:t>
      </w:r>
      <w:r>
        <w:t xml:space="preserve">. </w:t>
      </w:r>
      <w:r w:rsidR="00FE4215">
        <w:t>6.8</w:t>
      </w:r>
      <w:r>
        <w:t xml:space="preserve"> Mha </w:t>
      </w:r>
      <w:r w:rsidR="00FE4215">
        <w:t xml:space="preserve">of the 17Mha </w:t>
      </w:r>
      <w:r>
        <w:t xml:space="preserve">are protected by the Conservation Reserve Program (CRP) </w:t>
      </w:r>
      <w:r>
        <w:rPr>
          <w:noProof/>
        </w:rPr>
        <w:t>(Walsh et al., 2003)</w:t>
      </w:r>
      <w:r>
        <w:t xml:space="preserve">. Switchgrass, one of the most compelling bioenergy crops, is a very popular in the Southeastern United States because of its high yields, low production costs, economic benefits, and lack of competition from existing enterprises. These characteristics coupled with soil’s potential to store vast amounts of soil carbon has lead local governments and regional planning agencies to affect changes in land management in the form of biofuel production </w:t>
      </w:r>
      <w:r>
        <w:rPr>
          <w:noProof/>
        </w:rPr>
        <w:t>(USEPA, 2011)</w:t>
      </w:r>
      <w:r>
        <w:t>. SOC is</w:t>
      </w:r>
      <w:r w:rsidRPr="00C0338A">
        <w:t xml:space="preserve"> an important concern when evaluating the impact of switchgrass production on the environment. SOC has become a popular research topic due to the potential to mitigate global climate change through management practices, but questions remain on the nature and potential of SOC storage. Carbon sequestration in soils</w:t>
      </w:r>
      <w:r>
        <w:t xml:space="preserve"> has been shown to</w:t>
      </w:r>
      <w:r w:rsidRPr="00C0338A">
        <w:t xml:space="preserve"> improve soil productivity by increasing nutrients and water retention and reducing bulk density</w:t>
      </w:r>
      <w:r>
        <w:t xml:space="preserve"> </w:t>
      </w:r>
      <w:r>
        <w:rPr>
          <w:noProof/>
        </w:rPr>
        <w:t>(Bransby</w:t>
      </w:r>
      <w:r w:rsidRPr="00CB3EC6">
        <w:rPr>
          <w:i/>
          <w:noProof/>
        </w:rPr>
        <w:t xml:space="preserve"> et al.</w:t>
      </w:r>
      <w:r>
        <w:rPr>
          <w:noProof/>
        </w:rPr>
        <w:t>, 1998)</w:t>
      </w:r>
      <w:r w:rsidRPr="00C0338A">
        <w:t>.</w:t>
      </w:r>
      <w:r w:rsidRPr="001839B3">
        <w:t xml:space="preserve"> </w:t>
      </w:r>
      <w:r w:rsidRPr="00C0338A">
        <w:t xml:space="preserve">The purpose of this study is to determine how switchgrass </w:t>
      </w:r>
      <w:r w:rsidRPr="00C0338A">
        <w:lastRenderedPageBreak/>
        <w:t xml:space="preserve">production for biofuel feedstock impacts SOC storage and GHG contribution in East Tennessee. With the emerging biofuel industry and </w:t>
      </w:r>
      <w:r>
        <w:t xml:space="preserve">the political push for new </w:t>
      </w:r>
      <w:r w:rsidRPr="00C0338A">
        <w:t xml:space="preserve">policy regarding GHG mitigation, </w:t>
      </w:r>
      <w:r>
        <w:t>many</w:t>
      </w:r>
      <w:r w:rsidRPr="00C0338A">
        <w:t xml:space="preserve"> </w:t>
      </w:r>
      <w:r>
        <w:t xml:space="preserve">research </w:t>
      </w:r>
      <w:r w:rsidRPr="00C0338A">
        <w:t>gaps in the form of developing regional impact assessments of bioenergy production</w:t>
      </w:r>
      <w:r>
        <w:t xml:space="preserve"> have come into sharper focus</w:t>
      </w:r>
      <w:r w:rsidRPr="00C0338A">
        <w:t xml:space="preserve">. This is of particular importance in the Southeastern United States because of the humid sub-tropical climate resulting in ideal conditions for switchgrass production as well as microbial degradation of SOC contributing to GHG emissions and SOC losses in disturbed management. The focus of the study is daily and seasonal observation of CO2 emissions from soils under switchgrass and pasture grasses as well as soil organic carbon storage in order to better understand the processes and interactions resulting from biofuel production. It will also </w:t>
      </w:r>
      <w:r>
        <w:t>assist in developing</w:t>
      </w:r>
      <w:r w:rsidRPr="00C0338A">
        <w:t xml:space="preserve">, </w:t>
      </w:r>
      <w:r w:rsidRPr="002A3E42">
        <w:t>as Follet (2010</w:t>
      </w:r>
      <w:r w:rsidRPr="00C0338A">
        <w:t xml:space="preserve">) suggests, a carbon footprint benchmark for local bioenergy operations. </w:t>
      </w:r>
    </w:p>
    <w:p w:rsidR="00F24219" w:rsidRDefault="00F24219" w:rsidP="00265C65">
      <w:pPr>
        <w:numPr>
          <w:ilvl w:val="12"/>
          <w:numId w:val="0"/>
        </w:numPr>
        <w:spacing w:line="480" w:lineRule="auto"/>
        <w:ind w:firstLine="720"/>
      </w:pPr>
      <w:r w:rsidRPr="00C0338A">
        <w:t xml:space="preserve"> </w:t>
      </w:r>
      <w:r>
        <w:t>The study was conducted on twelve farms across East Tennessee with 250 sampling points. Each sampling point was sampled to four depths. The samples represent 350 acres of switchgrass in East Tennessee. Seven historical cropping systems, four soil texture classes, and four soil taxonomy classes are represented in this study. The breadth of this study allowed for a more comprehensive observation of true field changes due to the establishment of switchgrass than can be observed in a simpler field plot or lab study.</w:t>
      </w:r>
    </w:p>
    <w:p w:rsidR="00F24219" w:rsidRDefault="00F24219" w:rsidP="00265C65">
      <w:pPr>
        <w:numPr>
          <w:ilvl w:val="12"/>
          <w:numId w:val="0"/>
        </w:numPr>
        <w:spacing w:line="480" w:lineRule="auto"/>
        <w:ind w:firstLine="720"/>
      </w:pPr>
      <w:r>
        <w:t xml:space="preserve">The objectives of measuring soil organic carbon and bulk densities were to 1) determine if and how i) depth, ii) </w:t>
      </w:r>
      <w:r w:rsidR="004C2865">
        <w:t>previous</w:t>
      </w:r>
      <w:r>
        <w:t xml:space="preserve"> management, iii) texture, and iv) time affected SOC storage; and 2) monitor </w:t>
      </w:r>
      <w:r w:rsidR="00227FF9">
        <w:t>switchgrass</w:t>
      </w:r>
      <w:r>
        <w:t xml:space="preserve"> establishment initial effect on bulk density.</w:t>
      </w:r>
    </w:p>
    <w:p w:rsidR="00B75563" w:rsidRPr="00C0338A" w:rsidRDefault="00B75563" w:rsidP="00B75563">
      <w:pPr>
        <w:numPr>
          <w:ilvl w:val="12"/>
          <w:numId w:val="0"/>
        </w:numPr>
        <w:spacing w:line="480" w:lineRule="auto"/>
        <w:ind w:firstLine="720"/>
      </w:pPr>
      <w:r w:rsidRPr="00C0338A">
        <w:lastRenderedPageBreak/>
        <w:t>This</w:t>
      </w:r>
      <w:r>
        <w:t xml:space="preserve"> study presents a</w:t>
      </w:r>
      <w:r w:rsidRPr="00C0338A">
        <w:t xml:space="preserve"> novel opportunity </w:t>
      </w:r>
      <w:r>
        <w:t>to evaluate effects of previous c</w:t>
      </w:r>
      <w:r w:rsidRPr="00C0338A">
        <w:t xml:space="preserve">ropping </w:t>
      </w:r>
      <w:r>
        <w:t>system</w:t>
      </w:r>
      <w:r w:rsidRPr="00C0338A">
        <w:t>s on SOC storage when converted to switchgrass</w:t>
      </w:r>
      <w:r>
        <w:t xml:space="preserve">. Additionally, in the longer term, this study presents the opportunity to </w:t>
      </w:r>
      <w:r w:rsidRPr="00C0338A">
        <w:t>measur</w:t>
      </w:r>
      <w:r>
        <w:t>e</w:t>
      </w:r>
      <w:r w:rsidRPr="00C0338A">
        <w:t xml:space="preserve"> CO2 flux </w:t>
      </w:r>
      <w:r>
        <w:t xml:space="preserve">throughout the </w:t>
      </w:r>
      <w:r w:rsidRPr="00C0338A">
        <w:t>year in switchgrass production. This will allow for a more comprehensive evaluation of soil C dynamics under switchgrass grown for bioenergy feedstock in East Tennessee.</w:t>
      </w:r>
    </w:p>
    <w:p w:rsidR="00F24219" w:rsidRPr="00C0338A" w:rsidRDefault="00F24219" w:rsidP="00265C65">
      <w:pPr>
        <w:pStyle w:val="Heading2"/>
        <w:rPr>
          <w:rFonts w:ascii="Times New Roman" w:hAnsi="Times New Roman" w:cs="Times New Roman"/>
        </w:rPr>
      </w:pPr>
      <w:r w:rsidRPr="00C0338A">
        <w:rPr>
          <w:rFonts w:ascii="Times New Roman" w:hAnsi="Times New Roman" w:cs="Times New Roman"/>
        </w:rPr>
        <w:t>Literature Review</w:t>
      </w:r>
    </w:p>
    <w:p w:rsidR="00F24219" w:rsidRPr="00C0338A" w:rsidRDefault="00F24219">
      <w:pPr>
        <w:numPr>
          <w:ilvl w:val="12"/>
          <w:numId w:val="0"/>
        </w:numPr>
      </w:pPr>
      <w:r w:rsidRPr="00C0338A">
        <w:t xml:space="preserve"> </w:t>
      </w:r>
    </w:p>
    <w:p w:rsidR="00F24219" w:rsidRDefault="00F24219" w:rsidP="00265C65">
      <w:pPr>
        <w:numPr>
          <w:ilvl w:val="12"/>
          <w:numId w:val="0"/>
        </w:numPr>
        <w:spacing w:line="480" w:lineRule="auto"/>
        <w:ind w:firstLine="720"/>
      </w:pPr>
      <w:r>
        <w:t>Using perennial grasses for both biofuel and as carbon sinks has demonstrated potential in the mitigation of global climate change, and is thus an important topic for research. In perennial grass systems, c</w:t>
      </w:r>
      <w:r w:rsidRPr="001B5EDC">
        <w:t xml:space="preserve">arbon </w:t>
      </w:r>
      <w:r w:rsidRPr="00C0338A">
        <w:t>is added to the soil through surface deposition from decaying above ground biomass and by root growth below the surface</w:t>
      </w:r>
      <w:r>
        <w:t xml:space="preserve"> </w:t>
      </w:r>
      <w:r>
        <w:rPr>
          <w:noProof/>
        </w:rPr>
        <w:t>(Bransby</w:t>
      </w:r>
      <w:r w:rsidRPr="00CB3EC6">
        <w:rPr>
          <w:i/>
          <w:noProof/>
        </w:rPr>
        <w:t xml:space="preserve"> et al.</w:t>
      </w:r>
      <w:r>
        <w:rPr>
          <w:noProof/>
        </w:rPr>
        <w:t>, 1998)</w:t>
      </w:r>
      <w:r w:rsidRPr="00C0338A">
        <w:t xml:space="preserve">. </w:t>
      </w:r>
      <w:r>
        <w:t>Switchgrass has been shown to increase SOC by 1.1 MgC ha</w:t>
      </w:r>
      <w:r>
        <w:rPr>
          <w:vertAlign w:val="superscript"/>
        </w:rPr>
        <w:t xml:space="preserve">-1 </w:t>
      </w:r>
      <w:r>
        <w:t>yr</w:t>
      </w:r>
      <w:r>
        <w:rPr>
          <w:vertAlign w:val="superscript"/>
        </w:rPr>
        <w:t xml:space="preserve">-1 </w:t>
      </w:r>
      <w:r>
        <w:t xml:space="preserve">in the upper 100 cm of mid-western soils </w:t>
      </w:r>
      <w:r>
        <w:rPr>
          <w:noProof/>
        </w:rPr>
        <w:t>(Frank et al., 2004; Liebig et al., 2005; McLaughlin and Walsh, 1998)</w:t>
      </w:r>
      <w:r>
        <w:t xml:space="preserve">. Liebig </w:t>
      </w:r>
      <w:r>
        <w:rPr>
          <w:i/>
        </w:rPr>
        <w:t>et al.</w:t>
      </w:r>
      <w:r>
        <w:t xml:space="preserve"> (2005) found soil organic carbon increased in shallow depths (0-5cm) but more significantly in lower depths (30-90cm).McLaughlin and Kszoz (2005) used modeling to project a 1.4 MgC ha</w:t>
      </w:r>
      <w:r>
        <w:rPr>
          <w:vertAlign w:val="superscript"/>
        </w:rPr>
        <w:t xml:space="preserve">-1 </w:t>
      </w:r>
      <w:r>
        <w:t>yr</w:t>
      </w:r>
      <w:r>
        <w:rPr>
          <w:vertAlign w:val="superscript"/>
        </w:rPr>
        <w:t xml:space="preserve">-1 </w:t>
      </w:r>
      <w:r>
        <w:t>increase over 10 years on degraded soils. The modeling projected 0.78 MgC ha</w:t>
      </w:r>
      <w:r>
        <w:rPr>
          <w:vertAlign w:val="superscript"/>
        </w:rPr>
        <w:t>-1</w:t>
      </w:r>
      <w:r>
        <w:t xml:space="preserve"> yr</w:t>
      </w:r>
      <w:r>
        <w:rPr>
          <w:vertAlign w:val="superscript"/>
        </w:rPr>
        <w:t>-1</w:t>
      </w:r>
      <w:r>
        <w:t xml:space="preserve"> over 10 years across the diverse Eastern United States with a reduction in accumulation to 0.53 MgC ha</w:t>
      </w:r>
      <w:r>
        <w:rPr>
          <w:vertAlign w:val="superscript"/>
        </w:rPr>
        <w:t>-1</w:t>
      </w:r>
      <w:r>
        <w:t xml:space="preserve"> yr</w:t>
      </w:r>
      <w:r>
        <w:rPr>
          <w:vertAlign w:val="superscript"/>
        </w:rPr>
        <w:t>-1</w:t>
      </w:r>
      <w:r>
        <w:t xml:space="preserve"> increase over 30 years </w:t>
      </w:r>
      <w:r>
        <w:rPr>
          <w:noProof/>
        </w:rPr>
        <w:t>(McLaughlin and Kszos, 2005)</w:t>
      </w:r>
      <w:r>
        <w:t xml:space="preserve">.  Tolbert </w:t>
      </w:r>
      <w:r>
        <w:rPr>
          <w:i/>
        </w:rPr>
        <w:t>et al.</w:t>
      </w:r>
      <w:r>
        <w:t xml:space="preserve"> (2002) also found SOC increased under switchgrass within the first 10 cm of soil in the Southeastern United States. Tolbert </w:t>
      </w:r>
      <w:r>
        <w:rPr>
          <w:i/>
        </w:rPr>
        <w:t>et al.</w:t>
      </w:r>
      <w:r>
        <w:t xml:space="preserve"> (2002)</w:t>
      </w:r>
      <w:r w:rsidR="006A161A">
        <w:t xml:space="preserve"> and</w:t>
      </w:r>
      <w:r w:rsidR="006A161A" w:rsidRPr="006A161A">
        <w:t xml:space="preserve"> </w:t>
      </w:r>
      <w:r w:rsidR="006A161A">
        <w:t>Post and Kwon (2000)</w:t>
      </w:r>
      <w:r>
        <w:t xml:space="preserve"> also found former land use, growth characteristics, management practices,</w:t>
      </w:r>
      <w:r w:rsidR="006A161A">
        <w:t xml:space="preserve"> and physical and biological properties of the soil</w:t>
      </w:r>
      <w:r>
        <w:t xml:space="preserve"> are the primary factors determining timing, depth and extent of SOC storage. </w:t>
      </w:r>
    </w:p>
    <w:p w:rsidR="00F24219" w:rsidRDefault="00963D47" w:rsidP="00265C65">
      <w:pPr>
        <w:numPr>
          <w:ilvl w:val="12"/>
          <w:numId w:val="0"/>
        </w:numPr>
        <w:spacing w:line="480" w:lineRule="auto"/>
        <w:ind w:firstLine="720"/>
      </w:pPr>
      <w:r>
        <w:lastRenderedPageBreak/>
        <w:t>It is difficult to measure the change in SOC resulting from growth characteristics versus m</w:t>
      </w:r>
      <w:r w:rsidR="00DC17D1">
        <w:t xml:space="preserve">anagement practices when moving from conventional agriculture to continuous switchgrass production. It is difficult because the reduced disturbance of the perennial system and the development of the </w:t>
      </w:r>
      <w:r w:rsidR="00227FF9">
        <w:t>extensive</w:t>
      </w:r>
      <w:r w:rsidR="00DC17D1">
        <w:t xml:space="preserve"> root system that is a growth characteristic of switchgrass are both contributing to SOC storage simultaneously. Therefore we assume in the studies relating to changes in SOC when moving from conventional agriculture to switchgrass that the contributions are both growth characteristics and less invasive management. </w:t>
      </w:r>
      <w:r w:rsidR="00F24219">
        <w:t xml:space="preserve">Ma </w:t>
      </w:r>
      <w:r w:rsidR="00F24219" w:rsidRPr="009644FE">
        <w:rPr>
          <w:i/>
        </w:rPr>
        <w:t>et al</w:t>
      </w:r>
      <w:r w:rsidR="00F24219">
        <w:t xml:space="preserve">. (2000) conducted a study to observe the short term (0-2 </w:t>
      </w:r>
      <w:r w:rsidR="00227FF9">
        <w:t>yr.</w:t>
      </w:r>
      <w:r w:rsidR="00F24219">
        <w:t>) changes in SOC after switchgrass establishment. No significant increases in SOC occurred during the 2 year study (Ma et al. 2000). However, a study conducted in Northern Alabama by Tolbert et al. (2002) found significant increases in SOC in the upper 15cm within three years of conversion from traditional ag</w:t>
      </w:r>
      <w:r w:rsidR="00DC17D1">
        <w:t>riculture crops to switchgrass due to the change in management and the growth characteristics of the perennial system.</w:t>
      </w:r>
    </w:p>
    <w:p w:rsidR="00F24219" w:rsidRPr="004A12D4" w:rsidRDefault="00DC17D1" w:rsidP="00265C65">
      <w:pPr>
        <w:numPr>
          <w:ilvl w:val="12"/>
          <w:numId w:val="0"/>
        </w:numPr>
        <w:spacing w:line="480" w:lineRule="auto"/>
        <w:ind w:firstLine="720"/>
      </w:pPr>
      <w:r>
        <w:t xml:space="preserve">One management practice that affects SOC storage is tillage. </w:t>
      </w:r>
      <w:r w:rsidR="00B75563">
        <w:t>In general, tillage</w:t>
      </w:r>
      <w:r w:rsidR="00F24219">
        <w:t xml:space="preserve"> results in a rapid increase in soil respiration by introducing carbon from surface litter to microbes while increasing aeration. No-till and perennial systems have been touted as more sustainable alternatives to conventional tillage. Several studies have concluded that management practices eliminating or minimizing disturbances to soil result in significant increases in SOC storage </w:t>
      </w:r>
      <w:r w:rsidR="00F24219">
        <w:rPr>
          <w:noProof/>
        </w:rPr>
        <w:t>(Causarano et al., 2006; Halvorson et al., 2002; Jones and Donnelly, 2004; Post and Kwon, 2000; Tolbert et al., 2002)</w:t>
      </w:r>
      <w:r w:rsidR="00F24219">
        <w:t xml:space="preserve">. The same results were found in studies performed across the United States and Canada where conventionally tilled and </w:t>
      </w:r>
      <w:r w:rsidR="00F24219">
        <w:lastRenderedPageBreak/>
        <w:t xml:space="preserve">degraded land was converted to a perennial system </w:t>
      </w:r>
      <w:r w:rsidR="00F24219">
        <w:rPr>
          <w:noProof/>
        </w:rPr>
        <w:t>(Blanco-Canqui, 2010; Bransby et al., 1998; Franzluebbers, 2010; Lemus and Lal, 2005; Liebig et al., 2005; Tolbert et al., 2002; Zan et al., 2001)</w:t>
      </w:r>
      <w:r w:rsidR="00F24219">
        <w:t>. Franzluebbers (2010) found there to be 0.45±0.04MgC ha</w:t>
      </w:r>
      <w:r w:rsidR="00F24219">
        <w:rPr>
          <w:vertAlign w:val="superscript"/>
        </w:rPr>
        <w:t>-1</w:t>
      </w:r>
      <w:r w:rsidR="00F24219">
        <w:t xml:space="preserve"> yr</w:t>
      </w:r>
      <w:r w:rsidR="00F24219">
        <w:rPr>
          <w:vertAlign w:val="superscript"/>
        </w:rPr>
        <w:t>-1</w:t>
      </w:r>
      <w:r w:rsidR="00F24219">
        <w:t xml:space="preserve"> addition in conservation tillage systems and 0.84±0.11MgC ha</w:t>
      </w:r>
      <w:r w:rsidR="00F24219">
        <w:rPr>
          <w:vertAlign w:val="superscript"/>
        </w:rPr>
        <w:t>-1</w:t>
      </w:r>
      <w:r w:rsidR="00F24219">
        <w:t xml:space="preserve"> yr</w:t>
      </w:r>
      <w:r w:rsidR="00F24219">
        <w:rPr>
          <w:vertAlign w:val="superscript"/>
        </w:rPr>
        <w:t>-1</w:t>
      </w:r>
      <w:r w:rsidR="00F24219">
        <w:t xml:space="preserve"> addition in perennial systems. Bransby et al. (1997) found carbon sequestration resulted from root dynamics rather than above ground inputs explaining why Liebig et al. (2005) and Zan et al. (2001) found differences in SOC between switchgrass and conventionally cultivated cropland to be more prolific at deeper soils depths. Switchgrass appears to be effective at storing SOC at depths where carbon is less susceptible to mineralization in large part because it is a no-till system.</w:t>
      </w:r>
      <w:r w:rsidR="00F24219" w:rsidRPr="00A61BC9">
        <w:t xml:space="preserve"> </w:t>
      </w:r>
      <w:r w:rsidR="00F24219">
        <w:t>Zan et al. (1997) found switchgrass has four to five times more belowground biomass than corn contributing 2.2 MgC ha</w:t>
      </w:r>
      <w:r w:rsidR="00F24219">
        <w:rPr>
          <w:vertAlign w:val="superscript"/>
        </w:rPr>
        <w:t>-1</w:t>
      </w:r>
      <w:r w:rsidR="00F24219">
        <w:t xml:space="preserve"> yr</w:t>
      </w:r>
      <w:r w:rsidR="00F24219">
        <w:rPr>
          <w:vertAlign w:val="superscript"/>
        </w:rPr>
        <w:t>-1</w:t>
      </w:r>
      <w:r w:rsidR="00F24219">
        <w:t>. After reviewing sever</w:t>
      </w:r>
      <w:r w:rsidR="00265C65">
        <w:t xml:space="preserve">al studies, Bransby </w:t>
      </w:r>
      <w:r w:rsidR="00265C65" w:rsidRPr="00265C65">
        <w:rPr>
          <w:i/>
        </w:rPr>
        <w:t>et al</w:t>
      </w:r>
      <w:r w:rsidR="00265C65">
        <w:t>. (1998</w:t>
      </w:r>
      <w:r w:rsidR="00F24219">
        <w:t>) found switchgrass will provide net gains in C sequestration only if it replaces annual row crops or degraded land but not pasture.</w:t>
      </w:r>
    </w:p>
    <w:p w:rsidR="00F24219" w:rsidRPr="00A61BC9" w:rsidRDefault="00F24219" w:rsidP="00265C65">
      <w:pPr>
        <w:numPr>
          <w:ilvl w:val="12"/>
          <w:numId w:val="0"/>
        </w:numPr>
        <w:spacing w:line="480" w:lineRule="auto"/>
        <w:ind w:firstLine="720"/>
        <w:rPr>
          <w:highlight w:val="green"/>
        </w:rPr>
      </w:pPr>
      <w:r w:rsidRPr="000A6B61">
        <w:t>Th</w:t>
      </w:r>
      <w:r w:rsidRPr="00C0338A">
        <w:t>ere are contradictory results</w:t>
      </w:r>
      <w:r w:rsidR="00DC17D1">
        <w:t xml:space="preserve"> between modeling SOC storage and actual field measurements</w:t>
      </w:r>
      <w:r w:rsidRPr="00C0338A">
        <w:t xml:space="preserve"> regarding SOC storage increases due to N fertilization</w:t>
      </w:r>
      <w:r w:rsidR="00DC17D1">
        <w:t xml:space="preserve"> management practice</w:t>
      </w:r>
      <w:r w:rsidRPr="00C0338A">
        <w:t xml:space="preserve">. </w:t>
      </w:r>
      <w:r>
        <w:t xml:space="preserve">Halverson </w:t>
      </w:r>
      <w:r w:rsidRPr="00265C65">
        <w:rPr>
          <w:i/>
        </w:rPr>
        <w:t>et al</w:t>
      </w:r>
      <w:r>
        <w:t xml:space="preserve">. (2002) observed the long term (12yrs) effects of N fertilizer on SOC and found no significant increase. Ma </w:t>
      </w:r>
      <w:r w:rsidRPr="00106B8B">
        <w:rPr>
          <w:i/>
        </w:rPr>
        <w:t>et al</w:t>
      </w:r>
      <w:r>
        <w:t>. (2000) found increasing N from 0 to 112 kgN ha</w:t>
      </w:r>
      <w:r>
        <w:rPr>
          <w:vertAlign w:val="superscript"/>
        </w:rPr>
        <w:t>-1</w:t>
      </w:r>
      <w:r>
        <w:t xml:space="preserve"> and 224 kgN ha</w:t>
      </w:r>
      <w:r>
        <w:rPr>
          <w:vertAlign w:val="superscript"/>
        </w:rPr>
        <w:t>-1</w:t>
      </w:r>
      <w:r>
        <w:t xml:space="preserve"> increased shoot carbon storage but not root carbon storage thus not contributing to SOC.</w:t>
      </w:r>
      <w:r w:rsidRPr="00C0338A">
        <w:t xml:space="preserve"> However</w:t>
      </w:r>
      <w:r w:rsidRPr="002A3E42">
        <w:t>, Jones and Donnely’s (2004)</w:t>
      </w:r>
      <w:r w:rsidRPr="00C0338A">
        <w:t xml:space="preserve"> model indicated there would not be a significant sink of C without the application of N fertilizers.</w:t>
      </w:r>
      <w:r w:rsidR="00DC17D1">
        <w:t xml:space="preserve"> N-fertilization generally results in an</w:t>
      </w:r>
      <w:r w:rsidR="00B75563">
        <w:t xml:space="preserve"> increase in biomass production, which one would assume would contribute to a great root biomass production resulting in greater </w:t>
      </w:r>
      <w:r w:rsidR="00B75563">
        <w:lastRenderedPageBreak/>
        <w:t xml:space="preserve">belowground carbon storage. Therefore modeling assumes N-fertilization results in greater SOC storage, but field studies have not found conclusive evidence that it does in fact result in increased SOC storage. </w:t>
      </w:r>
    </w:p>
    <w:p w:rsidR="00F24219" w:rsidRPr="00481631" w:rsidRDefault="00F24219" w:rsidP="00265C65">
      <w:pPr>
        <w:numPr>
          <w:ilvl w:val="12"/>
          <w:numId w:val="0"/>
        </w:numPr>
        <w:spacing w:line="480" w:lineRule="auto"/>
        <w:ind w:firstLine="720"/>
      </w:pPr>
      <w:r>
        <w:t xml:space="preserve">Location in relation to soil physical characteristics and climate are important factors affecting SOC storage. </w:t>
      </w:r>
      <w:r w:rsidR="00227FF9">
        <w:t>C</w:t>
      </w:r>
      <w:r w:rsidR="00227FF9" w:rsidRPr="00C0338A">
        <w:t>limate</w:t>
      </w:r>
      <w:r w:rsidR="00227FF9">
        <w:t>,</w:t>
      </w:r>
      <w:r w:rsidR="00227FF9" w:rsidRPr="00C0338A">
        <w:t xml:space="preserve"> specifically precipitation and temperature</w:t>
      </w:r>
      <w:r w:rsidR="00227FF9">
        <w:t>, influences</w:t>
      </w:r>
      <w:r w:rsidR="00227FF9" w:rsidRPr="00C0338A">
        <w:t xml:space="preserve"> SOC storage </w:t>
      </w:r>
      <w:r w:rsidR="00227FF9">
        <w:rPr>
          <w:noProof/>
        </w:rPr>
        <w:t>(Jones and Donnelly, 2004)</w:t>
      </w:r>
      <w:r w:rsidR="00227FF9" w:rsidRPr="00C0338A">
        <w:t xml:space="preserve">. </w:t>
      </w:r>
      <w:r w:rsidRPr="00C0338A">
        <w:t xml:space="preserve">This </w:t>
      </w:r>
      <w:r>
        <w:t>relationship is an</w:t>
      </w:r>
      <w:r w:rsidRPr="00C0338A">
        <w:t xml:space="preserve"> important consideration in </w:t>
      </w:r>
      <w:r>
        <w:t xml:space="preserve">the </w:t>
      </w:r>
      <w:r w:rsidRPr="00C0338A">
        <w:t>humid subtropical East Tennessee climate</w:t>
      </w:r>
      <w:r>
        <w:t xml:space="preserve"> where the soils have very high clay content.</w:t>
      </w:r>
      <w:r w:rsidRPr="00C0338A">
        <w:t xml:space="preserve"> </w:t>
      </w:r>
      <w:r w:rsidRPr="00481631">
        <w:t>SOC increased with increasing pre</w:t>
      </w:r>
      <w:r>
        <w:t xml:space="preserve">cipitation and clay content, </w:t>
      </w:r>
      <w:r w:rsidRPr="00481631">
        <w:t xml:space="preserve">but decreased with </w:t>
      </w:r>
      <w:r>
        <w:t xml:space="preserve">rise in </w:t>
      </w:r>
      <w:r w:rsidRPr="00481631">
        <w:t xml:space="preserve">temperature </w:t>
      </w:r>
      <w:r w:rsidRPr="00481631">
        <w:rPr>
          <w:noProof/>
        </w:rPr>
        <w:t>(Jobbagy and Jackson, 2000)</w:t>
      </w:r>
      <w:r w:rsidRPr="00481631">
        <w:t xml:space="preserve">. </w:t>
      </w:r>
      <w:r>
        <w:t xml:space="preserve">Soil texture affects both amount and retention of SOC </w:t>
      </w:r>
      <w:r>
        <w:rPr>
          <w:noProof/>
        </w:rPr>
        <w:t>(McConkey et al., 2003)</w:t>
      </w:r>
      <w:r>
        <w:t>. SOC is adsorbed more strongly on finer soil particles. Therefore fine-textured soils have higher SOC content than coarse textured soils with the same organic matter inputs. McConkey et al. (2003) found SOC increased 0.2 to 1.2% yr</w:t>
      </w:r>
      <w:r>
        <w:rPr>
          <w:vertAlign w:val="superscript"/>
        </w:rPr>
        <w:t>-1</w:t>
      </w:r>
      <w:r>
        <w:t xml:space="preserve"> in no-till systems depending on clay content. SOC additions also affect soil physical properties by decreasing bulk density allowing for better root penetration and SOC accumulation at lower depths </w:t>
      </w:r>
      <w:r>
        <w:rPr>
          <w:noProof/>
        </w:rPr>
        <w:t>(Lemus and Lal, 2005)</w:t>
      </w:r>
      <w:r>
        <w:t>.</w:t>
      </w:r>
    </w:p>
    <w:p w:rsidR="00F24219" w:rsidRPr="00C0338A" w:rsidRDefault="00F24219" w:rsidP="00265C65">
      <w:pPr>
        <w:numPr>
          <w:ilvl w:val="12"/>
          <w:numId w:val="0"/>
        </w:numPr>
        <w:spacing w:line="480" w:lineRule="auto"/>
        <w:ind w:firstLine="720"/>
      </w:pPr>
      <w:r>
        <w:t>Researchers</w:t>
      </w:r>
      <w:r w:rsidRPr="00C0338A">
        <w:t xml:space="preserve"> argue that replacing fossil fuels with bioenergy will have the greatest effect on atmospheric CO2 when compared with C-sequestration because the cumulative effects of replacing fossil fuels is greater than the onetime benefit of C-sequestration</w:t>
      </w:r>
      <w:r>
        <w:t xml:space="preserve"> </w:t>
      </w:r>
      <w:r>
        <w:rPr>
          <w:noProof/>
        </w:rPr>
        <w:t>(Adler et al., 2007; Bransby et al., 1998; Lemus and Lal, 2005; Tilman et al., 2006)</w:t>
      </w:r>
      <w:r w:rsidRPr="00C0338A">
        <w:t>. In spite of these findings, there still remains a need for relevant local, regional, and national information on soil C-dynamics</w:t>
      </w:r>
      <w:r>
        <w:t xml:space="preserve"> </w:t>
      </w:r>
      <w:r>
        <w:rPr>
          <w:noProof/>
        </w:rPr>
        <w:t>(Bransby et al., 1998; Groom et al., 2008; Lee et al., 2007)</w:t>
      </w:r>
      <w:r>
        <w:t xml:space="preserve">. </w:t>
      </w:r>
    </w:p>
    <w:p w:rsidR="00F24219" w:rsidRPr="00C0338A" w:rsidRDefault="00F24219" w:rsidP="00F24219">
      <w:pPr>
        <w:pStyle w:val="Heading2"/>
        <w:rPr>
          <w:rFonts w:ascii="Times New Roman" w:hAnsi="Times New Roman" w:cs="Times New Roman"/>
        </w:rPr>
      </w:pPr>
      <w:r w:rsidRPr="00C0338A">
        <w:rPr>
          <w:rFonts w:ascii="Times New Roman" w:hAnsi="Times New Roman" w:cs="Times New Roman"/>
        </w:rPr>
        <w:lastRenderedPageBreak/>
        <w:t>Materials and Methods</w:t>
      </w:r>
    </w:p>
    <w:p w:rsidR="00F24219" w:rsidRPr="00C0338A" w:rsidRDefault="00F24219" w:rsidP="00265C65">
      <w:pPr>
        <w:pStyle w:val="NoSpacing"/>
        <w:spacing w:line="480" w:lineRule="auto"/>
        <w:rPr>
          <w:rFonts w:ascii="Times New Roman" w:hAnsi="Times New Roman"/>
          <w:i/>
          <w:sz w:val="24"/>
          <w:szCs w:val="24"/>
        </w:rPr>
      </w:pPr>
      <w:r w:rsidRPr="00C0338A">
        <w:rPr>
          <w:rFonts w:ascii="Times New Roman" w:hAnsi="Times New Roman"/>
          <w:b/>
          <w:i/>
          <w:sz w:val="24"/>
          <w:szCs w:val="24"/>
        </w:rPr>
        <w:t>Sampling Sites</w:t>
      </w:r>
      <w:r w:rsidRPr="00C0338A">
        <w:rPr>
          <w:rFonts w:ascii="Times New Roman" w:hAnsi="Times New Roman"/>
          <w:i/>
          <w:sz w:val="24"/>
          <w:szCs w:val="24"/>
        </w:rPr>
        <w:t>:</w:t>
      </w:r>
    </w:p>
    <w:p w:rsidR="00F24219" w:rsidRPr="00C0338A" w:rsidRDefault="00F24219" w:rsidP="00265C65">
      <w:pPr>
        <w:pStyle w:val="NoSpacing"/>
        <w:spacing w:line="480" w:lineRule="auto"/>
        <w:ind w:firstLine="720"/>
        <w:rPr>
          <w:rFonts w:ascii="Times New Roman" w:hAnsi="Times New Roman"/>
          <w:noProof/>
          <w:sz w:val="24"/>
        </w:rPr>
      </w:pPr>
      <w:r w:rsidRPr="00C0338A">
        <w:rPr>
          <w:rFonts w:ascii="Times New Roman" w:hAnsi="Times New Roman"/>
          <w:sz w:val="24"/>
        </w:rPr>
        <w:t xml:space="preserve">The soil carbon sequestration portion of this study was conducted in accordance with the DOE Consortium for Research Enhancing Carbon Sequestration in Terrestrial Ecosystems (CSiTE). CSiTE is research collaboration among Argonne National Laboratory, Oak Ridge National Laboratory, Pacific Northwest National Laboratory, and affiliated academic institutions. They conduct multi-scale research to obtain knowledge for the execution of soil C sequestration. The premise of research for CSiTE is identifying and understanding the mechanisms controlling sequestration in both managed and unmanaged ecosystems in order to develop methods for enhancing C capture and storage. These research studies contribute to the observations of impacts of climate and land-use on soil C and the associated environmental and economic consequences. Of the seven themes of the CSiTE project, this experiment focused on soil carbon inputs, soil structural controls, and function and dynamics. The findings for all CSiTE research have the potential to have an immediate application to the successful development of energy technology. </w:t>
      </w:r>
    </w:p>
    <w:p w:rsidR="00F24219" w:rsidRPr="00C0338A" w:rsidRDefault="00243C89" w:rsidP="00265C65">
      <w:pPr>
        <w:pStyle w:val="NoSpacing"/>
        <w:spacing w:line="480" w:lineRule="auto"/>
        <w:ind w:firstLine="720"/>
        <w:jc w:val="center"/>
        <w:rPr>
          <w:rFonts w:ascii="Times New Roman" w:hAnsi="Times New Roman"/>
          <w:sz w:val="24"/>
        </w:rPr>
      </w:pPr>
      <w:r>
        <w:rPr>
          <w:rFonts w:ascii="Times New Roman" w:hAnsi="Times New Roman"/>
          <w:noProof/>
          <w:sz w:val="24"/>
        </w:rPr>
        <w:lastRenderedPageBreak/>
        <w:pict>
          <v:shape id="Picture 2" o:spid="_x0000_i1026" type="#_x0000_t75" style="width:348.2pt;height:263.3pt;visibility:visible">
            <v:imagedata r:id="rId13" o:title=""/>
            <v:shadow color="#eeece1"/>
            <o:lock v:ext="edit" grouping="t"/>
          </v:shape>
        </w:pict>
      </w:r>
    </w:p>
    <w:p w:rsidR="00F24219" w:rsidRPr="005965FB" w:rsidRDefault="00F24219" w:rsidP="00265C65">
      <w:pPr>
        <w:pStyle w:val="NoSpacing"/>
        <w:spacing w:line="480" w:lineRule="auto"/>
        <w:rPr>
          <w:rFonts w:ascii="Times New Roman" w:hAnsi="Times New Roman"/>
          <w:b/>
          <w:sz w:val="24"/>
        </w:rPr>
      </w:pPr>
      <w:r>
        <w:rPr>
          <w:rFonts w:ascii="Times New Roman" w:hAnsi="Times New Roman"/>
          <w:b/>
          <w:sz w:val="24"/>
        </w:rPr>
        <w:t>Figure 1.1 Map o</w:t>
      </w:r>
      <w:r w:rsidRPr="005965FB">
        <w:rPr>
          <w:rFonts w:ascii="Times New Roman" w:hAnsi="Times New Roman"/>
          <w:b/>
          <w:sz w:val="24"/>
        </w:rPr>
        <w:t>f</w:t>
      </w:r>
      <w:r>
        <w:rPr>
          <w:rFonts w:ascii="Times New Roman" w:hAnsi="Times New Roman"/>
          <w:b/>
          <w:sz w:val="24"/>
        </w:rPr>
        <w:t xml:space="preserve"> f</w:t>
      </w:r>
      <w:r w:rsidRPr="005965FB">
        <w:rPr>
          <w:rFonts w:ascii="Times New Roman" w:hAnsi="Times New Roman"/>
          <w:b/>
          <w:sz w:val="24"/>
        </w:rPr>
        <w:t>arm sites</w:t>
      </w:r>
      <w:r>
        <w:rPr>
          <w:rFonts w:ascii="Times New Roman" w:hAnsi="Times New Roman"/>
          <w:b/>
          <w:sz w:val="24"/>
        </w:rPr>
        <w:t xml:space="preserve"> </w:t>
      </w:r>
    </w:p>
    <w:p w:rsidR="00F24219" w:rsidRDefault="00F24219" w:rsidP="00265C65">
      <w:pPr>
        <w:pStyle w:val="NoSpacing"/>
        <w:spacing w:line="480" w:lineRule="auto"/>
        <w:ind w:firstLine="720"/>
        <w:rPr>
          <w:rFonts w:ascii="Times New Roman" w:hAnsi="Times New Roman"/>
          <w:i/>
          <w:sz w:val="24"/>
        </w:rPr>
      </w:pPr>
      <w:r w:rsidRPr="00C0338A">
        <w:rPr>
          <w:rFonts w:ascii="Times New Roman" w:hAnsi="Times New Roman"/>
          <w:sz w:val="24"/>
        </w:rPr>
        <w:t>Soil samples for percent organic carbon were taken on farms growing switchgrass all across East Tennessee.</w:t>
      </w:r>
      <w:r w:rsidRPr="00C0338A">
        <w:rPr>
          <w:rFonts w:ascii="Times New Roman" w:hAnsi="Times New Roman"/>
          <w:noProof/>
          <w:sz w:val="24"/>
        </w:rPr>
        <w:t xml:space="preserve"> </w:t>
      </w:r>
      <w:r w:rsidRPr="00C0338A">
        <w:rPr>
          <w:rFonts w:ascii="Times New Roman" w:hAnsi="Times New Roman"/>
          <w:sz w:val="24"/>
        </w:rPr>
        <w:t>The switchgrass on the farms was largely Alamo or Kanlow due to high yield potentials. The switchgrass was planted in 2007 except one farm was planted in 2005. The switchgrass was managed according to UT Biofuels Initiative. The switchgrass was mowed once a year to a height of 16 to 25 centimeters after the first freeze of the year and receives the fertilizer recommendations seen below.</w:t>
      </w:r>
    </w:p>
    <w:p w:rsidR="00F24219" w:rsidRPr="00FF747A" w:rsidRDefault="00F24219" w:rsidP="00265C65">
      <w:pPr>
        <w:pStyle w:val="NoSpacing"/>
        <w:spacing w:line="480" w:lineRule="auto"/>
        <w:jc w:val="both"/>
        <w:rPr>
          <w:rFonts w:ascii="Times New Roman" w:hAnsi="Times New Roman"/>
          <w:i/>
          <w:sz w:val="24"/>
        </w:rPr>
      </w:pPr>
      <w:r>
        <w:rPr>
          <w:rFonts w:ascii="Times New Roman" w:hAnsi="Times New Roman"/>
          <w:b/>
          <w:sz w:val="24"/>
        </w:rPr>
        <w:t>Table 1.1</w:t>
      </w:r>
      <w:r w:rsidRPr="005965FB">
        <w:rPr>
          <w:rFonts w:ascii="Times New Roman" w:hAnsi="Times New Roman"/>
          <w:b/>
          <w:sz w:val="24"/>
        </w:rPr>
        <w:t xml:space="preserve"> Fertilizer recommendations for UT Biofuel Initiatives (kg </w:t>
      </w:r>
      <w:r>
        <w:rPr>
          <w:rFonts w:ascii="Times New Roman" w:hAnsi="Times New Roman"/>
          <w:b/>
          <w:sz w:val="24"/>
        </w:rPr>
        <w:t>ha</w:t>
      </w:r>
      <w:r w:rsidRPr="005965FB">
        <w:rPr>
          <w:rFonts w:ascii="Times New Roman" w:hAnsi="Times New Roman"/>
          <w:b/>
          <w:sz w:val="24"/>
          <w:vertAlign w:val="superscript"/>
        </w:rPr>
        <w:t>-1</w:t>
      </w:r>
      <w:r>
        <w:rPr>
          <w:rFonts w:ascii="Times New Roman" w:hAnsi="Times New Roman"/>
          <w:b/>
          <w:sz w:val="24"/>
        </w:rPr>
        <w:t>)</w:t>
      </w:r>
    </w:p>
    <w:tbl>
      <w:tblPr>
        <w:tblW w:w="8404" w:type="dxa"/>
        <w:tblInd w:w="93" w:type="dxa"/>
        <w:tblLook w:val="04A0" w:firstRow="1" w:lastRow="0" w:firstColumn="1" w:lastColumn="0" w:noHBand="0" w:noVBand="1"/>
      </w:tblPr>
      <w:tblGrid>
        <w:gridCol w:w="2394"/>
        <w:gridCol w:w="1739"/>
        <w:gridCol w:w="833"/>
        <w:gridCol w:w="752"/>
        <w:gridCol w:w="630"/>
        <w:gridCol w:w="773"/>
        <w:gridCol w:w="699"/>
        <w:gridCol w:w="584"/>
      </w:tblGrid>
      <w:tr w:rsidR="00F24219" w:rsidTr="00265C65">
        <w:trPr>
          <w:trHeight w:val="309"/>
        </w:trPr>
        <w:tc>
          <w:tcPr>
            <w:tcW w:w="2394"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bottom"/>
            <w:hideMark/>
          </w:tcPr>
          <w:p w:rsidR="00F24219" w:rsidRDefault="00F24219">
            <w:pPr>
              <w:rPr>
                <w:color w:val="000000"/>
                <w:sz w:val="22"/>
                <w:szCs w:val="22"/>
              </w:rPr>
            </w:pPr>
            <w:r>
              <w:rPr>
                <w:color w:val="000000"/>
                <w:sz w:val="22"/>
                <w:szCs w:val="22"/>
              </w:rPr>
              <w:t>Practice</w:t>
            </w:r>
          </w:p>
        </w:tc>
        <w:tc>
          <w:tcPr>
            <w:tcW w:w="1739" w:type="dxa"/>
            <w:tcBorders>
              <w:top w:val="single" w:sz="4" w:space="0" w:color="auto"/>
              <w:left w:val="nil"/>
              <w:bottom w:val="single" w:sz="4" w:space="0" w:color="auto"/>
              <w:right w:val="double" w:sz="6" w:space="0" w:color="auto"/>
            </w:tcBorders>
            <w:shd w:val="clear" w:color="000000" w:fill="D9D9D9"/>
            <w:noWrap/>
            <w:vAlign w:val="bottom"/>
            <w:hideMark/>
          </w:tcPr>
          <w:p w:rsidR="00F24219" w:rsidRDefault="00F24219">
            <w:pPr>
              <w:jc w:val="center"/>
              <w:rPr>
                <w:color w:val="000000"/>
                <w:sz w:val="22"/>
                <w:szCs w:val="22"/>
              </w:rPr>
            </w:pPr>
            <w:r>
              <w:rPr>
                <w:color w:val="000000"/>
                <w:sz w:val="22"/>
                <w:szCs w:val="22"/>
              </w:rPr>
              <w:t>Nitrogen</w:t>
            </w:r>
          </w:p>
        </w:tc>
        <w:tc>
          <w:tcPr>
            <w:tcW w:w="2214" w:type="dxa"/>
            <w:gridSpan w:val="3"/>
            <w:tcBorders>
              <w:top w:val="single" w:sz="4" w:space="0" w:color="auto"/>
              <w:left w:val="nil"/>
              <w:bottom w:val="single" w:sz="4" w:space="0" w:color="auto"/>
              <w:right w:val="double" w:sz="6" w:space="0" w:color="000000"/>
            </w:tcBorders>
            <w:shd w:val="clear" w:color="000000" w:fill="D9D9D9"/>
            <w:noWrap/>
            <w:vAlign w:val="bottom"/>
            <w:hideMark/>
          </w:tcPr>
          <w:p w:rsidR="00F24219" w:rsidRDefault="00F24219">
            <w:pPr>
              <w:jc w:val="center"/>
              <w:rPr>
                <w:color w:val="000000"/>
                <w:sz w:val="22"/>
                <w:szCs w:val="22"/>
              </w:rPr>
            </w:pPr>
            <w:r>
              <w:rPr>
                <w:color w:val="000000"/>
                <w:sz w:val="22"/>
                <w:szCs w:val="22"/>
              </w:rPr>
              <w:t>Phosphate (P</w:t>
            </w:r>
            <w:r>
              <w:rPr>
                <w:rFonts w:ascii="Cambria Math" w:hAnsi="Cambria Math" w:cs="Cambria Math"/>
                <w:color w:val="000000"/>
                <w:sz w:val="22"/>
                <w:szCs w:val="22"/>
              </w:rPr>
              <w:t>₂</w:t>
            </w:r>
            <w:r>
              <w:rPr>
                <w:color w:val="000000"/>
                <w:sz w:val="22"/>
                <w:szCs w:val="22"/>
              </w:rPr>
              <w:t>O</w:t>
            </w:r>
            <w:r>
              <w:rPr>
                <w:rFonts w:ascii="Cambria Math" w:hAnsi="Cambria Math" w:cs="Cambria Math"/>
                <w:color w:val="000000"/>
                <w:sz w:val="22"/>
                <w:szCs w:val="22"/>
              </w:rPr>
              <w:t>₅</w:t>
            </w:r>
            <w:r>
              <w:rPr>
                <w:color w:val="000000"/>
                <w:sz w:val="22"/>
                <w:szCs w:val="22"/>
              </w:rPr>
              <w:t>)</w:t>
            </w:r>
          </w:p>
        </w:tc>
        <w:tc>
          <w:tcPr>
            <w:tcW w:w="2056"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F24219" w:rsidRDefault="00F24219">
            <w:pPr>
              <w:jc w:val="center"/>
              <w:rPr>
                <w:color w:val="000000"/>
                <w:sz w:val="22"/>
                <w:szCs w:val="22"/>
              </w:rPr>
            </w:pPr>
            <w:r>
              <w:rPr>
                <w:color w:val="000000"/>
                <w:sz w:val="22"/>
                <w:szCs w:val="22"/>
              </w:rPr>
              <w:t>Potash (K</w:t>
            </w:r>
            <w:r>
              <w:rPr>
                <w:rFonts w:ascii="Cambria Math" w:hAnsi="Cambria Math" w:cs="Cambria Math"/>
                <w:color w:val="000000"/>
                <w:sz w:val="22"/>
                <w:szCs w:val="22"/>
              </w:rPr>
              <w:t>₂</w:t>
            </w:r>
            <w:r>
              <w:rPr>
                <w:color w:val="000000"/>
                <w:sz w:val="22"/>
                <w:szCs w:val="22"/>
              </w:rPr>
              <w:t>O)</w:t>
            </w:r>
          </w:p>
        </w:tc>
      </w:tr>
      <w:tr w:rsidR="00F24219" w:rsidTr="00265C65">
        <w:trPr>
          <w:trHeight w:val="309"/>
        </w:trPr>
        <w:tc>
          <w:tcPr>
            <w:tcW w:w="2394" w:type="dxa"/>
            <w:vMerge/>
            <w:tcBorders>
              <w:top w:val="single" w:sz="4" w:space="0" w:color="auto"/>
              <w:left w:val="single" w:sz="4" w:space="0" w:color="auto"/>
              <w:bottom w:val="single" w:sz="4" w:space="0" w:color="000000"/>
              <w:right w:val="single" w:sz="4" w:space="0" w:color="auto"/>
            </w:tcBorders>
            <w:vAlign w:val="center"/>
            <w:hideMark/>
          </w:tcPr>
          <w:p w:rsidR="00F24219" w:rsidRDefault="00F24219">
            <w:pPr>
              <w:rPr>
                <w:color w:val="000000"/>
                <w:sz w:val="22"/>
                <w:szCs w:val="22"/>
              </w:rPr>
            </w:pPr>
          </w:p>
        </w:tc>
        <w:tc>
          <w:tcPr>
            <w:tcW w:w="6009" w:type="dxa"/>
            <w:gridSpan w:val="7"/>
            <w:tcBorders>
              <w:top w:val="single" w:sz="4" w:space="0" w:color="auto"/>
              <w:left w:val="nil"/>
              <w:bottom w:val="single" w:sz="4" w:space="0" w:color="auto"/>
              <w:right w:val="single" w:sz="4" w:space="0" w:color="000000"/>
            </w:tcBorders>
            <w:shd w:val="clear" w:color="000000" w:fill="D9D9D9"/>
            <w:noWrap/>
            <w:vAlign w:val="bottom"/>
            <w:hideMark/>
          </w:tcPr>
          <w:p w:rsidR="00F24219" w:rsidRDefault="00F24219">
            <w:pPr>
              <w:jc w:val="center"/>
              <w:rPr>
                <w:color w:val="000000"/>
                <w:sz w:val="22"/>
                <w:szCs w:val="22"/>
              </w:rPr>
            </w:pPr>
            <w:r>
              <w:rPr>
                <w:color w:val="000000"/>
                <w:sz w:val="22"/>
                <w:szCs w:val="22"/>
              </w:rPr>
              <w:t>Soil Test Levels</w:t>
            </w:r>
          </w:p>
        </w:tc>
      </w:tr>
      <w:tr w:rsidR="00F24219" w:rsidTr="00265C65">
        <w:trPr>
          <w:trHeight w:val="309"/>
        </w:trPr>
        <w:tc>
          <w:tcPr>
            <w:tcW w:w="2394" w:type="dxa"/>
            <w:vMerge/>
            <w:tcBorders>
              <w:top w:val="single" w:sz="4" w:space="0" w:color="auto"/>
              <w:left w:val="single" w:sz="4" w:space="0" w:color="auto"/>
              <w:bottom w:val="single" w:sz="4" w:space="0" w:color="000000"/>
              <w:right w:val="single" w:sz="4" w:space="0" w:color="auto"/>
            </w:tcBorders>
            <w:vAlign w:val="center"/>
            <w:hideMark/>
          </w:tcPr>
          <w:p w:rsidR="00F24219" w:rsidRDefault="00F24219">
            <w:pPr>
              <w:rPr>
                <w:color w:val="000000"/>
                <w:sz w:val="22"/>
                <w:szCs w:val="22"/>
              </w:rPr>
            </w:pPr>
          </w:p>
        </w:tc>
        <w:tc>
          <w:tcPr>
            <w:tcW w:w="1739" w:type="dxa"/>
            <w:tcBorders>
              <w:top w:val="nil"/>
              <w:left w:val="nil"/>
              <w:bottom w:val="single" w:sz="4" w:space="0" w:color="auto"/>
              <w:right w:val="double" w:sz="6" w:space="0" w:color="auto"/>
            </w:tcBorders>
            <w:shd w:val="clear" w:color="000000" w:fill="D9D9D9"/>
            <w:noWrap/>
            <w:vAlign w:val="bottom"/>
            <w:hideMark/>
          </w:tcPr>
          <w:p w:rsidR="00F24219" w:rsidRDefault="00F24219">
            <w:pPr>
              <w:jc w:val="center"/>
              <w:rPr>
                <w:color w:val="000000"/>
                <w:sz w:val="22"/>
                <w:szCs w:val="22"/>
              </w:rPr>
            </w:pPr>
            <w:r>
              <w:rPr>
                <w:color w:val="000000"/>
                <w:sz w:val="22"/>
                <w:szCs w:val="22"/>
              </w:rPr>
              <w:t>(NT)</w:t>
            </w:r>
          </w:p>
        </w:tc>
        <w:tc>
          <w:tcPr>
            <w:tcW w:w="833" w:type="dxa"/>
            <w:tcBorders>
              <w:top w:val="nil"/>
              <w:left w:val="nil"/>
              <w:bottom w:val="single" w:sz="4" w:space="0" w:color="auto"/>
              <w:right w:val="single" w:sz="4" w:space="0" w:color="auto"/>
            </w:tcBorders>
            <w:shd w:val="clear" w:color="000000" w:fill="D9D9D9"/>
            <w:noWrap/>
            <w:vAlign w:val="bottom"/>
            <w:hideMark/>
          </w:tcPr>
          <w:p w:rsidR="00F24219" w:rsidRDefault="00F24219">
            <w:pPr>
              <w:jc w:val="center"/>
              <w:rPr>
                <w:color w:val="000000"/>
                <w:sz w:val="22"/>
                <w:szCs w:val="22"/>
              </w:rPr>
            </w:pPr>
            <w:r>
              <w:rPr>
                <w:color w:val="000000"/>
                <w:sz w:val="22"/>
                <w:szCs w:val="22"/>
              </w:rPr>
              <w:t>L</w:t>
            </w:r>
          </w:p>
        </w:tc>
        <w:tc>
          <w:tcPr>
            <w:tcW w:w="752" w:type="dxa"/>
            <w:tcBorders>
              <w:top w:val="nil"/>
              <w:left w:val="nil"/>
              <w:bottom w:val="single" w:sz="4" w:space="0" w:color="auto"/>
              <w:right w:val="single" w:sz="4" w:space="0" w:color="auto"/>
            </w:tcBorders>
            <w:shd w:val="clear" w:color="000000" w:fill="D9D9D9"/>
            <w:noWrap/>
            <w:vAlign w:val="bottom"/>
            <w:hideMark/>
          </w:tcPr>
          <w:p w:rsidR="00F24219" w:rsidRDefault="00F24219">
            <w:pPr>
              <w:jc w:val="center"/>
              <w:rPr>
                <w:color w:val="000000"/>
                <w:sz w:val="22"/>
                <w:szCs w:val="22"/>
              </w:rPr>
            </w:pPr>
            <w:r>
              <w:rPr>
                <w:color w:val="000000"/>
                <w:sz w:val="22"/>
                <w:szCs w:val="22"/>
              </w:rPr>
              <w:t>M</w:t>
            </w:r>
          </w:p>
        </w:tc>
        <w:tc>
          <w:tcPr>
            <w:tcW w:w="630" w:type="dxa"/>
            <w:tcBorders>
              <w:top w:val="nil"/>
              <w:left w:val="nil"/>
              <w:bottom w:val="single" w:sz="4" w:space="0" w:color="auto"/>
              <w:right w:val="double" w:sz="6" w:space="0" w:color="auto"/>
            </w:tcBorders>
            <w:shd w:val="clear" w:color="000000" w:fill="D9D9D9"/>
            <w:noWrap/>
            <w:vAlign w:val="bottom"/>
            <w:hideMark/>
          </w:tcPr>
          <w:p w:rsidR="00F24219" w:rsidRDefault="00F24219">
            <w:pPr>
              <w:jc w:val="center"/>
              <w:rPr>
                <w:color w:val="000000"/>
                <w:sz w:val="22"/>
                <w:szCs w:val="22"/>
              </w:rPr>
            </w:pPr>
            <w:r>
              <w:rPr>
                <w:color w:val="000000"/>
                <w:sz w:val="22"/>
                <w:szCs w:val="22"/>
              </w:rPr>
              <w:t>H</w:t>
            </w:r>
          </w:p>
        </w:tc>
        <w:tc>
          <w:tcPr>
            <w:tcW w:w="773" w:type="dxa"/>
            <w:tcBorders>
              <w:top w:val="nil"/>
              <w:left w:val="nil"/>
              <w:bottom w:val="single" w:sz="4" w:space="0" w:color="auto"/>
              <w:right w:val="single" w:sz="4" w:space="0" w:color="auto"/>
            </w:tcBorders>
            <w:shd w:val="clear" w:color="000000" w:fill="D9D9D9"/>
            <w:noWrap/>
            <w:vAlign w:val="bottom"/>
            <w:hideMark/>
          </w:tcPr>
          <w:p w:rsidR="00F24219" w:rsidRDefault="00F24219">
            <w:pPr>
              <w:jc w:val="center"/>
              <w:rPr>
                <w:color w:val="000000"/>
                <w:sz w:val="22"/>
                <w:szCs w:val="22"/>
              </w:rPr>
            </w:pPr>
            <w:r>
              <w:rPr>
                <w:color w:val="000000"/>
                <w:sz w:val="22"/>
                <w:szCs w:val="22"/>
              </w:rPr>
              <w:t>L</w:t>
            </w:r>
          </w:p>
        </w:tc>
        <w:tc>
          <w:tcPr>
            <w:tcW w:w="699" w:type="dxa"/>
            <w:tcBorders>
              <w:top w:val="nil"/>
              <w:left w:val="nil"/>
              <w:bottom w:val="single" w:sz="4" w:space="0" w:color="auto"/>
              <w:right w:val="single" w:sz="4" w:space="0" w:color="auto"/>
            </w:tcBorders>
            <w:shd w:val="clear" w:color="000000" w:fill="D9D9D9"/>
            <w:noWrap/>
            <w:vAlign w:val="bottom"/>
            <w:hideMark/>
          </w:tcPr>
          <w:p w:rsidR="00F24219" w:rsidRDefault="00F24219">
            <w:pPr>
              <w:jc w:val="center"/>
              <w:rPr>
                <w:color w:val="000000"/>
                <w:sz w:val="22"/>
                <w:szCs w:val="22"/>
              </w:rPr>
            </w:pPr>
            <w:r>
              <w:rPr>
                <w:color w:val="000000"/>
                <w:sz w:val="22"/>
                <w:szCs w:val="22"/>
              </w:rPr>
              <w:t>M</w:t>
            </w:r>
          </w:p>
        </w:tc>
        <w:tc>
          <w:tcPr>
            <w:tcW w:w="584" w:type="dxa"/>
            <w:tcBorders>
              <w:top w:val="nil"/>
              <w:left w:val="nil"/>
              <w:bottom w:val="single" w:sz="4" w:space="0" w:color="auto"/>
              <w:right w:val="single" w:sz="4" w:space="0" w:color="auto"/>
            </w:tcBorders>
            <w:shd w:val="clear" w:color="000000" w:fill="D9D9D9"/>
            <w:noWrap/>
            <w:vAlign w:val="bottom"/>
            <w:hideMark/>
          </w:tcPr>
          <w:p w:rsidR="00F24219" w:rsidRDefault="00F24219">
            <w:pPr>
              <w:jc w:val="center"/>
              <w:rPr>
                <w:color w:val="000000"/>
                <w:sz w:val="22"/>
                <w:szCs w:val="22"/>
              </w:rPr>
            </w:pPr>
            <w:r>
              <w:rPr>
                <w:color w:val="000000"/>
                <w:sz w:val="22"/>
                <w:szCs w:val="22"/>
              </w:rPr>
              <w:t>H</w:t>
            </w:r>
          </w:p>
        </w:tc>
      </w:tr>
      <w:tr w:rsidR="00F24219" w:rsidTr="00265C65">
        <w:trPr>
          <w:trHeight w:val="309"/>
        </w:trPr>
        <w:tc>
          <w:tcPr>
            <w:tcW w:w="2394" w:type="dxa"/>
            <w:tcBorders>
              <w:top w:val="nil"/>
              <w:left w:val="single" w:sz="4" w:space="0" w:color="auto"/>
              <w:bottom w:val="single" w:sz="4" w:space="0" w:color="auto"/>
              <w:right w:val="single" w:sz="4" w:space="0" w:color="auto"/>
            </w:tcBorders>
            <w:shd w:val="clear" w:color="auto" w:fill="auto"/>
            <w:noWrap/>
            <w:vAlign w:val="bottom"/>
            <w:hideMark/>
          </w:tcPr>
          <w:p w:rsidR="00F24219" w:rsidRPr="00FF747A" w:rsidRDefault="00F24219">
            <w:pPr>
              <w:rPr>
                <w:color w:val="000000"/>
                <w:szCs w:val="22"/>
              </w:rPr>
            </w:pPr>
            <w:r w:rsidRPr="00FF747A">
              <w:rPr>
                <w:color w:val="000000"/>
                <w:szCs w:val="22"/>
              </w:rPr>
              <w:t>1. Establishment Year</w:t>
            </w:r>
          </w:p>
        </w:tc>
        <w:tc>
          <w:tcPr>
            <w:tcW w:w="1739" w:type="dxa"/>
            <w:tcBorders>
              <w:top w:val="nil"/>
              <w:left w:val="nil"/>
              <w:bottom w:val="single" w:sz="4" w:space="0" w:color="auto"/>
              <w:right w:val="double" w:sz="6"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w:t>
            </w:r>
          </w:p>
        </w:tc>
        <w:tc>
          <w:tcPr>
            <w:tcW w:w="833"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45</w:t>
            </w:r>
          </w:p>
        </w:tc>
        <w:tc>
          <w:tcPr>
            <w:tcW w:w="75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w:t>
            </w:r>
          </w:p>
        </w:tc>
        <w:tc>
          <w:tcPr>
            <w:tcW w:w="630" w:type="dxa"/>
            <w:tcBorders>
              <w:top w:val="nil"/>
              <w:left w:val="nil"/>
              <w:bottom w:val="single" w:sz="4" w:space="0" w:color="auto"/>
              <w:right w:val="double" w:sz="6"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w:t>
            </w:r>
          </w:p>
        </w:tc>
        <w:tc>
          <w:tcPr>
            <w:tcW w:w="773"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89</w:t>
            </w:r>
          </w:p>
        </w:tc>
        <w:tc>
          <w:tcPr>
            <w:tcW w:w="699"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w:t>
            </w:r>
          </w:p>
        </w:tc>
        <w:tc>
          <w:tcPr>
            <w:tcW w:w="584"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w:t>
            </w:r>
          </w:p>
        </w:tc>
      </w:tr>
      <w:tr w:rsidR="00F24219" w:rsidTr="00265C65">
        <w:trPr>
          <w:trHeight w:val="309"/>
        </w:trPr>
        <w:tc>
          <w:tcPr>
            <w:tcW w:w="2394" w:type="dxa"/>
            <w:tcBorders>
              <w:top w:val="nil"/>
              <w:left w:val="single" w:sz="4" w:space="0" w:color="auto"/>
              <w:bottom w:val="single" w:sz="4" w:space="0" w:color="auto"/>
              <w:right w:val="single" w:sz="4" w:space="0" w:color="auto"/>
            </w:tcBorders>
            <w:shd w:val="clear" w:color="auto" w:fill="auto"/>
            <w:noWrap/>
            <w:vAlign w:val="bottom"/>
            <w:hideMark/>
          </w:tcPr>
          <w:p w:rsidR="00F24219" w:rsidRPr="00FF747A" w:rsidRDefault="00F24219">
            <w:pPr>
              <w:rPr>
                <w:color w:val="000000"/>
                <w:szCs w:val="22"/>
              </w:rPr>
            </w:pPr>
            <w:r>
              <w:rPr>
                <w:color w:val="000000"/>
                <w:szCs w:val="22"/>
              </w:rPr>
              <w:t>2. Maintenan</w:t>
            </w:r>
            <w:r w:rsidRPr="00FF747A">
              <w:rPr>
                <w:color w:val="000000"/>
                <w:szCs w:val="22"/>
              </w:rPr>
              <w:t>ce Year</w:t>
            </w:r>
          </w:p>
        </w:tc>
        <w:tc>
          <w:tcPr>
            <w:tcW w:w="1739" w:type="dxa"/>
            <w:tcBorders>
              <w:top w:val="nil"/>
              <w:left w:val="nil"/>
              <w:bottom w:val="single" w:sz="4" w:space="0" w:color="auto"/>
              <w:right w:val="double" w:sz="6"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67</w:t>
            </w:r>
          </w:p>
        </w:tc>
        <w:tc>
          <w:tcPr>
            <w:tcW w:w="833"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45</w:t>
            </w:r>
          </w:p>
        </w:tc>
        <w:tc>
          <w:tcPr>
            <w:tcW w:w="75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w:t>
            </w:r>
          </w:p>
        </w:tc>
        <w:tc>
          <w:tcPr>
            <w:tcW w:w="630" w:type="dxa"/>
            <w:tcBorders>
              <w:top w:val="nil"/>
              <w:left w:val="nil"/>
              <w:bottom w:val="single" w:sz="4" w:space="0" w:color="auto"/>
              <w:right w:val="double" w:sz="6"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w:t>
            </w:r>
          </w:p>
        </w:tc>
        <w:tc>
          <w:tcPr>
            <w:tcW w:w="773"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89</w:t>
            </w:r>
          </w:p>
        </w:tc>
        <w:tc>
          <w:tcPr>
            <w:tcW w:w="699"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w:t>
            </w:r>
          </w:p>
        </w:tc>
        <w:tc>
          <w:tcPr>
            <w:tcW w:w="584"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w:t>
            </w:r>
          </w:p>
        </w:tc>
      </w:tr>
      <w:tr w:rsidR="00F24219" w:rsidTr="00265C65">
        <w:trPr>
          <w:trHeight w:val="309"/>
        </w:trPr>
        <w:tc>
          <w:tcPr>
            <w:tcW w:w="8403" w:type="dxa"/>
            <w:gridSpan w:val="8"/>
            <w:tcBorders>
              <w:top w:val="nil"/>
              <w:left w:val="single" w:sz="4" w:space="0" w:color="auto"/>
              <w:bottom w:val="single" w:sz="4" w:space="0" w:color="auto"/>
              <w:right w:val="single" w:sz="4" w:space="0" w:color="000000"/>
            </w:tcBorders>
            <w:shd w:val="clear" w:color="auto" w:fill="auto"/>
            <w:noWrap/>
            <w:vAlign w:val="bottom"/>
            <w:hideMark/>
          </w:tcPr>
          <w:p w:rsidR="00F24219" w:rsidRDefault="00F24219">
            <w:pPr>
              <w:jc w:val="center"/>
              <w:rPr>
                <w:color w:val="000000"/>
                <w:sz w:val="22"/>
                <w:szCs w:val="22"/>
              </w:rPr>
            </w:pPr>
            <w:r>
              <w:rPr>
                <w:color w:val="000000"/>
                <w:sz w:val="22"/>
                <w:szCs w:val="22"/>
              </w:rPr>
              <w:t>NT = Not Tested        L= Low      M= Medium   H= High</w:t>
            </w:r>
          </w:p>
        </w:tc>
      </w:tr>
    </w:tbl>
    <w:p w:rsidR="00F24219" w:rsidRDefault="00F24219" w:rsidP="00265C65">
      <w:pPr>
        <w:pStyle w:val="NoSpacing"/>
        <w:spacing w:line="480" w:lineRule="auto"/>
        <w:ind w:firstLine="720"/>
        <w:rPr>
          <w:rFonts w:ascii="Times New Roman" w:hAnsi="Times New Roman"/>
          <w:sz w:val="24"/>
        </w:rPr>
      </w:pPr>
    </w:p>
    <w:p w:rsidR="00F24219" w:rsidRPr="00C0338A" w:rsidRDefault="00F24219" w:rsidP="00265C65">
      <w:pPr>
        <w:pStyle w:val="NoSpacing"/>
        <w:spacing w:line="480" w:lineRule="auto"/>
        <w:ind w:firstLine="720"/>
        <w:rPr>
          <w:rFonts w:ascii="Times New Roman" w:hAnsi="Times New Roman"/>
          <w:sz w:val="24"/>
        </w:rPr>
      </w:pPr>
      <w:r w:rsidRPr="00C0338A">
        <w:rPr>
          <w:rFonts w:ascii="Times New Roman" w:hAnsi="Times New Roman"/>
          <w:sz w:val="24"/>
        </w:rPr>
        <w:lastRenderedPageBreak/>
        <w:t>There were more than 250 points where soil sampling was collected representing 350 acres of switchgrass.</w:t>
      </w:r>
      <w:r>
        <w:rPr>
          <w:rFonts w:ascii="Times New Roman" w:hAnsi="Times New Roman"/>
          <w:sz w:val="24"/>
        </w:rPr>
        <w:t xml:space="preserve"> The farms represent four soil taxonomy, Ultisols, Alfisols, Inceptisols, and Mollisols. The majority of soils were Ultisols. Four textural classes, loam, clay loam, silty clay loam, and silt loam were also represented in the study. Six cropping histories existed prior to switchgrass including corn, fallow, </w:t>
      </w:r>
      <w:r w:rsidR="00227FF9">
        <w:rPr>
          <w:rFonts w:ascii="Times New Roman" w:hAnsi="Times New Roman"/>
          <w:sz w:val="24"/>
        </w:rPr>
        <w:t>green beans</w:t>
      </w:r>
      <w:r>
        <w:rPr>
          <w:rFonts w:ascii="Times New Roman" w:hAnsi="Times New Roman"/>
          <w:sz w:val="24"/>
        </w:rPr>
        <w:t>, pasture, soybeans, switchgrass, and wheat.</w:t>
      </w:r>
      <w:r w:rsidRPr="00C0338A">
        <w:rPr>
          <w:rFonts w:ascii="Times New Roman" w:hAnsi="Times New Roman"/>
          <w:sz w:val="24"/>
        </w:rPr>
        <w:t xml:space="preserve"> The sampling points were chosen by a “random with rules” algorithm. Points were generated randomly with constraints of being inside the soil boundary by eight meters and the points must be 30 meters from each other. At each point, soil samples were taken using a 30.5 centimeter two centimeter diameter soil core from a depth of 0 to 5 centimeters, 5 to 10 centimeters, 10 to 15 centimeters, and 15 to 30 centimeters. The deep samples were taken using a Giddings hydraulic soil sampling truck in 30 centimeter i</w:t>
      </w:r>
      <w:r>
        <w:rPr>
          <w:rFonts w:ascii="Times New Roman" w:hAnsi="Times New Roman"/>
          <w:sz w:val="24"/>
        </w:rPr>
        <w:t xml:space="preserve">ncrements from 30 to 60, 60 to 90, and 90 to </w:t>
      </w:r>
      <w:r w:rsidRPr="00C0338A">
        <w:rPr>
          <w:rFonts w:ascii="Times New Roman" w:hAnsi="Times New Roman"/>
          <w:sz w:val="24"/>
        </w:rPr>
        <w:t>120</w:t>
      </w:r>
      <w:r>
        <w:rPr>
          <w:rFonts w:ascii="Times New Roman" w:hAnsi="Times New Roman"/>
          <w:sz w:val="24"/>
        </w:rPr>
        <w:t xml:space="preserve"> </w:t>
      </w:r>
      <w:r w:rsidRPr="00C0338A">
        <w:rPr>
          <w:rFonts w:ascii="Times New Roman" w:hAnsi="Times New Roman"/>
          <w:sz w:val="24"/>
        </w:rPr>
        <w:t>c</w:t>
      </w:r>
      <w:r>
        <w:rPr>
          <w:rFonts w:ascii="Times New Roman" w:hAnsi="Times New Roman"/>
          <w:sz w:val="24"/>
        </w:rPr>
        <w:t>enti</w:t>
      </w:r>
      <w:r w:rsidRPr="00C0338A">
        <w:rPr>
          <w:rFonts w:ascii="Times New Roman" w:hAnsi="Times New Roman"/>
          <w:sz w:val="24"/>
        </w:rPr>
        <w:t>m</w:t>
      </w:r>
      <w:r>
        <w:rPr>
          <w:rFonts w:ascii="Times New Roman" w:hAnsi="Times New Roman"/>
          <w:sz w:val="24"/>
        </w:rPr>
        <w:t>eter</w:t>
      </w:r>
      <w:r w:rsidRPr="00C0338A">
        <w:rPr>
          <w:rFonts w:ascii="Times New Roman" w:hAnsi="Times New Roman"/>
          <w:sz w:val="24"/>
        </w:rPr>
        <w:t>.</w:t>
      </w:r>
    </w:p>
    <w:p w:rsidR="00F24219" w:rsidRPr="00C0338A" w:rsidRDefault="00F24219" w:rsidP="00265C65">
      <w:pPr>
        <w:pStyle w:val="NoSpacing"/>
        <w:spacing w:line="480" w:lineRule="auto"/>
        <w:rPr>
          <w:rFonts w:ascii="Times New Roman" w:hAnsi="Times New Roman"/>
          <w:b/>
          <w:i/>
          <w:sz w:val="24"/>
        </w:rPr>
      </w:pPr>
      <w:r>
        <w:rPr>
          <w:rFonts w:ascii="Times New Roman" w:hAnsi="Times New Roman"/>
          <w:b/>
          <w:i/>
          <w:sz w:val="24"/>
        </w:rPr>
        <w:t>Soil Organic Carbon</w:t>
      </w:r>
      <w:r w:rsidRPr="00C0338A">
        <w:rPr>
          <w:rFonts w:ascii="Times New Roman" w:hAnsi="Times New Roman"/>
          <w:b/>
          <w:i/>
          <w:sz w:val="24"/>
        </w:rPr>
        <w:t>:</w:t>
      </w:r>
    </w:p>
    <w:p w:rsidR="00F24219" w:rsidRPr="00FB6658" w:rsidRDefault="00F24219" w:rsidP="00265C65">
      <w:pPr>
        <w:pStyle w:val="NoSpacing"/>
        <w:spacing w:line="480" w:lineRule="auto"/>
        <w:ind w:firstLine="720"/>
        <w:rPr>
          <w:rFonts w:ascii="Times New Roman" w:hAnsi="Times New Roman"/>
          <w:sz w:val="24"/>
        </w:rPr>
      </w:pPr>
      <w:r w:rsidRPr="00C0338A">
        <w:rPr>
          <w:rFonts w:ascii="Times New Roman" w:hAnsi="Times New Roman"/>
          <w:sz w:val="24"/>
        </w:rPr>
        <w:t xml:space="preserve"> The s</w:t>
      </w:r>
      <w:r>
        <w:rPr>
          <w:rFonts w:ascii="Times New Roman" w:hAnsi="Times New Roman"/>
          <w:sz w:val="24"/>
        </w:rPr>
        <w:t>amples were</w:t>
      </w:r>
      <w:r w:rsidRPr="00C0338A">
        <w:rPr>
          <w:rFonts w:ascii="Times New Roman" w:hAnsi="Times New Roman"/>
          <w:sz w:val="24"/>
        </w:rPr>
        <w:t xml:space="preserve"> air dried in a greenhouse and boxed and sent to UT Soil and Pest Center in Nashville, TN to determine soil organic carbon</w:t>
      </w:r>
      <w:r>
        <w:rPr>
          <w:rFonts w:ascii="Times New Roman" w:hAnsi="Times New Roman"/>
          <w:sz w:val="24"/>
        </w:rPr>
        <w:t xml:space="preserve">. Inorganic carbon was not considered in the analysis due to the dissolution during soil formation </w:t>
      </w:r>
      <w:r>
        <w:rPr>
          <w:rFonts w:ascii="Times New Roman" w:hAnsi="Times New Roman"/>
          <w:noProof/>
          <w:sz w:val="24"/>
        </w:rPr>
        <w:t>(Sparks</w:t>
      </w:r>
      <w:r w:rsidRPr="00AF64F0">
        <w:rPr>
          <w:rFonts w:ascii="Times New Roman" w:hAnsi="Times New Roman"/>
          <w:i/>
          <w:noProof/>
          <w:sz w:val="24"/>
        </w:rPr>
        <w:t xml:space="preserve"> et al.</w:t>
      </w:r>
      <w:r>
        <w:rPr>
          <w:rFonts w:ascii="Times New Roman" w:hAnsi="Times New Roman"/>
          <w:noProof/>
          <w:sz w:val="24"/>
        </w:rPr>
        <w:t>, 1996)</w:t>
      </w:r>
      <w:r>
        <w:rPr>
          <w:rFonts w:ascii="Times New Roman" w:hAnsi="Times New Roman"/>
          <w:sz w:val="24"/>
        </w:rPr>
        <w:t>. Analysis of soil carbon involves the conversion of carbon in soils to carbon dioxide (CO</w:t>
      </w:r>
      <w:r>
        <w:rPr>
          <w:rFonts w:ascii="Times New Roman" w:hAnsi="Times New Roman"/>
          <w:sz w:val="24"/>
          <w:vertAlign w:val="subscript"/>
        </w:rPr>
        <w:t>2</w:t>
      </w:r>
      <w:r>
        <w:rPr>
          <w:rFonts w:ascii="Times New Roman" w:hAnsi="Times New Roman"/>
          <w:sz w:val="24"/>
        </w:rPr>
        <w:t xml:space="preserve">) by wet or dry combustion </w:t>
      </w:r>
      <w:r>
        <w:rPr>
          <w:rFonts w:ascii="Times New Roman" w:hAnsi="Times New Roman"/>
          <w:noProof/>
          <w:sz w:val="24"/>
        </w:rPr>
        <w:t>(Sparks</w:t>
      </w:r>
      <w:r w:rsidRPr="00FB6658">
        <w:rPr>
          <w:rFonts w:ascii="Times New Roman" w:hAnsi="Times New Roman"/>
          <w:i/>
          <w:noProof/>
          <w:sz w:val="24"/>
        </w:rPr>
        <w:t xml:space="preserve"> et al.</w:t>
      </w:r>
      <w:r>
        <w:rPr>
          <w:rFonts w:ascii="Times New Roman" w:hAnsi="Times New Roman"/>
          <w:noProof/>
          <w:sz w:val="24"/>
        </w:rPr>
        <w:t>, 1996)</w:t>
      </w:r>
      <w:r>
        <w:rPr>
          <w:rFonts w:ascii="Times New Roman" w:hAnsi="Times New Roman"/>
          <w:sz w:val="24"/>
        </w:rPr>
        <w:t>. Dry combustion was used in this experiment. A sample of 5 to 10 mg was placed in a tin sample cup. The soil sample was heated to 1050</w:t>
      </w:r>
      <w:r>
        <w:rPr>
          <w:rFonts w:ascii="Times New Roman" w:hAnsi="Times New Roman"/>
          <w:sz w:val="24"/>
          <w:vertAlign w:val="superscript"/>
        </w:rPr>
        <w:t>o</w:t>
      </w:r>
      <w:r>
        <w:rPr>
          <w:rFonts w:ascii="Times New Roman" w:hAnsi="Times New Roman"/>
          <w:sz w:val="24"/>
        </w:rPr>
        <w:t xml:space="preserve">C in a furnace in a stream of helium (He) </w:t>
      </w:r>
      <w:r>
        <w:rPr>
          <w:rFonts w:ascii="Times New Roman" w:hAnsi="Times New Roman"/>
          <w:noProof/>
          <w:sz w:val="24"/>
        </w:rPr>
        <w:t>(Sparks</w:t>
      </w:r>
      <w:r w:rsidRPr="00FB6658">
        <w:rPr>
          <w:rFonts w:ascii="Times New Roman" w:hAnsi="Times New Roman"/>
          <w:i/>
          <w:noProof/>
          <w:sz w:val="24"/>
        </w:rPr>
        <w:t xml:space="preserve"> et al.</w:t>
      </w:r>
      <w:r>
        <w:rPr>
          <w:rFonts w:ascii="Times New Roman" w:hAnsi="Times New Roman"/>
          <w:noProof/>
          <w:sz w:val="24"/>
        </w:rPr>
        <w:t>, 1996)</w:t>
      </w:r>
      <w:r>
        <w:rPr>
          <w:rFonts w:ascii="Times New Roman" w:hAnsi="Times New Roman"/>
          <w:sz w:val="24"/>
        </w:rPr>
        <w:t>. Flash combustion was induced by a pulse of O</w:t>
      </w:r>
      <w:r>
        <w:rPr>
          <w:rFonts w:ascii="Times New Roman" w:hAnsi="Times New Roman"/>
          <w:sz w:val="24"/>
          <w:vertAlign w:val="subscript"/>
        </w:rPr>
        <w:t>2</w:t>
      </w:r>
      <w:r>
        <w:rPr>
          <w:rFonts w:ascii="Times New Roman" w:hAnsi="Times New Roman"/>
          <w:sz w:val="24"/>
        </w:rPr>
        <w:t xml:space="preserve"> injected into the quartz reactor </w:t>
      </w:r>
      <w:r>
        <w:rPr>
          <w:rFonts w:ascii="Times New Roman" w:hAnsi="Times New Roman"/>
          <w:sz w:val="24"/>
        </w:rPr>
        <w:lastRenderedPageBreak/>
        <w:t>causing the tin to heat to 1700 to 1800</w:t>
      </w:r>
      <w:r>
        <w:rPr>
          <w:rFonts w:ascii="Times New Roman" w:hAnsi="Times New Roman"/>
          <w:sz w:val="24"/>
          <w:vertAlign w:val="superscript"/>
        </w:rPr>
        <w:t>o</w:t>
      </w:r>
      <w:r>
        <w:rPr>
          <w:rFonts w:ascii="Times New Roman" w:hAnsi="Times New Roman"/>
          <w:sz w:val="24"/>
        </w:rPr>
        <w:t>C combusting the soil sample releasing CO</w:t>
      </w:r>
      <w:r>
        <w:rPr>
          <w:rFonts w:ascii="Times New Roman" w:hAnsi="Times New Roman"/>
          <w:sz w:val="24"/>
          <w:vertAlign w:val="subscript"/>
        </w:rPr>
        <w:t>2</w:t>
      </w:r>
      <w:r>
        <w:rPr>
          <w:rFonts w:ascii="Times New Roman" w:hAnsi="Times New Roman"/>
          <w:sz w:val="24"/>
        </w:rPr>
        <w:t xml:space="preserve"> </w:t>
      </w:r>
      <w:r>
        <w:rPr>
          <w:rFonts w:ascii="Times New Roman" w:hAnsi="Times New Roman"/>
          <w:noProof/>
          <w:sz w:val="24"/>
        </w:rPr>
        <w:t>(Sparks</w:t>
      </w:r>
      <w:r w:rsidRPr="00FB6658">
        <w:rPr>
          <w:rFonts w:ascii="Times New Roman" w:hAnsi="Times New Roman"/>
          <w:i/>
          <w:noProof/>
          <w:sz w:val="24"/>
        </w:rPr>
        <w:t xml:space="preserve"> et al.</w:t>
      </w:r>
      <w:r>
        <w:rPr>
          <w:rFonts w:ascii="Times New Roman" w:hAnsi="Times New Roman"/>
          <w:noProof/>
          <w:sz w:val="24"/>
        </w:rPr>
        <w:t>, 1996)</w:t>
      </w:r>
      <w:r>
        <w:rPr>
          <w:rFonts w:ascii="Times New Roman" w:hAnsi="Times New Roman"/>
          <w:sz w:val="24"/>
        </w:rPr>
        <w:t>. The He gas swept the CO</w:t>
      </w:r>
      <w:r>
        <w:rPr>
          <w:rFonts w:ascii="Times New Roman" w:hAnsi="Times New Roman"/>
          <w:sz w:val="24"/>
          <w:vertAlign w:val="subscript"/>
        </w:rPr>
        <w:t>2</w:t>
      </w:r>
      <w:r>
        <w:rPr>
          <w:rFonts w:ascii="Times New Roman" w:hAnsi="Times New Roman"/>
          <w:sz w:val="24"/>
        </w:rPr>
        <w:t xml:space="preserve"> and other gases through the chromium dioxide (CrO</w:t>
      </w:r>
      <w:r>
        <w:rPr>
          <w:rFonts w:ascii="Times New Roman" w:hAnsi="Times New Roman"/>
          <w:sz w:val="24"/>
          <w:vertAlign w:val="subscript"/>
        </w:rPr>
        <w:t>2</w:t>
      </w:r>
      <w:r>
        <w:rPr>
          <w:rFonts w:ascii="Times New Roman" w:hAnsi="Times New Roman"/>
          <w:sz w:val="24"/>
        </w:rPr>
        <w:t xml:space="preserve">) to catalyze oxidation of organic fragments </w:t>
      </w:r>
      <w:r>
        <w:rPr>
          <w:rFonts w:ascii="Times New Roman" w:hAnsi="Times New Roman"/>
          <w:noProof/>
          <w:sz w:val="24"/>
        </w:rPr>
        <w:t>(Sparks</w:t>
      </w:r>
      <w:r w:rsidRPr="00FB6658">
        <w:rPr>
          <w:rFonts w:ascii="Times New Roman" w:hAnsi="Times New Roman"/>
          <w:i/>
          <w:noProof/>
          <w:sz w:val="24"/>
        </w:rPr>
        <w:t xml:space="preserve"> et al.</w:t>
      </w:r>
      <w:r>
        <w:rPr>
          <w:rFonts w:ascii="Times New Roman" w:hAnsi="Times New Roman"/>
          <w:noProof/>
          <w:sz w:val="24"/>
        </w:rPr>
        <w:t>, 1996)</w:t>
      </w:r>
      <w:r>
        <w:rPr>
          <w:rFonts w:ascii="Times New Roman" w:hAnsi="Times New Roman"/>
          <w:sz w:val="24"/>
        </w:rPr>
        <w:t>.  The gases then flowed through heated copper (Cu) (650</w:t>
      </w:r>
      <w:r>
        <w:rPr>
          <w:rFonts w:ascii="Times New Roman" w:hAnsi="Times New Roman"/>
          <w:sz w:val="24"/>
          <w:vertAlign w:val="superscript"/>
        </w:rPr>
        <w:t>o</w:t>
      </w:r>
      <w:r>
        <w:rPr>
          <w:rFonts w:ascii="Times New Roman" w:hAnsi="Times New Roman"/>
          <w:sz w:val="24"/>
        </w:rPr>
        <w:t>C) to remove excess oxygen and H</w:t>
      </w:r>
      <w:r>
        <w:rPr>
          <w:rFonts w:ascii="Times New Roman" w:hAnsi="Times New Roman"/>
          <w:sz w:val="24"/>
          <w:vertAlign w:val="subscript"/>
        </w:rPr>
        <w:t>2</w:t>
      </w:r>
      <w:r>
        <w:rPr>
          <w:rFonts w:ascii="Times New Roman" w:hAnsi="Times New Roman"/>
          <w:sz w:val="24"/>
        </w:rPr>
        <w:t>O and into a chromatographic column for separation of N</w:t>
      </w:r>
      <w:r>
        <w:rPr>
          <w:rFonts w:ascii="Times New Roman" w:hAnsi="Times New Roman"/>
          <w:sz w:val="24"/>
          <w:vertAlign w:val="subscript"/>
        </w:rPr>
        <w:t>2</w:t>
      </w:r>
      <w:r>
        <w:rPr>
          <w:rFonts w:ascii="Times New Roman" w:hAnsi="Times New Roman"/>
          <w:sz w:val="24"/>
        </w:rPr>
        <w:t xml:space="preserve"> and CO</w:t>
      </w:r>
      <w:r>
        <w:rPr>
          <w:rFonts w:ascii="Times New Roman" w:hAnsi="Times New Roman"/>
          <w:sz w:val="24"/>
          <w:vertAlign w:val="subscript"/>
        </w:rPr>
        <w:t>2</w:t>
      </w:r>
      <w:r>
        <w:rPr>
          <w:rFonts w:ascii="Times New Roman" w:hAnsi="Times New Roman"/>
          <w:sz w:val="24"/>
        </w:rPr>
        <w:t xml:space="preserve"> </w:t>
      </w:r>
      <w:r>
        <w:rPr>
          <w:rFonts w:ascii="Times New Roman" w:hAnsi="Times New Roman"/>
          <w:noProof/>
          <w:sz w:val="24"/>
        </w:rPr>
        <w:t>(Sparks</w:t>
      </w:r>
      <w:r w:rsidRPr="00FB6658">
        <w:rPr>
          <w:rFonts w:ascii="Times New Roman" w:hAnsi="Times New Roman"/>
          <w:i/>
          <w:noProof/>
          <w:sz w:val="24"/>
        </w:rPr>
        <w:t xml:space="preserve"> et al.</w:t>
      </w:r>
      <w:r>
        <w:rPr>
          <w:rFonts w:ascii="Times New Roman" w:hAnsi="Times New Roman"/>
          <w:noProof/>
          <w:sz w:val="24"/>
        </w:rPr>
        <w:t>, 1996)</w:t>
      </w:r>
      <w:r>
        <w:rPr>
          <w:rFonts w:ascii="Times New Roman" w:hAnsi="Times New Roman"/>
          <w:sz w:val="24"/>
        </w:rPr>
        <w:t xml:space="preserve">. The thermal conductivity of the gases </w:t>
      </w:r>
      <w:r w:rsidR="00227135">
        <w:rPr>
          <w:rFonts w:ascii="Times New Roman" w:hAnsi="Times New Roman"/>
          <w:sz w:val="24"/>
        </w:rPr>
        <w:t>was</w:t>
      </w:r>
      <w:r>
        <w:rPr>
          <w:rFonts w:ascii="Times New Roman" w:hAnsi="Times New Roman"/>
          <w:sz w:val="24"/>
        </w:rPr>
        <w:t xml:space="preserve"> measured and the relative concentration of the thermal conductivity indicated the content of organic carbon.</w:t>
      </w:r>
    </w:p>
    <w:p w:rsidR="00F24219" w:rsidRPr="00C0338A" w:rsidRDefault="00F24219" w:rsidP="00265C65">
      <w:pPr>
        <w:pStyle w:val="NoSpacing"/>
        <w:spacing w:line="480" w:lineRule="auto"/>
        <w:rPr>
          <w:rFonts w:ascii="Times New Roman" w:hAnsi="Times New Roman"/>
          <w:b/>
          <w:i/>
          <w:sz w:val="24"/>
        </w:rPr>
      </w:pPr>
      <w:r w:rsidRPr="00C0338A">
        <w:rPr>
          <w:rFonts w:ascii="Times New Roman" w:hAnsi="Times New Roman"/>
          <w:b/>
          <w:i/>
          <w:sz w:val="24"/>
        </w:rPr>
        <w:t>Bulk Density:</w:t>
      </w:r>
    </w:p>
    <w:p w:rsidR="00F24219" w:rsidRPr="00C0338A" w:rsidRDefault="00F24219" w:rsidP="00265C65">
      <w:pPr>
        <w:pStyle w:val="NoSpacing"/>
        <w:spacing w:line="480" w:lineRule="auto"/>
        <w:rPr>
          <w:rFonts w:ascii="Times New Roman" w:hAnsi="Times New Roman"/>
          <w:sz w:val="24"/>
        </w:rPr>
      </w:pPr>
      <w:r w:rsidRPr="00C0338A">
        <w:rPr>
          <w:rFonts w:ascii="Times New Roman" w:hAnsi="Times New Roman"/>
          <w:i/>
          <w:sz w:val="24"/>
        </w:rPr>
        <w:tab/>
      </w:r>
      <w:r w:rsidRPr="00C0338A">
        <w:rPr>
          <w:rFonts w:ascii="Times New Roman" w:hAnsi="Times New Roman"/>
          <w:sz w:val="24"/>
        </w:rPr>
        <w:t>Soil bulk density is the mass per unit volume of soil. Bulk density is applicable to nearly all soil studies. There is a current increase in interest in bulk density for assessments in soil quality, soil sufficiency, and sequestration of C</w:t>
      </w:r>
      <w:r>
        <w:rPr>
          <w:rFonts w:ascii="Times New Roman" w:hAnsi="Times New Roman"/>
          <w:sz w:val="24"/>
        </w:rPr>
        <w:t xml:space="preserve"> </w:t>
      </w:r>
      <w:r>
        <w:rPr>
          <w:rFonts w:ascii="Times New Roman" w:hAnsi="Times New Roman"/>
          <w:noProof/>
          <w:sz w:val="24"/>
        </w:rPr>
        <w:t>(Dane</w:t>
      </w:r>
      <w:r w:rsidRPr="00963227">
        <w:rPr>
          <w:rFonts w:ascii="Times New Roman" w:hAnsi="Times New Roman"/>
          <w:i/>
          <w:noProof/>
          <w:sz w:val="24"/>
        </w:rPr>
        <w:t xml:space="preserve"> et al.</w:t>
      </w:r>
      <w:r>
        <w:rPr>
          <w:rFonts w:ascii="Times New Roman" w:hAnsi="Times New Roman"/>
          <w:noProof/>
          <w:sz w:val="24"/>
        </w:rPr>
        <w:t>, 2002)</w:t>
      </w:r>
      <w:r w:rsidRPr="00C0338A">
        <w:rPr>
          <w:rFonts w:ascii="Times New Roman" w:hAnsi="Times New Roman"/>
          <w:sz w:val="24"/>
        </w:rPr>
        <w:t>. The two principle uses of bulk density are: 1) conversion of data (percentage, cmol kg</w:t>
      </w:r>
      <w:r w:rsidRPr="00C0338A">
        <w:rPr>
          <w:rFonts w:ascii="Times New Roman" w:hAnsi="Times New Roman"/>
          <w:sz w:val="24"/>
          <w:vertAlign w:val="superscript"/>
        </w:rPr>
        <w:t>-1</w:t>
      </w:r>
      <w:r w:rsidRPr="00C0338A">
        <w:rPr>
          <w:rFonts w:ascii="Times New Roman" w:hAnsi="Times New Roman"/>
          <w:sz w:val="24"/>
        </w:rPr>
        <w:t>) to a volume basis and 2) characterization of the soil fabric</w:t>
      </w:r>
      <w:r>
        <w:rPr>
          <w:rFonts w:ascii="Times New Roman" w:hAnsi="Times New Roman"/>
          <w:sz w:val="24"/>
        </w:rPr>
        <w:t xml:space="preserve"> </w:t>
      </w:r>
      <w:r>
        <w:rPr>
          <w:rFonts w:ascii="Times New Roman" w:hAnsi="Times New Roman"/>
          <w:noProof/>
          <w:sz w:val="24"/>
        </w:rPr>
        <w:t>(Dane</w:t>
      </w:r>
      <w:r w:rsidRPr="00963227">
        <w:rPr>
          <w:rFonts w:ascii="Times New Roman" w:hAnsi="Times New Roman"/>
          <w:i/>
          <w:noProof/>
          <w:sz w:val="24"/>
        </w:rPr>
        <w:t xml:space="preserve"> et al.</w:t>
      </w:r>
      <w:r>
        <w:rPr>
          <w:rFonts w:ascii="Times New Roman" w:hAnsi="Times New Roman"/>
          <w:noProof/>
          <w:sz w:val="24"/>
        </w:rPr>
        <w:t>, 2002)</w:t>
      </w:r>
      <w:r w:rsidRPr="00C0338A">
        <w:rPr>
          <w:rFonts w:ascii="Times New Roman" w:hAnsi="Times New Roman"/>
          <w:sz w:val="24"/>
        </w:rPr>
        <w:t xml:space="preserve">. Bulk density was used for both of these purposes in this study. Bulk density, when used in agriculture can be applied to ease of root penetration, prediction of water infiltration, and as an indicator of soil quality </w:t>
      </w:r>
      <w:r>
        <w:rPr>
          <w:rFonts w:ascii="Times New Roman" w:hAnsi="Times New Roman"/>
          <w:noProof/>
          <w:sz w:val="24"/>
        </w:rPr>
        <w:t>(Dane</w:t>
      </w:r>
      <w:r w:rsidRPr="00963227">
        <w:rPr>
          <w:rFonts w:ascii="Times New Roman" w:hAnsi="Times New Roman"/>
          <w:i/>
          <w:noProof/>
          <w:sz w:val="24"/>
        </w:rPr>
        <w:t xml:space="preserve"> et al.</w:t>
      </w:r>
      <w:r>
        <w:rPr>
          <w:rFonts w:ascii="Times New Roman" w:hAnsi="Times New Roman"/>
          <w:noProof/>
          <w:sz w:val="24"/>
        </w:rPr>
        <w:t>, 2002)</w:t>
      </w:r>
      <w:r w:rsidRPr="00C0338A">
        <w:rPr>
          <w:rFonts w:ascii="Times New Roman" w:hAnsi="Times New Roman"/>
          <w:sz w:val="24"/>
        </w:rPr>
        <w:t>. All of these factors play a critical role in quantifying the impact an agricultural practice has on soil health.</w:t>
      </w:r>
    </w:p>
    <w:p w:rsidR="00F24219" w:rsidRDefault="00F24219" w:rsidP="00265C65">
      <w:pPr>
        <w:pStyle w:val="NoSpacing"/>
        <w:spacing w:line="480" w:lineRule="auto"/>
        <w:ind w:firstLine="720"/>
        <w:rPr>
          <w:rFonts w:ascii="Times New Roman" w:hAnsi="Times New Roman"/>
          <w:sz w:val="24"/>
        </w:rPr>
      </w:pPr>
      <w:r w:rsidRPr="00C0338A">
        <w:rPr>
          <w:rFonts w:ascii="Times New Roman" w:hAnsi="Times New Roman"/>
          <w:sz w:val="24"/>
          <w:vertAlign w:val="superscript"/>
        </w:rPr>
        <w:t xml:space="preserve"> </w:t>
      </w:r>
      <w:r w:rsidRPr="00C0338A">
        <w:rPr>
          <w:rFonts w:ascii="Times New Roman" w:hAnsi="Times New Roman"/>
          <w:sz w:val="24"/>
        </w:rPr>
        <w:t xml:space="preserve">Over the lifetime of the DOE Consortium for Research on Enhancing Carbon Sequestration in Terrestrial Ecosystems (CSiTE) study, bulk density soil samples have been collected along with soil carbon samples. Soil bulk density for the shallow samples (0-30cm) was determined using core method according to </w:t>
      </w:r>
      <w:r w:rsidRPr="00C0338A">
        <w:rPr>
          <w:rFonts w:ascii="Times New Roman" w:hAnsi="Times New Roman"/>
          <w:i/>
          <w:sz w:val="24"/>
        </w:rPr>
        <w:t>Methods of Soil Analysis Part 4 – Physical Methods</w:t>
      </w:r>
      <w:r w:rsidRPr="00C0338A">
        <w:rPr>
          <w:rFonts w:ascii="Times New Roman" w:hAnsi="Times New Roman"/>
          <w:sz w:val="24"/>
        </w:rPr>
        <w:t xml:space="preserve"> published by the Soil Science Society of America, Inc. Five </w:t>
      </w:r>
      <w:r w:rsidRPr="00C0338A">
        <w:rPr>
          <w:rFonts w:ascii="Times New Roman" w:hAnsi="Times New Roman"/>
          <w:sz w:val="24"/>
        </w:rPr>
        <w:lastRenderedPageBreak/>
        <w:t>c</w:t>
      </w:r>
      <w:r>
        <w:rPr>
          <w:rFonts w:ascii="Times New Roman" w:hAnsi="Times New Roman"/>
          <w:sz w:val="24"/>
        </w:rPr>
        <w:t xml:space="preserve">entimeter cores were taken at 0 to 5 centimeter, 5 to 10 centimeter, 10 to 15 centimeter and 15 to </w:t>
      </w:r>
      <w:r w:rsidRPr="00C0338A">
        <w:rPr>
          <w:rFonts w:ascii="Times New Roman" w:hAnsi="Times New Roman"/>
          <w:sz w:val="24"/>
        </w:rPr>
        <w:t>30 centimeter depths for the shallow measurements. The five centimeter cores were transferred to the lab to determine bulk density. The length and diameter of the core were recorded to calculate core volume. The cores were then oven tried for 24 hours at 105</w:t>
      </w:r>
      <w:r w:rsidRPr="00C0338A">
        <w:rPr>
          <w:rFonts w:ascii="Times New Roman" w:hAnsi="Times New Roman"/>
          <w:sz w:val="24"/>
          <w:vertAlign w:val="superscript"/>
        </w:rPr>
        <w:t>o</w:t>
      </w:r>
      <w:r w:rsidRPr="00C0338A">
        <w:rPr>
          <w:rFonts w:ascii="Times New Roman" w:hAnsi="Times New Roman"/>
          <w:sz w:val="24"/>
        </w:rPr>
        <w:t xml:space="preserve"> Celsius and the dry weights were determined </w:t>
      </w:r>
      <w:r>
        <w:rPr>
          <w:rFonts w:ascii="Times New Roman" w:hAnsi="Times New Roman"/>
          <w:noProof/>
          <w:sz w:val="24"/>
        </w:rPr>
        <w:t>(Dane</w:t>
      </w:r>
      <w:r w:rsidRPr="00963227">
        <w:rPr>
          <w:rFonts w:ascii="Times New Roman" w:hAnsi="Times New Roman"/>
          <w:i/>
          <w:noProof/>
          <w:sz w:val="24"/>
        </w:rPr>
        <w:t xml:space="preserve"> et al.</w:t>
      </w:r>
      <w:r>
        <w:rPr>
          <w:rFonts w:ascii="Times New Roman" w:hAnsi="Times New Roman"/>
          <w:noProof/>
          <w:sz w:val="24"/>
        </w:rPr>
        <w:t>, 2002)</w:t>
      </w:r>
      <w:r w:rsidRPr="00C0338A">
        <w:rPr>
          <w:rFonts w:ascii="Times New Roman" w:hAnsi="Times New Roman"/>
          <w:sz w:val="24"/>
        </w:rPr>
        <w:t xml:space="preserve">. For each core, bulk density was determined and recorded as </w:t>
      </w:r>
      <w:r w:rsidR="00227FF9" w:rsidRPr="00C0338A">
        <w:rPr>
          <w:rFonts w:ascii="Times New Roman" w:hAnsi="Times New Roman"/>
          <w:sz w:val="24"/>
        </w:rPr>
        <w:t>mass (</w:t>
      </w:r>
      <w:r w:rsidRPr="00C0338A">
        <w:rPr>
          <w:rFonts w:ascii="Times New Roman" w:hAnsi="Times New Roman"/>
          <w:sz w:val="24"/>
        </w:rPr>
        <w:t>g)/</w:t>
      </w:r>
      <w:r w:rsidR="00227FF9" w:rsidRPr="00C0338A">
        <w:rPr>
          <w:rFonts w:ascii="Times New Roman" w:hAnsi="Times New Roman"/>
          <w:sz w:val="24"/>
        </w:rPr>
        <w:t>volume (</w:t>
      </w:r>
      <w:r w:rsidRPr="00C0338A">
        <w:rPr>
          <w:rFonts w:ascii="Times New Roman" w:hAnsi="Times New Roman"/>
          <w:sz w:val="24"/>
        </w:rPr>
        <w:t>cm</w:t>
      </w:r>
      <w:r w:rsidRPr="00C0338A">
        <w:rPr>
          <w:rFonts w:ascii="Times New Roman" w:hAnsi="Times New Roman"/>
          <w:sz w:val="24"/>
          <w:vertAlign w:val="superscript"/>
        </w:rPr>
        <w:t>3</w:t>
      </w:r>
      <w:r w:rsidRPr="00C0338A">
        <w:rPr>
          <w:rFonts w:ascii="Times New Roman" w:hAnsi="Times New Roman"/>
          <w:sz w:val="24"/>
        </w:rPr>
        <w:t>). The clod method was used for determining deep bulk densities. The deep samples of 30-60cm, 60-90cm, and 90-120cm depth were taken using a soil probe truck. The nature of the probe truck excavation made the clod method preferable to all other bulk density measurements. Clods ranging from 100 to 200 milliliters were extracted and oven dried for 24 hours at 105</w:t>
      </w:r>
      <w:r w:rsidRPr="00C0338A">
        <w:rPr>
          <w:rFonts w:ascii="Times New Roman" w:hAnsi="Times New Roman"/>
          <w:sz w:val="24"/>
          <w:vertAlign w:val="superscript"/>
        </w:rPr>
        <w:t>o</w:t>
      </w:r>
      <w:r w:rsidRPr="00C0338A">
        <w:rPr>
          <w:rFonts w:ascii="Times New Roman" w:hAnsi="Times New Roman"/>
          <w:sz w:val="24"/>
        </w:rPr>
        <w:t xml:space="preserve"> Celsius. The samples were determined on a dry weight basis. The clods were then coated in paraffin wax heated to 60</w:t>
      </w:r>
      <w:r w:rsidRPr="00C0338A">
        <w:rPr>
          <w:rFonts w:ascii="Times New Roman" w:hAnsi="Times New Roman"/>
          <w:sz w:val="24"/>
          <w:vertAlign w:val="superscript"/>
        </w:rPr>
        <w:t>o</w:t>
      </w:r>
      <w:r w:rsidRPr="00C0338A">
        <w:rPr>
          <w:rFonts w:ascii="Times New Roman" w:hAnsi="Times New Roman"/>
          <w:sz w:val="24"/>
        </w:rPr>
        <w:t xml:space="preserve"> Celsius </w:t>
      </w:r>
      <w:r>
        <w:rPr>
          <w:rFonts w:ascii="Times New Roman" w:hAnsi="Times New Roman"/>
          <w:noProof/>
          <w:sz w:val="24"/>
        </w:rPr>
        <w:t>(Dane</w:t>
      </w:r>
      <w:r w:rsidRPr="00963227">
        <w:rPr>
          <w:rFonts w:ascii="Times New Roman" w:hAnsi="Times New Roman"/>
          <w:i/>
          <w:noProof/>
          <w:sz w:val="24"/>
        </w:rPr>
        <w:t xml:space="preserve"> et al.</w:t>
      </w:r>
      <w:r>
        <w:rPr>
          <w:rFonts w:ascii="Times New Roman" w:hAnsi="Times New Roman"/>
          <w:noProof/>
          <w:sz w:val="24"/>
        </w:rPr>
        <w:t>, 2002)</w:t>
      </w:r>
      <w:r w:rsidRPr="00C0338A">
        <w:rPr>
          <w:rFonts w:ascii="Times New Roman" w:hAnsi="Times New Roman"/>
          <w:sz w:val="24"/>
        </w:rPr>
        <w:t xml:space="preserve">. Care was taken to record the weight of the string used to suspend the soil in water and wax coating to account for its contribution to the clod volume. The weight of the clod with paraffin wax suspended in water is equal to the clod volume once the volume of the wax has been removed. </w:t>
      </w:r>
    </w:p>
    <w:p w:rsidR="00F24219" w:rsidRDefault="00F24219" w:rsidP="00265C65">
      <w:pPr>
        <w:pStyle w:val="NoSpacing"/>
        <w:spacing w:line="480" w:lineRule="auto"/>
        <w:rPr>
          <w:rFonts w:ascii="Times New Roman" w:hAnsi="Times New Roman"/>
          <w:sz w:val="24"/>
        </w:rPr>
      </w:pPr>
      <w:r>
        <w:rPr>
          <w:rFonts w:ascii="Times New Roman" w:hAnsi="Times New Roman"/>
          <w:b/>
          <w:i/>
          <w:sz w:val="24"/>
        </w:rPr>
        <w:t>Data Analysis:</w:t>
      </w:r>
    </w:p>
    <w:p w:rsidR="00F24219" w:rsidRPr="00C503A8" w:rsidRDefault="00F24219" w:rsidP="00265C65">
      <w:pPr>
        <w:pStyle w:val="NoSpacing"/>
        <w:spacing w:line="480" w:lineRule="auto"/>
        <w:rPr>
          <w:rFonts w:ascii="Times New Roman" w:hAnsi="Times New Roman"/>
          <w:sz w:val="24"/>
        </w:rPr>
      </w:pPr>
      <w:r>
        <w:rPr>
          <w:rFonts w:ascii="Times New Roman" w:hAnsi="Times New Roman"/>
          <w:sz w:val="24"/>
        </w:rPr>
        <w:tab/>
        <w:t>The data was analyzed using SAS (SAS 9.2, Cary, NC) to find simple averages, and standard deviations. The study was an exploratory study so there was no experimental design. The data was analyzed using SAS ANOVA mixed models (SAS 9.2, Cary, NC) to determine significant changes in SOC based on the factors of interest including historical crop, texture, depth, and taxonomy over the length of the study.</w:t>
      </w:r>
    </w:p>
    <w:p w:rsidR="00F24219" w:rsidRDefault="00F24219" w:rsidP="00265C65">
      <w:pPr>
        <w:pStyle w:val="Heading2"/>
        <w:rPr>
          <w:rFonts w:ascii="Times New Roman" w:hAnsi="Times New Roman" w:cs="Times New Roman"/>
        </w:rPr>
      </w:pPr>
      <w:r w:rsidRPr="00C0338A">
        <w:rPr>
          <w:rFonts w:ascii="Times New Roman" w:hAnsi="Times New Roman" w:cs="Times New Roman"/>
        </w:rPr>
        <w:lastRenderedPageBreak/>
        <w:t>Results and Discussion</w:t>
      </w:r>
    </w:p>
    <w:p w:rsidR="00F24219" w:rsidRPr="0072044F" w:rsidRDefault="00F24219" w:rsidP="00265C65">
      <w:pPr>
        <w:pStyle w:val="Heading3"/>
        <w:rPr>
          <w:rFonts w:ascii="Times New Roman" w:hAnsi="Times New Roman" w:cs="Times New Roman"/>
        </w:rPr>
      </w:pPr>
      <w:r w:rsidRPr="0072044F">
        <w:rPr>
          <w:rFonts w:ascii="Times New Roman" w:hAnsi="Times New Roman" w:cs="Times New Roman"/>
        </w:rPr>
        <w:t xml:space="preserve">Factors </w:t>
      </w:r>
      <w:r w:rsidR="00DF7EF4">
        <w:rPr>
          <w:rFonts w:ascii="Times New Roman" w:hAnsi="Times New Roman" w:cs="Times New Roman"/>
        </w:rPr>
        <w:t>affecting</w:t>
      </w:r>
      <w:r w:rsidRPr="0072044F">
        <w:rPr>
          <w:rFonts w:ascii="Times New Roman" w:hAnsi="Times New Roman" w:cs="Times New Roman"/>
        </w:rPr>
        <w:t xml:space="preserve"> SOC</w:t>
      </w:r>
    </w:p>
    <w:p w:rsidR="00F24219" w:rsidRPr="004B6D5F" w:rsidRDefault="00F24219" w:rsidP="00265C65"/>
    <w:p w:rsidR="00F24219" w:rsidRPr="005802A3" w:rsidRDefault="00F24219" w:rsidP="00265C65">
      <w:pPr>
        <w:spacing w:line="480" w:lineRule="auto"/>
        <w:ind w:firstLine="720"/>
      </w:pPr>
      <w:r>
        <w:t xml:space="preserve">Several factors were analyzed based on their potential influence on short-term SOC storage. Those factors include 1) depth, 2) </w:t>
      </w:r>
      <w:r w:rsidR="00E025ED">
        <w:t xml:space="preserve">previous cropping management </w:t>
      </w:r>
      <w:r w:rsidR="00194406">
        <w:t>and location,</w:t>
      </w:r>
      <w:r>
        <w:t xml:space="preserve"> 3) texture</w:t>
      </w:r>
      <w:r w:rsidR="00194406">
        <w:t>, and 4) taxonomy</w:t>
      </w:r>
      <w:r>
        <w:t>. Each factor will be addressed including overall changes in SOC for the length of the study.</w:t>
      </w:r>
    </w:p>
    <w:p w:rsidR="00F24219" w:rsidRPr="00E025ED" w:rsidRDefault="00E025ED" w:rsidP="00E025ED">
      <w:pPr>
        <w:rPr>
          <w:b/>
          <w:i/>
        </w:rPr>
      </w:pPr>
      <w:r>
        <w:rPr>
          <w:b/>
          <w:i/>
        </w:rPr>
        <w:t>1)</w:t>
      </w:r>
      <w:r w:rsidR="00F24219" w:rsidRPr="00E025ED">
        <w:rPr>
          <w:b/>
          <w:i/>
        </w:rPr>
        <w:t>Depth</w:t>
      </w:r>
    </w:p>
    <w:p w:rsidR="00E025ED" w:rsidRPr="00E025ED" w:rsidRDefault="00E025ED" w:rsidP="00E025ED">
      <w:pPr>
        <w:ind w:left="360"/>
        <w:rPr>
          <w:b/>
          <w:i/>
        </w:rPr>
      </w:pPr>
    </w:p>
    <w:p w:rsidR="00F24219" w:rsidRPr="00E045C3" w:rsidRDefault="00F24219" w:rsidP="00265C65">
      <w:pPr>
        <w:spacing w:line="480" w:lineRule="auto"/>
      </w:pPr>
      <w:r w:rsidRPr="00E045C3">
        <w:tab/>
        <w:t xml:space="preserve">The average SOC and standard deviation was determined using SAS (SAS, Inc. Cary, NC) (Figure 1.2, Table 1.2). SOC decreased in the upper 30 cm from 2008 to 2011 by an average 10% (Figure 1.3). SOC increased by 6% from 30 to 60 cm and on average 30% from 60 to 120 cm between 2008 and 2011(Figure 1.3). </w:t>
      </w:r>
    </w:p>
    <w:p w:rsidR="00F24219" w:rsidRDefault="00167033" w:rsidP="00265C65">
      <w:pPr>
        <w:rPr>
          <w:noProof/>
        </w:rPr>
      </w:pPr>
      <w:r>
        <w:rPr>
          <w:noProof/>
        </w:rPr>
        <w:drawing>
          <wp:inline distT="0" distB="0" distL="0" distR="0" wp14:anchorId="4B7F5FBD" wp14:editId="12F285D0">
            <wp:extent cx="6229350" cy="30480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42F5" w:rsidRDefault="008042F5" w:rsidP="00265C65">
      <w:pPr>
        <w:rPr>
          <w:noProof/>
        </w:rPr>
      </w:pPr>
    </w:p>
    <w:p w:rsidR="008042F5" w:rsidRDefault="008042F5" w:rsidP="008042F5">
      <w:pPr>
        <w:rPr>
          <w:b/>
        </w:rPr>
      </w:pPr>
      <w:r w:rsidRPr="006421C7">
        <w:rPr>
          <w:b/>
        </w:rPr>
        <w:t xml:space="preserve">Figure </w:t>
      </w:r>
      <w:r>
        <w:rPr>
          <w:b/>
        </w:rPr>
        <w:t xml:space="preserve">1.2 Percent soil organic carbon by </w:t>
      </w:r>
      <w:r w:rsidRPr="006421C7">
        <w:rPr>
          <w:b/>
        </w:rPr>
        <w:t>dept</w:t>
      </w:r>
      <w:r>
        <w:rPr>
          <w:b/>
        </w:rPr>
        <w:t>h</w:t>
      </w:r>
    </w:p>
    <w:p w:rsidR="008042F5" w:rsidRDefault="008042F5" w:rsidP="008042F5">
      <w:pPr>
        <w:rPr>
          <w:b/>
        </w:rPr>
      </w:pPr>
    </w:p>
    <w:p w:rsidR="008042F5" w:rsidRDefault="008042F5" w:rsidP="008042F5">
      <w:pPr>
        <w:rPr>
          <w:b/>
        </w:rPr>
      </w:pPr>
    </w:p>
    <w:p w:rsidR="009E70C1" w:rsidRDefault="009E70C1" w:rsidP="008042F5">
      <w:pPr>
        <w:rPr>
          <w:b/>
        </w:rPr>
      </w:pPr>
    </w:p>
    <w:p w:rsidR="009147F2" w:rsidRPr="00D9354E" w:rsidRDefault="009147F2" w:rsidP="009147F2">
      <w:pPr>
        <w:spacing w:line="480" w:lineRule="auto"/>
        <w:ind w:left="723" w:hangingChars="300" w:hanging="723"/>
        <w:rPr>
          <w:b/>
        </w:rPr>
      </w:pPr>
      <w:r>
        <w:rPr>
          <w:b/>
        </w:rPr>
        <w:lastRenderedPageBreak/>
        <w:t xml:space="preserve">Table 1.2 </w:t>
      </w:r>
      <w:r w:rsidR="00194406">
        <w:rPr>
          <w:b/>
        </w:rPr>
        <w:t xml:space="preserve">Depth </w:t>
      </w:r>
      <w:r>
        <w:rPr>
          <w:b/>
        </w:rPr>
        <w:t xml:space="preserve">SAS Output </w:t>
      </w:r>
    </w:p>
    <w:tbl>
      <w:tblPr>
        <w:tblW w:w="9600" w:type="dxa"/>
        <w:tblInd w:w="93" w:type="dxa"/>
        <w:tblLook w:val="04A0" w:firstRow="1" w:lastRow="0" w:firstColumn="1" w:lastColumn="0" w:noHBand="0" w:noVBand="1"/>
      </w:tblPr>
      <w:tblGrid>
        <w:gridCol w:w="1300"/>
        <w:gridCol w:w="916"/>
        <w:gridCol w:w="1086"/>
        <w:gridCol w:w="1256"/>
        <w:gridCol w:w="1256"/>
        <w:gridCol w:w="1256"/>
        <w:gridCol w:w="1256"/>
        <w:gridCol w:w="1300"/>
      </w:tblGrid>
      <w:tr w:rsidR="00167033" w:rsidRPr="00167033" w:rsidTr="00194406">
        <w:trPr>
          <w:trHeight w:val="341"/>
        </w:trPr>
        <w:tc>
          <w:tcPr>
            <w:tcW w:w="1274"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167033" w:rsidRPr="00167033" w:rsidRDefault="00167033" w:rsidP="00167033">
            <w:pPr>
              <w:rPr>
                <w:color w:val="000000"/>
                <w:sz w:val="22"/>
                <w:szCs w:val="22"/>
              </w:rPr>
            </w:pPr>
            <w:r w:rsidRPr="00167033">
              <w:rPr>
                <w:color w:val="000000"/>
                <w:sz w:val="22"/>
                <w:szCs w:val="22"/>
              </w:rPr>
              <w:t> </w:t>
            </w:r>
          </w:p>
        </w:tc>
        <w:tc>
          <w:tcPr>
            <w:tcW w:w="8324" w:type="dxa"/>
            <w:gridSpan w:val="7"/>
            <w:tcBorders>
              <w:top w:val="single" w:sz="4" w:space="0" w:color="auto"/>
              <w:left w:val="nil"/>
              <w:bottom w:val="single" w:sz="4" w:space="0" w:color="auto"/>
              <w:right w:val="single" w:sz="4" w:space="0" w:color="000000"/>
            </w:tcBorders>
            <w:shd w:val="clear" w:color="000000" w:fill="BFBFBF"/>
            <w:noWrap/>
            <w:vAlign w:val="bottom"/>
            <w:hideMark/>
          </w:tcPr>
          <w:p w:rsidR="00167033" w:rsidRPr="00167033" w:rsidRDefault="00167033" w:rsidP="00167033">
            <w:pPr>
              <w:jc w:val="center"/>
              <w:rPr>
                <w:b/>
                <w:bCs/>
                <w:color w:val="000000"/>
                <w:sz w:val="22"/>
                <w:szCs w:val="22"/>
              </w:rPr>
            </w:pPr>
            <w:r w:rsidRPr="00167033">
              <w:rPr>
                <w:b/>
                <w:bCs/>
                <w:color w:val="000000"/>
                <w:sz w:val="22"/>
                <w:szCs w:val="22"/>
              </w:rPr>
              <w:t xml:space="preserve">Depth </w:t>
            </w:r>
          </w:p>
        </w:tc>
      </w:tr>
      <w:tr w:rsidR="00167033" w:rsidRPr="00167033" w:rsidTr="00194406">
        <w:trPr>
          <w:trHeight w:val="341"/>
        </w:trPr>
        <w:tc>
          <w:tcPr>
            <w:tcW w:w="1274" w:type="dxa"/>
            <w:tcBorders>
              <w:top w:val="nil"/>
              <w:left w:val="single" w:sz="4" w:space="0" w:color="auto"/>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 </w:t>
            </w:r>
          </w:p>
        </w:tc>
        <w:tc>
          <w:tcPr>
            <w:tcW w:w="916" w:type="dxa"/>
            <w:tcBorders>
              <w:top w:val="nil"/>
              <w:left w:val="nil"/>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0-5cm</w:t>
            </w:r>
          </w:p>
        </w:tc>
        <w:tc>
          <w:tcPr>
            <w:tcW w:w="1086" w:type="dxa"/>
            <w:tcBorders>
              <w:top w:val="nil"/>
              <w:left w:val="nil"/>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5-10cm</w:t>
            </w:r>
          </w:p>
        </w:tc>
        <w:tc>
          <w:tcPr>
            <w:tcW w:w="1256" w:type="dxa"/>
            <w:tcBorders>
              <w:top w:val="nil"/>
              <w:left w:val="nil"/>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10-20cm</w:t>
            </w:r>
          </w:p>
        </w:tc>
        <w:tc>
          <w:tcPr>
            <w:tcW w:w="1256" w:type="dxa"/>
            <w:tcBorders>
              <w:top w:val="nil"/>
              <w:left w:val="nil"/>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15-30cm</w:t>
            </w:r>
          </w:p>
        </w:tc>
        <w:tc>
          <w:tcPr>
            <w:tcW w:w="1256" w:type="dxa"/>
            <w:tcBorders>
              <w:top w:val="nil"/>
              <w:left w:val="nil"/>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30-60cm</w:t>
            </w:r>
          </w:p>
        </w:tc>
        <w:tc>
          <w:tcPr>
            <w:tcW w:w="1256" w:type="dxa"/>
            <w:tcBorders>
              <w:top w:val="nil"/>
              <w:left w:val="nil"/>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60-90cm</w:t>
            </w:r>
          </w:p>
        </w:tc>
        <w:tc>
          <w:tcPr>
            <w:tcW w:w="1300" w:type="dxa"/>
            <w:tcBorders>
              <w:top w:val="nil"/>
              <w:left w:val="nil"/>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0"/>
                <w:szCs w:val="20"/>
              </w:rPr>
            </w:pPr>
            <w:r w:rsidRPr="00167033">
              <w:rPr>
                <w:color w:val="000000"/>
                <w:sz w:val="20"/>
                <w:szCs w:val="20"/>
              </w:rPr>
              <w:t>90-120cm</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SOC2008</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2.03</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1.45</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1.01</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0.78</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0.45</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0.30</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0.24</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STDEV</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0.53</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0.46</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0.32</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0.43</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0.32</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0.25</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0.24</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COUNT</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217</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210</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204</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201</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43</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36</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34</w:t>
            </w:r>
          </w:p>
        </w:tc>
      </w:tr>
      <w:tr w:rsidR="00167033" w:rsidRPr="00167033" w:rsidTr="00194406">
        <w:trPr>
          <w:trHeight w:val="341"/>
        </w:trPr>
        <w:tc>
          <w:tcPr>
            <w:tcW w:w="1274" w:type="dxa"/>
            <w:tcBorders>
              <w:top w:val="nil"/>
              <w:left w:val="single" w:sz="4" w:space="0" w:color="auto"/>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LSD(P&lt;.05)</w:t>
            </w:r>
          </w:p>
        </w:tc>
        <w:tc>
          <w:tcPr>
            <w:tcW w:w="91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A</w:t>
            </w:r>
          </w:p>
        </w:tc>
        <w:tc>
          <w:tcPr>
            <w:tcW w:w="108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B</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D</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EF</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HI</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HIJ</w:t>
            </w:r>
          </w:p>
        </w:tc>
        <w:tc>
          <w:tcPr>
            <w:tcW w:w="1300"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J</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SOC2009</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1.94</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1.29</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0.93</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0.75</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0.44</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0.33</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0.28</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STDEV</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0.55</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0.36</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0.27</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0.32</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0.34</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0.25</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0.26</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COUNT</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200</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197</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198</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190</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29</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27</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19</w:t>
            </w:r>
          </w:p>
        </w:tc>
      </w:tr>
      <w:tr w:rsidR="00167033" w:rsidRPr="00167033" w:rsidTr="00194406">
        <w:trPr>
          <w:trHeight w:val="341"/>
        </w:trPr>
        <w:tc>
          <w:tcPr>
            <w:tcW w:w="1274" w:type="dxa"/>
            <w:tcBorders>
              <w:top w:val="nil"/>
              <w:left w:val="single" w:sz="4" w:space="0" w:color="auto"/>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LSD(P&lt;.05)</w:t>
            </w:r>
          </w:p>
        </w:tc>
        <w:tc>
          <w:tcPr>
            <w:tcW w:w="91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A</w:t>
            </w:r>
          </w:p>
        </w:tc>
        <w:tc>
          <w:tcPr>
            <w:tcW w:w="108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C</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DE</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FG</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HIJ</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HIJ</w:t>
            </w:r>
          </w:p>
        </w:tc>
        <w:tc>
          <w:tcPr>
            <w:tcW w:w="1300"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IJ</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SOC2010</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1.96</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1.30</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0.93</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0.69</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0.56</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0.36</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0.34</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STDEV</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0.57</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0.40</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0.28</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0.27</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0.32</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0.26</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0.52</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COUNT</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238</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241</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239</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237</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35</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34</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33</w:t>
            </w:r>
          </w:p>
        </w:tc>
      </w:tr>
      <w:tr w:rsidR="00167033" w:rsidRPr="00167033" w:rsidTr="00194406">
        <w:trPr>
          <w:trHeight w:val="341"/>
        </w:trPr>
        <w:tc>
          <w:tcPr>
            <w:tcW w:w="1274" w:type="dxa"/>
            <w:tcBorders>
              <w:top w:val="nil"/>
              <w:left w:val="single" w:sz="4" w:space="0" w:color="auto"/>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LSD(P&lt;.05)</w:t>
            </w:r>
          </w:p>
        </w:tc>
        <w:tc>
          <w:tcPr>
            <w:tcW w:w="91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A</w:t>
            </w:r>
          </w:p>
        </w:tc>
        <w:tc>
          <w:tcPr>
            <w:tcW w:w="108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BC</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D</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F</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GH</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IJ</w:t>
            </w:r>
          </w:p>
        </w:tc>
        <w:tc>
          <w:tcPr>
            <w:tcW w:w="1300"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IJ</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SOC2011</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1.95</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1.26</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0.92</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0.72</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0.48</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0.38</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0.32</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STDEV</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0.54</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0.42</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0.31</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0.33</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0.26</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0.27</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0.38</w:t>
            </w:r>
          </w:p>
        </w:tc>
      </w:tr>
      <w:tr w:rsidR="00167033" w:rsidRPr="00167033" w:rsidTr="00194406">
        <w:trPr>
          <w:trHeight w:val="341"/>
        </w:trPr>
        <w:tc>
          <w:tcPr>
            <w:tcW w:w="1274" w:type="dxa"/>
            <w:tcBorders>
              <w:top w:val="nil"/>
              <w:left w:val="single" w:sz="4" w:space="0" w:color="auto"/>
              <w:bottom w:val="nil"/>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COUNT</w:t>
            </w:r>
          </w:p>
        </w:tc>
        <w:tc>
          <w:tcPr>
            <w:tcW w:w="91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207</w:t>
            </w:r>
          </w:p>
        </w:tc>
        <w:tc>
          <w:tcPr>
            <w:tcW w:w="108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207</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207</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205</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32</w:t>
            </w:r>
          </w:p>
        </w:tc>
        <w:tc>
          <w:tcPr>
            <w:tcW w:w="1256"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31</w:t>
            </w:r>
          </w:p>
        </w:tc>
        <w:tc>
          <w:tcPr>
            <w:tcW w:w="1300" w:type="dxa"/>
            <w:tcBorders>
              <w:top w:val="nil"/>
              <w:left w:val="nil"/>
              <w:bottom w:val="nil"/>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27</w:t>
            </w:r>
          </w:p>
        </w:tc>
      </w:tr>
      <w:tr w:rsidR="00167033" w:rsidRPr="00167033" w:rsidTr="00194406">
        <w:trPr>
          <w:trHeight w:val="341"/>
        </w:trPr>
        <w:tc>
          <w:tcPr>
            <w:tcW w:w="1274" w:type="dxa"/>
            <w:tcBorders>
              <w:top w:val="nil"/>
              <w:left w:val="single" w:sz="4" w:space="0" w:color="auto"/>
              <w:bottom w:val="single" w:sz="4" w:space="0" w:color="auto"/>
              <w:right w:val="single" w:sz="4" w:space="0" w:color="auto"/>
            </w:tcBorders>
            <w:shd w:val="clear" w:color="000000" w:fill="BFBFBF"/>
            <w:noWrap/>
            <w:vAlign w:val="bottom"/>
            <w:hideMark/>
          </w:tcPr>
          <w:p w:rsidR="00167033" w:rsidRPr="00167033" w:rsidRDefault="00167033" w:rsidP="00167033">
            <w:pPr>
              <w:jc w:val="center"/>
              <w:rPr>
                <w:color w:val="000000"/>
                <w:sz w:val="22"/>
                <w:szCs w:val="22"/>
              </w:rPr>
            </w:pPr>
            <w:r w:rsidRPr="00167033">
              <w:rPr>
                <w:color w:val="000000"/>
                <w:sz w:val="22"/>
                <w:szCs w:val="22"/>
              </w:rPr>
              <w:t>LSD(P&lt;.05)</w:t>
            </w:r>
          </w:p>
        </w:tc>
        <w:tc>
          <w:tcPr>
            <w:tcW w:w="91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A</w:t>
            </w:r>
          </w:p>
        </w:tc>
        <w:tc>
          <w:tcPr>
            <w:tcW w:w="108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C</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D</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F</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HIJ</w:t>
            </w:r>
          </w:p>
        </w:tc>
        <w:tc>
          <w:tcPr>
            <w:tcW w:w="1256"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HIJ</w:t>
            </w:r>
          </w:p>
        </w:tc>
        <w:tc>
          <w:tcPr>
            <w:tcW w:w="1300" w:type="dxa"/>
            <w:tcBorders>
              <w:top w:val="nil"/>
              <w:left w:val="nil"/>
              <w:bottom w:val="single" w:sz="4" w:space="0" w:color="auto"/>
              <w:right w:val="single" w:sz="4" w:space="0" w:color="auto"/>
            </w:tcBorders>
            <w:shd w:val="clear" w:color="auto" w:fill="auto"/>
            <w:noWrap/>
            <w:vAlign w:val="bottom"/>
            <w:hideMark/>
          </w:tcPr>
          <w:p w:rsidR="00167033" w:rsidRPr="00167033" w:rsidRDefault="00167033" w:rsidP="00167033">
            <w:pPr>
              <w:jc w:val="center"/>
              <w:rPr>
                <w:color w:val="000000"/>
                <w:sz w:val="22"/>
                <w:szCs w:val="22"/>
              </w:rPr>
            </w:pPr>
            <w:r w:rsidRPr="00167033">
              <w:rPr>
                <w:color w:val="000000"/>
                <w:sz w:val="22"/>
                <w:szCs w:val="22"/>
              </w:rPr>
              <w:t>HIJ</w:t>
            </w:r>
          </w:p>
        </w:tc>
      </w:tr>
    </w:tbl>
    <w:p w:rsidR="00F24219" w:rsidRDefault="00F24219" w:rsidP="00265C65">
      <w:pPr>
        <w:rPr>
          <w:b/>
        </w:rPr>
      </w:pPr>
    </w:p>
    <w:p w:rsidR="00F24219" w:rsidRDefault="00187B76" w:rsidP="00265C65">
      <w:pPr>
        <w:rPr>
          <w:noProof/>
        </w:rPr>
      </w:pPr>
      <w:r>
        <w:rPr>
          <w:noProof/>
        </w:rPr>
        <w:drawing>
          <wp:inline distT="0" distB="0" distL="0" distR="0" wp14:anchorId="47D0263B" wp14:editId="23E23108">
            <wp:extent cx="6114197" cy="2456597"/>
            <wp:effectExtent l="0" t="0" r="20320" b="203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24219" w:rsidRDefault="00F24219" w:rsidP="00265C65">
      <w:pPr>
        <w:rPr>
          <w:noProof/>
        </w:rPr>
      </w:pPr>
    </w:p>
    <w:p w:rsidR="00F24219" w:rsidRPr="0038530D" w:rsidRDefault="00F24219" w:rsidP="00265C65">
      <w:pPr>
        <w:rPr>
          <w:b/>
          <w:i/>
        </w:rPr>
      </w:pPr>
      <w:r>
        <w:rPr>
          <w:b/>
        </w:rPr>
        <w:t>Figure 1.3</w:t>
      </w:r>
      <w:r w:rsidRPr="006421C7">
        <w:rPr>
          <w:b/>
        </w:rPr>
        <w:t xml:space="preserve"> Percent Change in SOC by Depth</w:t>
      </w:r>
    </w:p>
    <w:p w:rsidR="00F24219" w:rsidRDefault="00F24219" w:rsidP="00265C65"/>
    <w:p w:rsidR="00F24219" w:rsidRPr="00782232" w:rsidRDefault="00F24219" w:rsidP="00265C65">
      <w:pPr>
        <w:spacing w:line="480" w:lineRule="auto"/>
      </w:pPr>
      <w:r>
        <w:lastRenderedPageBreak/>
        <w:tab/>
        <w:t>The changes in SOC by depth were not statistically different except in depths of 5 to 10 cm (P&lt;.0001) when analyzed using SAS ANOVA mixed models (SAS, Inc. Cary, NC). Although no significant differences were observed, the percent differences show a pattern that in the long term may lead to significant increase in below ground SOC storage in agreement with</w:t>
      </w:r>
      <w:r w:rsidRPr="00957B6A">
        <w:t xml:space="preserve"> </w:t>
      </w:r>
      <w:r>
        <w:t>Tolbert et al. (2002) who observed a significant increase in SOC under switchgrass production in the Southeastern United States. The initial decrease in SOC seen in the upper 30 cm is likely due to disturbance of the system when changing from the historical cropping system to the perennial switchgrass system</w:t>
      </w:r>
      <w:r w:rsidR="00C658CB">
        <w:t xml:space="preserve">. </w:t>
      </w:r>
      <w:r>
        <w:rPr>
          <w:noProof/>
        </w:rPr>
        <w:t>Search</w:t>
      </w:r>
      <w:r w:rsidR="00C658CB">
        <w:rPr>
          <w:noProof/>
        </w:rPr>
        <w:t>inger et al.</w:t>
      </w:r>
      <w:r>
        <w:rPr>
          <w:noProof/>
        </w:rPr>
        <w:t xml:space="preserve"> </w:t>
      </w:r>
      <w:r w:rsidR="00C658CB">
        <w:rPr>
          <w:noProof/>
        </w:rPr>
        <w:t>(</w:t>
      </w:r>
      <w:r>
        <w:rPr>
          <w:noProof/>
        </w:rPr>
        <w:t>2008)</w:t>
      </w:r>
      <w:r w:rsidR="00C658CB">
        <w:rPr>
          <w:noProof/>
        </w:rPr>
        <w:t xml:space="preserve"> found biofuels from switchgrass if grown on U.S. corn lands increase GHG emissions by 50%</w:t>
      </w:r>
      <w:r>
        <w:t>.</w:t>
      </w:r>
      <w:r w:rsidR="00C658CB">
        <w:t xml:space="preserve"> Because biofuel </w:t>
      </w:r>
      <w:r w:rsidR="00227FF9">
        <w:t>feedstocks remove</w:t>
      </w:r>
      <w:r w:rsidR="00C658CB">
        <w:t xml:space="preserve"> carbon dioxide from the atmosphere, biofuels in theory will reduce GHG emissions. However as Searching et al. (2008) point out, what </w:t>
      </w:r>
      <w:r w:rsidR="00227FF9">
        <w:t>are</w:t>
      </w:r>
      <w:r w:rsidR="00C658CB">
        <w:t xml:space="preserve"> not often considered </w:t>
      </w:r>
      <w:r w:rsidR="00227FF9">
        <w:t>are</w:t>
      </w:r>
      <w:r w:rsidR="00C658CB">
        <w:t xml:space="preserve"> the emissions from land use change. As biofuel demand increases, farmers will likely respond by plowing up forest land and undisturbed pasture causing and overall increase in GHG emissions and SOC losses (Searching et al., 2008). Our results show the losses of SOC due to disturbance. The</w:t>
      </w:r>
      <w:r>
        <w:t xml:space="preserve"> study was originally designed to look at switchgrass production on degraded land. The farmers agreed to volunteering their land because it was already low producing and rec</w:t>
      </w:r>
      <w:r w:rsidR="00C658CB">
        <w:t>eiving little or no management emphasizing farmer’s likelihood to put previously unmanaged land into biofuel production.</w:t>
      </w:r>
    </w:p>
    <w:p w:rsidR="00F24219" w:rsidRDefault="00F24219" w:rsidP="00265C65">
      <w:pPr>
        <w:rPr>
          <w:b/>
          <w:i/>
        </w:rPr>
      </w:pPr>
      <w:r>
        <w:rPr>
          <w:b/>
          <w:i/>
        </w:rPr>
        <w:t xml:space="preserve">2) </w:t>
      </w:r>
      <w:r w:rsidR="00B676C6">
        <w:rPr>
          <w:b/>
          <w:i/>
        </w:rPr>
        <w:t>Previous Cropping</w:t>
      </w:r>
      <w:r>
        <w:rPr>
          <w:b/>
          <w:i/>
        </w:rPr>
        <w:t xml:space="preserve"> Systems and Location</w:t>
      </w:r>
    </w:p>
    <w:p w:rsidR="00F24219" w:rsidRDefault="00F24219" w:rsidP="00265C65">
      <w:pPr>
        <w:rPr>
          <w:b/>
          <w:i/>
        </w:rPr>
      </w:pPr>
    </w:p>
    <w:p w:rsidR="00167033" w:rsidRDefault="00F24219" w:rsidP="00265C65">
      <w:pPr>
        <w:spacing w:line="480" w:lineRule="auto"/>
      </w:pPr>
      <w:r>
        <w:tab/>
      </w:r>
      <w:r w:rsidR="00B676C6">
        <w:t>Previous management</w:t>
      </w:r>
      <w:r>
        <w:t xml:space="preserve"> effect on SOC is largely inconclusive looking at percent changes in SOC over the four year study. The hypothesis was that those systems moving </w:t>
      </w:r>
      <w:r>
        <w:lastRenderedPageBreak/>
        <w:t xml:space="preserve">from conventional agriculture (i.e. corn and soybeans) to switchgrass would increase in SOC where those systems moving from low disturbance (i.e. pasture) would experience less </w:t>
      </w:r>
      <w:r w:rsidR="00C658CB">
        <w:t>change</w:t>
      </w:r>
      <w:r>
        <w:t xml:space="preserve"> in SOC. Based on percent change, the opposite relationship developed (</w:t>
      </w:r>
      <w:r w:rsidR="009E70C1">
        <w:t>Table 1.3</w:t>
      </w:r>
      <w:r>
        <w:t>).</w:t>
      </w:r>
      <w:r w:rsidR="00C658CB">
        <w:t xml:space="preserve"> For instance pasture had the highest SOC content and theoretically the least disturbance and an increase in SOC was still seen.</w:t>
      </w:r>
      <w:r w:rsidR="001E11FC">
        <w:t xml:space="preserve"> The land that theoretically was the most disturbed, corn and soybeans, both resulted in net SOC decreases.</w:t>
      </w:r>
      <w:r w:rsidR="00C658CB">
        <w:t xml:space="preserve"> </w:t>
      </w:r>
      <w:r>
        <w:t xml:space="preserve"> The hypothesis likely did not hold due to the short duration of the experiment. The soil system likely did not equilibrate over the four year study and would need to be revisited in several years to make more accurate assessments of changes in SOC due to historical land management.  </w:t>
      </w:r>
    </w:p>
    <w:p w:rsidR="00F24219" w:rsidRDefault="008F718E" w:rsidP="00265C65">
      <w:pPr>
        <w:spacing w:line="480" w:lineRule="auto"/>
        <w:rPr>
          <w:noProof/>
        </w:rPr>
      </w:pPr>
      <w:r>
        <w:rPr>
          <w:noProof/>
        </w:rPr>
        <w:drawing>
          <wp:inline distT="0" distB="0" distL="0" distR="0" wp14:anchorId="257A0E4B" wp14:editId="3279178E">
            <wp:extent cx="5991367" cy="3780430"/>
            <wp:effectExtent l="0" t="0" r="9525" b="1079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r>
        <w:rPr>
          <w:b/>
          <w:noProof/>
        </w:rPr>
        <w:t>Figure 1.4 Percent SOC by</w:t>
      </w:r>
      <w:r w:rsidR="00167033">
        <w:rPr>
          <w:b/>
          <w:noProof/>
        </w:rPr>
        <w:t xml:space="preserve"> Previous Cropping System</w:t>
      </w:r>
      <w:r w:rsidR="00332B03">
        <w:rPr>
          <w:noProof/>
        </w:rPr>
        <w:t xml:space="preserve"> </w:t>
      </w:r>
    </w:p>
    <w:p w:rsidR="00332B03" w:rsidRDefault="00332B03"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r>
        <w:rPr>
          <w:noProof/>
        </w:rPr>
        <w:t xml:space="preserve">Corn – 1 farm; Fallow – 1 farm;  Greenbeans – 1 farm; Pasture – 2 farms; Soybeans – 6 farms; Switchgrass – 2 farms; Wheat – 1 </w:t>
      </w:r>
      <w:r w:rsidR="003A6404">
        <w:rPr>
          <w:noProof/>
        </w:rPr>
        <w:t>farm</w:t>
      </w:r>
    </w:p>
    <w:p w:rsidR="00332B03" w:rsidRDefault="00332B03" w:rsidP="00167033">
      <w:pPr>
        <w:numPr>
          <w:ilvl w:val="12"/>
          <w:numId w:val="0"/>
        </w:numPr>
        <w:tabs>
          <w:tab w:val="left" w:pos="-1200"/>
          <w:tab w:val="left" w:pos="-720"/>
          <w:tab w:val="left" w:pos="0"/>
          <w:tab w:val="left" w:pos="720"/>
          <w:tab w:val="left" w:pos="1440"/>
          <w:tab w:val="left" w:pos="2160"/>
        </w:tabs>
        <w:rPr>
          <w:noProof/>
        </w:rPr>
      </w:pPr>
    </w:p>
    <w:p w:rsidR="00167033" w:rsidRDefault="009147F2" w:rsidP="009147F2">
      <w:pPr>
        <w:spacing w:line="480" w:lineRule="auto"/>
        <w:ind w:left="723" w:hangingChars="300" w:hanging="723"/>
      </w:pPr>
      <w:r>
        <w:rPr>
          <w:b/>
        </w:rPr>
        <w:lastRenderedPageBreak/>
        <w:t>T</w:t>
      </w:r>
      <w:r w:rsidRPr="00D764B9">
        <w:rPr>
          <w:b/>
        </w:rPr>
        <w:t xml:space="preserve">able </w:t>
      </w:r>
      <w:r w:rsidR="009E70C1">
        <w:rPr>
          <w:b/>
        </w:rPr>
        <w:t>1.3</w:t>
      </w:r>
      <w:r>
        <w:t xml:space="preserve"> </w:t>
      </w:r>
      <w:r w:rsidR="009E70C1">
        <w:rPr>
          <w:b/>
        </w:rPr>
        <w:t>Previous Cropping M</w:t>
      </w:r>
      <w:r>
        <w:rPr>
          <w:b/>
        </w:rPr>
        <w:t>anage</w:t>
      </w:r>
      <w:r w:rsidR="009E70C1">
        <w:rPr>
          <w:b/>
        </w:rPr>
        <w:t xml:space="preserve">ment SAS </w:t>
      </w:r>
      <w:r w:rsidR="00227FF9">
        <w:rPr>
          <w:b/>
        </w:rPr>
        <w:t>Output</w:t>
      </w:r>
    </w:p>
    <w:tbl>
      <w:tblPr>
        <w:tblW w:w="9508" w:type="dxa"/>
        <w:tblInd w:w="93" w:type="dxa"/>
        <w:tblLook w:val="04A0" w:firstRow="1" w:lastRow="0" w:firstColumn="1" w:lastColumn="0" w:noHBand="0" w:noVBand="1"/>
      </w:tblPr>
      <w:tblGrid>
        <w:gridCol w:w="1569"/>
        <w:gridCol w:w="828"/>
        <w:gridCol w:w="879"/>
        <w:gridCol w:w="1359"/>
        <w:gridCol w:w="1143"/>
        <w:gridCol w:w="1111"/>
        <w:gridCol w:w="1329"/>
        <w:gridCol w:w="1306"/>
      </w:tblGrid>
      <w:tr w:rsidR="008F718E" w:rsidRPr="008F718E" w:rsidTr="008F718E">
        <w:trPr>
          <w:trHeight w:val="306"/>
        </w:trPr>
        <w:tc>
          <w:tcPr>
            <w:tcW w:w="1569" w:type="dxa"/>
            <w:tcBorders>
              <w:top w:val="single" w:sz="4" w:space="0" w:color="auto"/>
              <w:left w:val="single" w:sz="4" w:space="0" w:color="auto"/>
              <w:bottom w:val="nil"/>
              <w:right w:val="single" w:sz="4" w:space="0" w:color="auto"/>
            </w:tcBorders>
            <w:shd w:val="clear" w:color="000000" w:fill="BFBFBF"/>
            <w:noWrap/>
            <w:vAlign w:val="bottom"/>
            <w:hideMark/>
          </w:tcPr>
          <w:p w:rsidR="008F718E" w:rsidRPr="008F718E" w:rsidRDefault="008F718E" w:rsidP="008F718E">
            <w:pPr>
              <w:rPr>
                <w:color w:val="000000"/>
                <w:sz w:val="22"/>
                <w:szCs w:val="22"/>
              </w:rPr>
            </w:pPr>
            <w:r w:rsidRPr="008F718E">
              <w:rPr>
                <w:color w:val="000000"/>
                <w:sz w:val="22"/>
                <w:szCs w:val="22"/>
              </w:rPr>
              <w:t> </w:t>
            </w:r>
          </w:p>
        </w:tc>
        <w:tc>
          <w:tcPr>
            <w:tcW w:w="7938" w:type="dxa"/>
            <w:gridSpan w:val="7"/>
            <w:tcBorders>
              <w:top w:val="single" w:sz="4" w:space="0" w:color="auto"/>
              <w:left w:val="nil"/>
              <w:bottom w:val="single" w:sz="4" w:space="0" w:color="auto"/>
              <w:right w:val="single" w:sz="4" w:space="0" w:color="000000"/>
            </w:tcBorders>
            <w:shd w:val="clear" w:color="000000" w:fill="BFBFBF"/>
            <w:noWrap/>
            <w:vAlign w:val="bottom"/>
            <w:hideMark/>
          </w:tcPr>
          <w:p w:rsidR="008F718E" w:rsidRPr="008F718E" w:rsidRDefault="008F718E" w:rsidP="008F718E">
            <w:pPr>
              <w:jc w:val="center"/>
              <w:rPr>
                <w:b/>
                <w:bCs/>
                <w:color w:val="000000"/>
                <w:sz w:val="22"/>
                <w:szCs w:val="22"/>
              </w:rPr>
            </w:pPr>
            <w:r w:rsidRPr="008F718E">
              <w:rPr>
                <w:b/>
                <w:bCs/>
                <w:color w:val="000000"/>
                <w:sz w:val="22"/>
                <w:szCs w:val="22"/>
              </w:rPr>
              <w:t>Previous Cropping Method</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rPr>
                <w:color w:val="000000"/>
                <w:sz w:val="22"/>
                <w:szCs w:val="22"/>
              </w:rPr>
            </w:pPr>
            <w:r w:rsidRPr="008F718E">
              <w:rPr>
                <w:color w:val="000000"/>
                <w:sz w:val="22"/>
                <w:szCs w:val="22"/>
              </w:rPr>
              <w:t> </w:t>
            </w:r>
          </w:p>
        </w:tc>
        <w:tc>
          <w:tcPr>
            <w:tcW w:w="817" w:type="dxa"/>
            <w:tcBorders>
              <w:top w:val="nil"/>
              <w:left w:val="nil"/>
              <w:bottom w:val="single" w:sz="4" w:space="0" w:color="auto"/>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 xml:space="preserve">Corn </w:t>
            </w:r>
          </w:p>
        </w:tc>
        <w:tc>
          <w:tcPr>
            <w:tcW w:w="879" w:type="dxa"/>
            <w:tcBorders>
              <w:top w:val="nil"/>
              <w:left w:val="nil"/>
              <w:bottom w:val="single" w:sz="4" w:space="0" w:color="auto"/>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 xml:space="preserve">Fallow </w:t>
            </w:r>
          </w:p>
        </w:tc>
        <w:tc>
          <w:tcPr>
            <w:tcW w:w="1359" w:type="dxa"/>
            <w:tcBorders>
              <w:top w:val="nil"/>
              <w:left w:val="nil"/>
              <w:bottom w:val="single" w:sz="4" w:space="0" w:color="auto"/>
              <w:right w:val="single" w:sz="4" w:space="0" w:color="auto"/>
            </w:tcBorders>
            <w:shd w:val="clear" w:color="000000" w:fill="BFBFBF"/>
            <w:noWrap/>
            <w:vAlign w:val="bottom"/>
            <w:hideMark/>
          </w:tcPr>
          <w:p w:rsidR="008F718E" w:rsidRPr="008F718E" w:rsidRDefault="00227FF9" w:rsidP="008F718E">
            <w:pPr>
              <w:jc w:val="center"/>
              <w:rPr>
                <w:color w:val="000000"/>
                <w:sz w:val="22"/>
                <w:szCs w:val="22"/>
              </w:rPr>
            </w:pPr>
            <w:r w:rsidRPr="008F718E">
              <w:rPr>
                <w:color w:val="000000"/>
                <w:sz w:val="22"/>
                <w:szCs w:val="22"/>
              </w:rPr>
              <w:t>Green beans</w:t>
            </w:r>
            <w:r w:rsidR="008F718E" w:rsidRPr="008F718E">
              <w:rPr>
                <w:color w:val="000000"/>
                <w:sz w:val="22"/>
                <w:szCs w:val="22"/>
              </w:rPr>
              <w:t xml:space="preserve"> </w:t>
            </w:r>
          </w:p>
        </w:tc>
        <w:tc>
          <w:tcPr>
            <w:tcW w:w="1143" w:type="dxa"/>
            <w:tcBorders>
              <w:top w:val="nil"/>
              <w:left w:val="nil"/>
              <w:bottom w:val="single" w:sz="4" w:space="0" w:color="auto"/>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 xml:space="preserve">Pasture </w:t>
            </w:r>
          </w:p>
        </w:tc>
        <w:tc>
          <w:tcPr>
            <w:tcW w:w="1111" w:type="dxa"/>
            <w:tcBorders>
              <w:top w:val="nil"/>
              <w:left w:val="nil"/>
              <w:bottom w:val="single" w:sz="4" w:space="0" w:color="auto"/>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 xml:space="preserve">Soybeans </w:t>
            </w:r>
          </w:p>
        </w:tc>
        <w:tc>
          <w:tcPr>
            <w:tcW w:w="1324" w:type="dxa"/>
            <w:tcBorders>
              <w:top w:val="nil"/>
              <w:left w:val="nil"/>
              <w:bottom w:val="single" w:sz="4" w:space="0" w:color="auto"/>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 xml:space="preserve">Switchgrass </w:t>
            </w:r>
          </w:p>
        </w:tc>
        <w:tc>
          <w:tcPr>
            <w:tcW w:w="1306" w:type="dxa"/>
            <w:tcBorders>
              <w:top w:val="nil"/>
              <w:left w:val="nil"/>
              <w:bottom w:val="single" w:sz="4" w:space="0" w:color="auto"/>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Wheat</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SOC2008</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1.52</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1.26</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1.02</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1.41</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1.31</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1.97</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1.40</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STDEV</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0.06</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0.09</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0.11</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0.14</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0.03</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0.28</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0.17</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COUNT</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111</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47</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32</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21</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602</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5</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14</w:t>
            </w:r>
          </w:p>
        </w:tc>
      </w:tr>
      <w:tr w:rsidR="008F718E" w:rsidRPr="008F718E" w:rsidTr="008F718E">
        <w:trPr>
          <w:trHeight w:val="306"/>
        </w:trPr>
        <w:tc>
          <w:tcPr>
            <w:tcW w:w="1569" w:type="dxa"/>
            <w:tcBorders>
              <w:top w:val="nil"/>
              <w:left w:val="single" w:sz="4" w:space="0" w:color="auto"/>
              <w:bottom w:val="single" w:sz="4" w:space="0" w:color="auto"/>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LSD (P&lt;.05)</w:t>
            </w:r>
          </w:p>
        </w:tc>
        <w:tc>
          <w:tcPr>
            <w:tcW w:w="817"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AB</w:t>
            </w:r>
          </w:p>
        </w:tc>
        <w:tc>
          <w:tcPr>
            <w:tcW w:w="879"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DEFG</w:t>
            </w:r>
          </w:p>
        </w:tc>
        <w:tc>
          <w:tcPr>
            <w:tcW w:w="1359"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GJ</w:t>
            </w:r>
          </w:p>
        </w:tc>
        <w:tc>
          <w:tcPr>
            <w:tcW w:w="1143"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ABCDEF</w:t>
            </w:r>
          </w:p>
        </w:tc>
        <w:tc>
          <w:tcPr>
            <w:tcW w:w="1111"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DHI</w:t>
            </w:r>
          </w:p>
        </w:tc>
        <w:tc>
          <w:tcPr>
            <w:tcW w:w="1324"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A</w:t>
            </w:r>
          </w:p>
        </w:tc>
        <w:tc>
          <w:tcPr>
            <w:tcW w:w="1306"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ABCDEFG</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SOC2009</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1.35</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1.14</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1.09</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1.53</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1.22</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1.05</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1.13</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STDEV</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0.06</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0.09</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0.13</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0.14</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0.03</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0.62</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0.15</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COUNT</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103</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47</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24</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21</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573</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5</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16</w:t>
            </w:r>
          </w:p>
        </w:tc>
      </w:tr>
      <w:tr w:rsidR="008F718E" w:rsidRPr="008F718E" w:rsidTr="008F718E">
        <w:trPr>
          <w:trHeight w:val="306"/>
        </w:trPr>
        <w:tc>
          <w:tcPr>
            <w:tcW w:w="1569" w:type="dxa"/>
            <w:tcBorders>
              <w:top w:val="nil"/>
              <w:left w:val="single" w:sz="4" w:space="0" w:color="auto"/>
              <w:bottom w:val="single" w:sz="4" w:space="0" w:color="auto"/>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LSD (P&lt;.05)</w:t>
            </w:r>
          </w:p>
        </w:tc>
        <w:tc>
          <w:tcPr>
            <w:tcW w:w="817"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CDE</w:t>
            </w:r>
          </w:p>
        </w:tc>
        <w:tc>
          <w:tcPr>
            <w:tcW w:w="879"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EFGIJ</w:t>
            </w:r>
          </w:p>
        </w:tc>
        <w:tc>
          <w:tcPr>
            <w:tcW w:w="1359"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EFGIJ</w:t>
            </w:r>
          </w:p>
        </w:tc>
        <w:tc>
          <w:tcPr>
            <w:tcW w:w="1143"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ABCD</w:t>
            </w:r>
          </w:p>
        </w:tc>
        <w:tc>
          <w:tcPr>
            <w:tcW w:w="1111"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EFG</w:t>
            </w:r>
          </w:p>
        </w:tc>
        <w:tc>
          <w:tcPr>
            <w:tcW w:w="1324"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ABCDEFGJ</w:t>
            </w:r>
          </w:p>
        </w:tc>
        <w:tc>
          <w:tcPr>
            <w:tcW w:w="1306"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DEFGJ</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SOC2010</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1.37</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1.17</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1.10</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1.54</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1.20</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0.50</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1.23</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STDEV</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0.06</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0.09</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0.06</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0.09</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0.02</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0.62</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0.15</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COUNT</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109</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46</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24</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48</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620</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16</w:t>
            </w:r>
          </w:p>
        </w:tc>
      </w:tr>
      <w:tr w:rsidR="008F718E" w:rsidRPr="008F718E" w:rsidTr="008F718E">
        <w:trPr>
          <w:trHeight w:val="306"/>
        </w:trPr>
        <w:tc>
          <w:tcPr>
            <w:tcW w:w="1569" w:type="dxa"/>
            <w:tcBorders>
              <w:top w:val="nil"/>
              <w:left w:val="single" w:sz="4" w:space="0" w:color="auto"/>
              <w:bottom w:val="single" w:sz="4" w:space="0" w:color="auto"/>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LSD (P&lt;.05)</w:t>
            </w:r>
          </w:p>
        </w:tc>
        <w:tc>
          <w:tcPr>
            <w:tcW w:w="817"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BCDH</w:t>
            </w:r>
          </w:p>
        </w:tc>
        <w:tc>
          <w:tcPr>
            <w:tcW w:w="879"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EFGHJ</w:t>
            </w:r>
          </w:p>
        </w:tc>
        <w:tc>
          <w:tcPr>
            <w:tcW w:w="1359"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GJ</w:t>
            </w:r>
          </w:p>
        </w:tc>
        <w:tc>
          <w:tcPr>
            <w:tcW w:w="1143"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ABC</w:t>
            </w:r>
          </w:p>
        </w:tc>
        <w:tc>
          <w:tcPr>
            <w:tcW w:w="1111"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FG</w:t>
            </w:r>
          </w:p>
        </w:tc>
        <w:tc>
          <w:tcPr>
            <w:tcW w:w="1324"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BCDEFGJ</w:t>
            </w:r>
          </w:p>
        </w:tc>
        <w:tc>
          <w:tcPr>
            <w:tcW w:w="1306"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BCDEFGJ</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SOC2011</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1.41</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1.12</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1.13</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1.45</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1.18</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0.89</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1.05</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STDEV</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0.06</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0.09</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0.12</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0.08</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0.03</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0.14</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0.15</w:t>
            </w:r>
          </w:p>
        </w:tc>
      </w:tr>
      <w:tr w:rsidR="008F718E" w:rsidRPr="008F718E" w:rsidTr="008F718E">
        <w:trPr>
          <w:trHeight w:val="306"/>
        </w:trPr>
        <w:tc>
          <w:tcPr>
            <w:tcW w:w="1569" w:type="dxa"/>
            <w:tcBorders>
              <w:top w:val="nil"/>
              <w:left w:val="single" w:sz="4" w:space="0" w:color="auto"/>
              <w:bottom w:val="nil"/>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COUNT</w:t>
            </w:r>
          </w:p>
        </w:tc>
        <w:tc>
          <w:tcPr>
            <w:tcW w:w="817"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112</w:t>
            </w:r>
          </w:p>
        </w:tc>
        <w:tc>
          <w:tcPr>
            <w:tcW w:w="87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48</w:t>
            </w:r>
          </w:p>
        </w:tc>
        <w:tc>
          <w:tcPr>
            <w:tcW w:w="1359"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115</w:t>
            </w:r>
          </w:p>
        </w:tc>
        <w:tc>
          <w:tcPr>
            <w:tcW w:w="1143"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56</w:t>
            </w:r>
          </w:p>
        </w:tc>
        <w:tc>
          <w:tcPr>
            <w:tcW w:w="1111"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545</w:t>
            </w:r>
          </w:p>
        </w:tc>
        <w:tc>
          <w:tcPr>
            <w:tcW w:w="1324"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20</w:t>
            </w:r>
          </w:p>
        </w:tc>
        <w:tc>
          <w:tcPr>
            <w:tcW w:w="1306" w:type="dxa"/>
            <w:tcBorders>
              <w:top w:val="nil"/>
              <w:left w:val="nil"/>
              <w:bottom w:val="nil"/>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16</w:t>
            </w:r>
          </w:p>
        </w:tc>
      </w:tr>
      <w:tr w:rsidR="008F718E" w:rsidRPr="008F718E" w:rsidTr="008F718E">
        <w:trPr>
          <w:trHeight w:val="306"/>
        </w:trPr>
        <w:tc>
          <w:tcPr>
            <w:tcW w:w="1569" w:type="dxa"/>
            <w:tcBorders>
              <w:top w:val="nil"/>
              <w:left w:val="single" w:sz="4" w:space="0" w:color="auto"/>
              <w:bottom w:val="single" w:sz="4" w:space="0" w:color="auto"/>
              <w:right w:val="single" w:sz="4" w:space="0" w:color="auto"/>
            </w:tcBorders>
            <w:shd w:val="clear" w:color="000000" w:fill="BFBFBF"/>
            <w:noWrap/>
            <w:vAlign w:val="bottom"/>
            <w:hideMark/>
          </w:tcPr>
          <w:p w:rsidR="008F718E" w:rsidRPr="008F718E" w:rsidRDefault="008F718E" w:rsidP="008F718E">
            <w:pPr>
              <w:jc w:val="center"/>
              <w:rPr>
                <w:color w:val="000000"/>
                <w:sz w:val="22"/>
                <w:szCs w:val="22"/>
              </w:rPr>
            </w:pPr>
            <w:r w:rsidRPr="008F718E">
              <w:rPr>
                <w:color w:val="000000"/>
                <w:sz w:val="22"/>
                <w:szCs w:val="22"/>
              </w:rPr>
              <w:t>LSD (P&lt;.05)</w:t>
            </w:r>
          </w:p>
        </w:tc>
        <w:tc>
          <w:tcPr>
            <w:tcW w:w="817"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BCD</w:t>
            </w:r>
          </w:p>
        </w:tc>
        <w:tc>
          <w:tcPr>
            <w:tcW w:w="879"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FGJ</w:t>
            </w:r>
          </w:p>
        </w:tc>
        <w:tc>
          <w:tcPr>
            <w:tcW w:w="1359"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EFGHJ</w:t>
            </w:r>
          </w:p>
        </w:tc>
        <w:tc>
          <w:tcPr>
            <w:tcW w:w="1143"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ABCD</w:t>
            </w:r>
          </w:p>
        </w:tc>
        <w:tc>
          <w:tcPr>
            <w:tcW w:w="1111"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FG</w:t>
            </w:r>
          </w:p>
        </w:tc>
        <w:tc>
          <w:tcPr>
            <w:tcW w:w="1324"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J</w:t>
            </w:r>
          </w:p>
        </w:tc>
        <w:tc>
          <w:tcPr>
            <w:tcW w:w="1306"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EFGHJ</w:t>
            </w:r>
          </w:p>
        </w:tc>
      </w:tr>
      <w:tr w:rsidR="008F718E" w:rsidRPr="008F718E" w:rsidTr="008F718E">
        <w:trPr>
          <w:trHeight w:val="321"/>
        </w:trPr>
        <w:tc>
          <w:tcPr>
            <w:tcW w:w="1569" w:type="dxa"/>
            <w:tcBorders>
              <w:top w:val="nil"/>
              <w:left w:val="nil"/>
              <w:bottom w:val="single" w:sz="4" w:space="0" w:color="auto"/>
              <w:right w:val="single" w:sz="4" w:space="0" w:color="auto"/>
            </w:tcBorders>
            <w:shd w:val="clear" w:color="000000" w:fill="BFBFBF"/>
            <w:noWrap/>
            <w:vAlign w:val="bottom"/>
            <w:hideMark/>
          </w:tcPr>
          <w:p w:rsidR="008F718E" w:rsidRPr="008F718E" w:rsidRDefault="00BF6FA9" w:rsidP="008F718E">
            <w:pPr>
              <w:jc w:val="center"/>
              <w:rPr>
                <w:color w:val="000000"/>
              </w:rPr>
            </w:pPr>
            <w:r>
              <w:rPr>
                <w:noProof/>
                <w:color w:val="000000"/>
              </w:rPr>
              <mc:AlternateContent>
                <mc:Choice Requires="wps">
                  <w:drawing>
                    <wp:anchor distT="0" distB="0" distL="114300" distR="114300" simplePos="0" relativeHeight="251666432" behindDoc="0" locked="0" layoutInCell="1" allowOverlap="1">
                      <wp:simplePos x="0" y="0"/>
                      <wp:positionH relativeFrom="column">
                        <wp:posOffset>-82939</wp:posOffset>
                      </wp:positionH>
                      <wp:positionV relativeFrom="paragraph">
                        <wp:posOffset>-2938</wp:posOffset>
                      </wp:positionV>
                      <wp:extent cx="0" cy="204716"/>
                      <wp:effectExtent l="0" t="0" r="19050" b="24130"/>
                      <wp:wrapNone/>
                      <wp:docPr id="15" name="Straight Connector 15"/>
                      <wp:cNvGraphicFramePr/>
                      <a:graphic xmlns:a="http://schemas.openxmlformats.org/drawingml/2006/main">
                        <a:graphicData uri="http://schemas.microsoft.com/office/word/2010/wordprocessingShape">
                          <wps:wsp>
                            <wps:cNvCnPr/>
                            <wps:spPr>
                              <a:xfrm>
                                <a:off x="0" y="0"/>
                                <a:ext cx="0" cy="20471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55pt,-.25pt" to="-6.5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6ELzQEAAAQEAAAOAAAAZHJzL2Uyb0RvYy54bWysU8GO0zAQvSPxD5bvNEkFC4qa7qGr5YKg&#10;YtkP8DrjxpLtsWzTpH/P2GnTFSAhVntxYnvem3lvxpvbyRp2hBA1uo43q5ozcBJ77Q4df/xx/+4T&#10;ZzEJ1wuDDjp+gshvt2/fbEbfwhoHND0ERiQutqPv+JCSb6sqygGsiCv04OhSYbAi0TYcqj6Ikdit&#10;qdZ1fVONGHofUEKMdHo3X/Jt4VcKZPqmVITETMeptlTWUNanvFbbjWgPQfhBy3MZ4gVVWKEdJV2o&#10;7kQS7GfQf1BZLQNGVGkl0VaolJZQNJCapv5NzcMgPBQtZE70i03x9Wjl1+M+MN1T7z5w5oSlHj2k&#10;IPRhSGyHzpGDGBhdklOjjy0Bdm4fzrvo9yHLnlSw+UuC2FTcPS3uwpSYnA8lna7r9x+bm0xXXXE+&#10;xPQZ0LL803GjXdYtWnH8EtMcegnJx8blNaLR/b02pmzyxMDOBHYU1Os0NecUz6IoYUZWWcdceflL&#10;JwMz63dQ5AXV2pTsZQqvnEJKcOnCaxxFZ5iiChZg/W/gOT5DoUzo/4AXRMmMLi1gqx2Gv2W/WqHm&#10;+IsDs+5swRP2p9LTYg2NWmnO+VnkWX6+L/Dr493+AgAA//8DAFBLAwQUAAYACAAAACEAopOUYtwA&#10;AAAIAQAADwAAAGRycy9kb3ducmV2LnhtbEyPwU7DMBBE70j8g7VI3FonFEoV4lQIwQVxSegBbm68&#10;jSPidRo7Tfh7FnEotx3NaPZNvp1dJ044hNaTgnSZgECqvWmpUbB7f1lsQISoyejOEyr4xgDb4vIi&#10;15nxE5V4qmIjuIRCphXYGPtMylBbdDosfY/E3sEPTkeWQyPNoCcud528SZK1dLol/mB1j08W669q&#10;dApej29hd7sun8uP46aaPg+jbTwqdX01Pz6AiDjHcxh+8RkdCmba+5FMEJ2CRbpKOcrHHQj2//Re&#10;wSq9B1nk8v+A4gcAAP//AwBQSwECLQAUAAYACAAAACEAtoM4kv4AAADhAQAAEwAAAAAAAAAAAAAA&#10;AAAAAAAAW0NvbnRlbnRfVHlwZXNdLnhtbFBLAQItABQABgAIAAAAIQA4/SH/1gAAAJQBAAALAAAA&#10;AAAAAAAAAAAAAC8BAABfcmVscy8ucmVsc1BLAQItABQABgAIAAAAIQCDO6ELzQEAAAQEAAAOAAAA&#10;AAAAAAAAAAAAAC4CAABkcnMvZTJvRG9jLnhtbFBLAQItABQABgAIAAAAIQCik5Ri3AAAAAgBAAAP&#10;AAAAAAAAAAAAAAAAACcEAABkcnMvZG93bnJldi54bWxQSwUGAAAAAAQABADzAAAAMAUAAAAA&#10;" strokecolor="black [3213]"/>
                  </w:pict>
                </mc:Fallback>
              </mc:AlternateContent>
            </w:r>
            <w:r w:rsidR="008F718E" w:rsidRPr="008F718E">
              <w:rPr>
                <w:color w:val="000000"/>
              </w:rPr>
              <w:t>% Δ 08-11</w:t>
            </w:r>
          </w:p>
        </w:tc>
        <w:tc>
          <w:tcPr>
            <w:tcW w:w="817"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-7.29</w:t>
            </w:r>
          </w:p>
        </w:tc>
        <w:tc>
          <w:tcPr>
            <w:tcW w:w="879"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-11.08</w:t>
            </w:r>
          </w:p>
        </w:tc>
        <w:tc>
          <w:tcPr>
            <w:tcW w:w="1359"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10.13</w:t>
            </w:r>
          </w:p>
        </w:tc>
        <w:tc>
          <w:tcPr>
            <w:tcW w:w="1143"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2.81</w:t>
            </w:r>
          </w:p>
        </w:tc>
        <w:tc>
          <w:tcPr>
            <w:tcW w:w="1111"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-9.93</w:t>
            </w:r>
          </w:p>
        </w:tc>
        <w:tc>
          <w:tcPr>
            <w:tcW w:w="1324"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-54.92</w:t>
            </w:r>
          </w:p>
        </w:tc>
        <w:tc>
          <w:tcPr>
            <w:tcW w:w="1306" w:type="dxa"/>
            <w:tcBorders>
              <w:top w:val="nil"/>
              <w:left w:val="nil"/>
              <w:bottom w:val="single" w:sz="4" w:space="0" w:color="auto"/>
              <w:right w:val="single" w:sz="4" w:space="0" w:color="auto"/>
            </w:tcBorders>
            <w:shd w:val="clear" w:color="auto" w:fill="auto"/>
            <w:noWrap/>
            <w:vAlign w:val="bottom"/>
            <w:hideMark/>
          </w:tcPr>
          <w:p w:rsidR="008F718E" w:rsidRPr="008F718E" w:rsidRDefault="008F718E" w:rsidP="008F718E">
            <w:pPr>
              <w:jc w:val="center"/>
              <w:rPr>
                <w:color w:val="000000"/>
                <w:sz w:val="22"/>
                <w:szCs w:val="22"/>
              </w:rPr>
            </w:pPr>
            <w:r w:rsidRPr="008F718E">
              <w:rPr>
                <w:color w:val="000000"/>
                <w:sz w:val="22"/>
                <w:szCs w:val="22"/>
              </w:rPr>
              <w:t>-24.72</w:t>
            </w:r>
          </w:p>
        </w:tc>
      </w:tr>
    </w:tbl>
    <w:p w:rsidR="00167033" w:rsidRPr="00332B03" w:rsidRDefault="00167033"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p>
    <w:p w:rsidR="00F24219" w:rsidRPr="00AF3E01"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noProof/>
        </w:rPr>
      </w:pPr>
    </w:p>
    <w:p w:rsidR="00F24219" w:rsidRDefault="00F24219" w:rsidP="00265C65">
      <w:pPr>
        <w:spacing w:line="480" w:lineRule="auto"/>
        <w:rPr>
          <w:noProof/>
        </w:rPr>
      </w:pPr>
      <w:r>
        <w:rPr>
          <w:noProof/>
        </w:rPr>
        <w:t xml:space="preserve">            The soil system under greenbean production was lower in SOC than an</w:t>
      </w:r>
      <w:r w:rsidR="009E70C1">
        <w:rPr>
          <w:noProof/>
        </w:rPr>
        <w:t>y of the other plots (Figure 1.4</w:t>
      </w:r>
      <w:r>
        <w:rPr>
          <w:noProof/>
        </w:rPr>
        <w:t xml:space="preserve">). The low organic carbon content of the soil could have resulted in a greater response to SOC inputs than in other systems. The greenbeans were only grown on one farm, so this too could attribute to the increase in SOC due to other </w:t>
      </w:r>
      <w:r w:rsidR="004404C6">
        <w:rPr>
          <w:noProof/>
        </w:rPr>
        <w:t xml:space="preserve">factors like soil texture (see </w:t>
      </w:r>
      <w:r w:rsidR="004404C6" w:rsidRPr="004404C6">
        <w:rPr>
          <w:i/>
          <w:noProof/>
        </w:rPr>
        <w:t>3)texture</w:t>
      </w:r>
      <w:r w:rsidR="004404C6">
        <w:rPr>
          <w:noProof/>
        </w:rPr>
        <w:t xml:space="preserve"> result section</w:t>
      </w:r>
      <w:r>
        <w:rPr>
          <w:noProof/>
        </w:rPr>
        <w:t>). This does not however explain the occurance in the pasture systems. The pasture systems had close to the highest average SOC levels throughout the study and continued to hav</w:t>
      </w:r>
      <w:r w:rsidR="009E70C1">
        <w:rPr>
          <w:noProof/>
        </w:rPr>
        <w:t>e an increase in SOC (Figure 1.4</w:t>
      </w:r>
      <w:r>
        <w:rPr>
          <w:noProof/>
        </w:rPr>
        <w:t xml:space="preserve">). </w:t>
      </w:r>
    </w:p>
    <w:p w:rsidR="00F24219" w:rsidRDefault="008F718E" w:rsidP="00265C65">
      <w:pPr>
        <w:spacing w:line="480" w:lineRule="auto"/>
        <w:rPr>
          <w:noProof/>
        </w:rPr>
      </w:pPr>
      <w:r>
        <w:rPr>
          <w:noProof/>
        </w:rPr>
        <w:lastRenderedPageBreak/>
        <w:drawing>
          <wp:inline distT="0" distB="0" distL="0" distR="0" wp14:anchorId="2F27F139" wp14:editId="6AE20564">
            <wp:extent cx="5882185" cy="3589361"/>
            <wp:effectExtent l="0" t="0" r="23495" b="1143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E7187" w:rsidRDefault="009E70C1" w:rsidP="00265C65">
      <w:pPr>
        <w:spacing w:line="480" w:lineRule="auto"/>
        <w:rPr>
          <w:b/>
          <w:noProof/>
        </w:rPr>
      </w:pPr>
      <w:r>
        <w:rPr>
          <w:b/>
          <w:noProof/>
        </w:rPr>
        <w:t>Figure 1.5</w:t>
      </w:r>
      <w:r w:rsidR="00F24219">
        <w:rPr>
          <w:b/>
          <w:noProof/>
        </w:rPr>
        <w:t xml:space="preserve"> Percent SOC by Lo</w:t>
      </w:r>
      <w:r w:rsidR="00BF6FA9">
        <w:rPr>
          <w:b/>
          <w:noProof/>
        </w:rPr>
        <w:t>cation</w:t>
      </w:r>
    </w:p>
    <w:p w:rsidR="009147F2" w:rsidRDefault="009E70C1" w:rsidP="009147F2">
      <w:pPr>
        <w:spacing w:line="480" w:lineRule="auto"/>
        <w:jc w:val="both"/>
      </w:pPr>
      <w:r>
        <w:rPr>
          <w:b/>
        </w:rPr>
        <w:t>Table 1.4</w:t>
      </w:r>
      <w:r w:rsidR="009147F2">
        <w:t xml:space="preserve"> </w:t>
      </w:r>
      <w:r>
        <w:rPr>
          <w:b/>
        </w:rPr>
        <w:t>Location SAS Output</w:t>
      </w:r>
    </w:p>
    <w:p w:rsidR="008F718E" w:rsidRDefault="00BF6FA9" w:rsidP="00265C65">
      <w:pPr>
        <w:spacing w:line="480" w:lineRule="auto"/>
        <w:rPr>
          <w:b/>
          <w:noProof/>
        </w:rPr>
      </w:pPr>
      <w:r>
        <w:rPr>
          <w:b/>
          <w:noProof/>
        </w:rPr>
        <mc:AlternateContent>
          <mc:Choice Requires="wps">
            <w:drawing>
              <wp:anchor distT="0" distB="0" distL="114300" distR="114300" simplePos="0" relativeHeight="251665408" behindDoc="0" locked="0" layoutInCell="1" allowOverlap="1">
                <wp:simplePos x="0" y="0"/>
                <wp:positionH relativeFrom="column">
                  <wp:posOffset>3411</wp:posOffset>
                </wp:positionH>
                <wp:positionV relativeFrom="paragraph">
                  <wp:posOffset>-5687</wp:posOffset>
                </wp:positionV>
                <wp:extent cx="5882185" cy="0"/>
                <wp:effectExtent l="0" t="0" r="23495" b="19050"/>
                <wp:wrapNone/>
                <wp:docPr id="11" name="Straight Connector 11"/>
                <wp:cNvGraphicFramePr/>
                <a:graphic xmlns:a="http://schemas.openxmlformats.org/drawingml/2006/main">
                  <a:graphicData uri="http://schemas.microsoft.com/office/word/2010/wordprocessingShape">
                    <wps:wsp>
                      <wps:cNvCnPr/>
                      <wps:spPr>
                        <a:xfrm>
                          <a:off x="0" y="0"/>
                          <a:ext cx="58821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5pt,-.45pt" to="463.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QgzgEAAAUEAAAOAAAAZHJzL2Uyb0RvYy54bWysU02L2zAQvRf6H4TuG9uBLcHE2UOW7WVp&#10;Q7f9AVp5FAv0xUiNnX/fkZw4S1soLb3IHmnem3lPo+3DZA07AUbtXcebVc0ZOOl77Y4d//b16W7D&#10;WUzC9cJ4Bx0/Q+QPu/fvtmNoYe0Hb3pARiQutmPo+JBSaKsqygGsiCsfwNGh8mhFohCPVY9iJHZr&#10;qnVdf6hGj31ALyFG2n2cD/mu8CsFMn1WKkJipuPUWyorlvU1r9VuK9ojijBoeWlD/EMXVmhHRReq&#10;R5EE+476FyqrJfroVVpJbyuvlJZQNJCapv5JzcsgAhQtZE4Mi03x/9HKT6cDMt3T3TWcOWHpjl4S&#10;Cn0cEtt758hBj4wOyakxxJYAe3fASxTDAbPsSaHNXxLEpuLueXEXpsQkbd5vNutmc8+ZvJ5VN2DA&#10;mD6Ctyz/dNxol4WLVpyeY6JilHpNydvG5TV6o/snbUwJ8sjA3iA7CbrsNJWWCfcmi6KMrLKQufXy&#10;l84GZtYvoMgMarYp1csY3jiFlODSldc4ys4wRR0swPrPwEt+hkIZ0b8BL4hS2bu0gK12Hn9X/WaF&#10;mvOvDsy6swWvvj+XSy3W0KwVxy/vIg/z27jAb6939wMAAP//AwBQSwMEFAAGAAgAAAAhAMxRH/rZ&#10;AAAABAEAAA8AAABkcnMvZG93bnJldi54bWxMjzFPwzAUhHck/oP1kNhahwqiNo1TIQQLYknoAJsb&#10;v8ZR4+c0dprw73mwwHi60913+W52nbjgEFpPCu6WCQik2puWGgX795fFGkSImozuPKGCLwywK66v&#10;cp0ZP1GJlyo2gksoZFqBjbHPpAy1RafD0vdI7B394HRkOTTSDHrictfJVZKk0umWeMHqHp8s1qdq&#10;dApez29hf5+Wz+XHeV1Nn8fRNh6Vur2ZH7cgIs7xLww/+IwOBTMd/EgmiE7BA+cULDYg2NysUv5x&#10;+NWyyOV/+OIbAAD//wMAUEsBAi0AFAAGAAgAAAAhALaDOJL+AAAA4QEAABMAAAAAAAAAAAAAAAAA&#10;AAAAAFtDb250ZW50X1R5cGVzXS54bWxQSwECLQAUAAYACAAAACEAOP0h/9YAAACUAQAACwAAAAAA&#10;AAAAAAAAAAAvAQAAX3JlbHMvLnJlbHNQSwECLQAUAAYACAAAACEAQKTEIM4BAAAFBAAADgAAAAAA&#10;AAAAAAAAAAAuAgAAZHJzL2Uyb0RvYy54bWxQSwECLQAUAAYACAAAACEAzFEf+tkAAAAEAQAADwAA&#10;AAAAAAAAAAAAAAAoBAAAZHJzL2Rvd25yZXYueG1sUEsFBgAAAAAEAAQA8wAAAC4FAAAAAA==&#10;" strokecolor="black [3213]"/>
            </w:pict>
          </mc:Fallback>
        </mc:AlternateContent>
      </w:r>
      <w:r>
        <w:rPr>
          <w:b/>
          <w:noProof/>
        </w:rPr>
        <mc:AlternateContent>
          <mc:Choice Requires="wps">
            <w:drawing>
              <wp:anchor distT="0" distB="0" distL="114300" distR="114300" simplePos="0" relativeHeight="251664384" behindDoc="0" locked="0" layoutInCell="1" allowOverlap="1">
                <wp:simplePos x="0" y="0"/>
                <wp:positionH relativeFrom="column">
                  <wp:posOffset>5885597</wp:posOffset>
                </wp:positionH>
                <wp:positionV relativeFrom="paragraph">
                  <wp:posOffset>-5687</wp:posOffset>
                </wp:positionV>
                <wp:extent cx="0" cy="3125338"/>
                <wp:effectExtent l="0" t="0" r="19050" b="18415"/>
                <wp:wrapNone/>
                <wp:docPr id="10" name="Straight Connector 10"/>
                <wp:cNvGraphicFramePr/>
                <a:graphic xmlns:a="http://schemas.openxmlformats.org/drawingml/2006/main">
                  <a:graphicData uri="http://schemas.microsoft.com/office/word/2010/wordprocessingShape">
                    <wps:wsp>
                      <wps:cNvCnPr/>
                      <wps:spPr>
                        <a:xfrm flipV="1">
                          <a:off x="0" y="0"/>
                          <a:ext cx="0" cy="31253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463.45pt,-.45pt" to="463.45pt,2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Toj1QEAAA8EAAAOAAAAZHJzL2Uyb0RvYy54bWysU02P0zAQvSPxHyzfadJWoFXUdA9dLRcE&#10;FQvcvc64seQvjU2T/nvGTpquACGBuFj+mPdm3pvx7n60hp0Bo/au5etVzRk46TvtTi3/+uXxzR1n&#10;MQnXCeMdtPwCkd/vX7/aDaGBje+96QAZkbjYDKHlfUqhqaooe7AirnwAR4/KoxWJjniqOhQDsVtT&#10;ber6XTV47AJ6CTHS7cP0yPeFXymQ6ZNSERIzLafaUlmxrM95rfY70ZxQhF7LuQzxD1VYoR0lXage&#10;RBLsO+pfqKyW6KNXaSW9rbxSWkLRQGrW9U9qnnoRoGghc2JYbIr/j1Z+PB+R6Y56R/Y4YalHTwmF&#10;PvWJHbxz5KBHRo/k1BBiQ4CDO+J8iuGIWfao0DJldPhGRMUIksbG4vNl8RnGxOR0Kel2u9683W7v&#10;MnM1UWSqgDG9B29Z3rTcaJctEI04f4hpCr2G5Gvj8hq90d2jNqYc8vDAwSA7C2p7GtdzihdRlDAj&#10;qyxpElF26WJgYv0MimyhYic5ZSBvnEJKcOnKaxxFZ5iiChZgXcr+I3COz1Aow/o34AVRMnuXFrDV&#10;zuPvst+sUFP81YFJd7bg2XeX0t5iDU1dac78Q/JYvzwX+O0f738AAAD//wMAUEsDBBQABgAIAAAA&#10;IQA9qglO3wAAAAkBAAAPAAAAZHJzL2Rvd25yZXYueG1sTI9PS8NAEMXvgt9hGcFbu2kqxcRsiggt&#10;4q2xIN422ckfmp0N2W2a+ukd8aCn4fEeb34v2862FxOOvnOkYLWMQCBVznTUKDi+7xaPIHzQZHTv&#10;CBVc0cM2v73JdGrchQ44FaERXEI+1QraEIZUSl+1aLVfugGJvdqNVgeWYyPNqC9cbnsZR9FGWt0R&#10;f2j1gC8tVqfibBXsyvr6+bX/eI3rfdye3tbHw1RESt3fzc9PIALO4S8MP/iMDjkzle5MxoteQRJv&#10;Eo4qWPBh/1eXCh6S1Rpknsn/C/JvAAAA//8DAFBLAQItABQABgAIAAAAIQC2gziS/gAAAOEBAAAT&#10;AAAAAAAAAAAAAAAAAAAAAABbQ29udGVudF9UeXBlc10ueG1sUEsBAi0AFAAGAAgAAAAhADj9If/W&#10;AAAAlAEAAAsAAAAAAAAAAAAAAAAALwEAAF9yZWxzLy5yZWxzUEsBAi0AFAAGAAgAAAAhAHzxOiPV&#10;AQAADwQAAA4AAAAAAAAAAAAAAAAALgIAAGRycy9lMm9Eb2MueG1sUEsBAi0AFAAGAAgAAAAhAD2q&#10;CU7fAAAACQEAAA8AAAAAAAAAAAAAAAAALwQAAGRycy9kb3ducmV2LnhtbFBLBQYAAAAABAAEAPMA&#10;AAA7BQAAAAA=&#10;" strokecolor="black [3213]"/>
            </w:pict>
          </mc:Fallback>
        </mc:AlternateContent>
      </w:r>
      <w:r>
        <w:rPr>
          <w:b/>
          <w:noProof/>
        </w:rPr>
        <mc:AlternateContent>
          <mc:Choice Requires="wps">
            <w:drawing>
              <wp:anchor distT="0" distB="0" distL="114300" distR="114300" simplePos="0" relativeHeight="251663360" behindDoc="0" locked="0" layoutInCell="1" allowOverlap="1">
                <wp:simplePos x="0" y="0"/>
                <wp:positionH relativeFrom="column">
                  <wp:posOffset>3411</wp:posOffset>
                </wp:positionH>
                <wp:positionV relativeFrom="paragraph">
                  <wp:posOffset>3119148</wp:posOffset>
                </wp:positionV>
                <wp:extent cx="5882185" cy="503"/>
                <wp:effectExtent l="0" t="0" r="23495" b="19050"/>
                <wp:wrapNone/>
                <wp:docPr id="4" name="Straight Connector 4"/>
                <wp:cNvGraphicFramePr/>
                <a:graphic xmlns:a="http://schemas.openxmlformats.org/drawingml/2006/main">
                  <a:graphicData uri="http://schemas.microsoft.com/office/word/2010/wordprocessingShape">
                    <wps:wsp>
                      <wps:cNvCnPr/>
                      <wps:spPr>
                        <a:xfrm flipV="1">
                          <a:off x="0" y="0"/>
                          <a:ext cx="5882185" cy="50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5pt,245.6pt" to="463.4pt,2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Lzs2gEAAA8EAAAOAAAAZHJzL2Uyb0RvYy54bWysU02P0zAQvSPxHyzfadKyRVXUdA9dLRcE&#10;FQvcvc64sWR7LNs06b9n7LTpChASiIvlj3lv5r0Zb+9Ha9gJQtToWr5c1JyBk9hpd2z51y+Pbzac&#10;xSRcJww6aPkZIr/fvX61HXwDK+zRdBAYkbjYDL7lfUq+qaooe7AiLtCDo0eFwYpEx3CsuiAGYrem&#10;WtX1u2rA0PmAEmKk24fpke8Kv1Ig0yelIiRmWk61pbKGsj7ntdptRXMMwvdaXsoQ/1CFFdpR0pnq&#10;QSTBvgf9C5XVMmBElRYSbYVKaQlFA6lZ1j+peeqFh6KFzIl+tin+P1r58XQITHctv+PMCUstekpB&#10;6GOf2B6dIwMxsLvs0+BjQ+F7dwiXU/SHkEWPKlimjPbfaASKDSSMjcXl8+wyjIlJulxvNqvlZs2Z&#10;pLd1/TZzVxNJJvMhpveAluVNy4122QLRiNOHmKbQa0i+Ni6vEY3uHrUx5ZCHB/YmsJOgtqdxeUnx&#10;IooSZmSVRU0yyi6dDUysn0GRLVTuJKgM5I1TSAkuXXmNo+gMU1TBDKxL2X8EXuIzFMqw/g14RpTM&#10;6NIMttph+F32mxVqir86MOnOFjxjdy4NLtbQ1JXmXH5IHuuX5wK//ePdDwAAAP//AwBQSwMEFAAG&#10;AAgAAAAhANaIvJDfAAAACAEAAA8AAABkcnMvZG93bnJldi54bWxMj8FOwzAQRO9I/IO1lbhRpy5U&#10;NI1TIaRWiFtDJcTNiTdx1NiOYjdN+XoWLnDcmdHsm2w72Y6NOITWOwmLeQIMXeV16xoJx/fd/ROw&#10;EJXTqvMOJVwxwDa/vclUqv3FHXAsYsOoxIVUSTAx9innoTJoVZj7Hh15tR+sinQODdeDulC57bhI&#10;khW3qnX0wageXwxWp+JsJezK+vr5tf94FfVemNPb8ngYi0TKu9n0vAEWcYp/YfjBJ3TIian0Z6cD&#10;6yQ8Uk7Cw3ohgJG9FitaUv4qS+B5xv8PyL8BAAD//wMAUEsBAi0AFAAGAAgAAAAhALaDOJL+AAAA&#10;4QEAABMAAAAAAAAAAAAAAAAAAAAAAFtDb250ZW50X1R5cGVzXS54bWxQSwECLQAUAAYACAAAACEA&#10;OP0h/9YAAACUAQAACwAAAAAAAAAAAAAAAAAvAQAAX3JlbHMvLnJlbHNQSwECLQAUAAYACAAAACEA&#10;ujy87NoBAAAPBAAADgAAAAAAAAAAAAAAAAAuAgAAZHJzL2Uyb0RvYy54bWxQSwECLQAUAAYACAAA&#10;ACEA1oi8kN8AAAAIAQAADwAAAAAAAAAAAAAAAAA0BAAAZHJzL2Rvd25yZXYueG1sUEsFBgAAAAAE&#10;AAQA8wAAAEAFAAAAAA==&#10;" strokecolor="black [3213]"/>
            </w:pict>
          </mc:Fallback>
        </mc:AlternateContent>
      </w:r>
      <w:r>
        <w:rPr>
          <w:b/>
          <w:noProof/>
        </w:rPr>
        <mc:AlternateContent>
          <mc:Choice Requires="wps">
            <w:drawing>
              <wp:anchor distT="0" distB="0" distL="114300" distR="114300" simplePos="0" relativeHeight="251662336" behindDoc="0" locked="0" layoutInCell="1" allowOverlap="1">
                <wp:simplePos x="0" y="0"/>
                <wp:positionH relativeFrom="column">
                  <wp:posOffset>3412</wp:posOffset>
                </wp:positionH>
                <wp:positionV relativeFrom="paragraph">
                  <wp:posOffset>-5687</wp:posOffset>
                </wp:positionV>
                <wp:extent cx="0" cy="3125338"/>
                <wp:effectExtent l="0" t="0" r="19050" b="18415"/>
                <wp:wrapNone/>
                <wp:docPr id="3" name="Straight Connector 3"/>
                <wp:cNvGraphicFramePr/>
                <a:graphic xmlns:a="http://schemas.openxmlformats.org/drawingml/2006/main">
                  <a:graphicData uri="http://schemas.microsoft.com/office/word/2010/wordprocessingShape">
                    <wps:wsp>
                      <wps:cNvCnPr/>
                      <wps:spPr>
                        <a:xfrm>
                          <a:off x="0" y="0"/>
                          <a:ext cx="0" cy="31253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pt,-.45pt" to=".25pt,2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YyazQEAAAMEAAAOAAAAZHJzL2Uyb0RvYy54bWysU8GO2yAQvVfqPyDuje1YrVZWnD1ktb1U&#10;bdRtP4DFECMBgwaaOH/fASfOqlupatUL9sC8N/Mew+Z+cpYdFUYDvufNquZMeQmD8Yeef//2+O6O&#10;s5iEH4QFr3p+VpHfb9++2ZxCp9Ywgh0UMiLxsTuFno8pha6qohyVE3EFQXk61IBOJArxUA0oTsTu&#10;bLWu6w/VCXAICFLFSLsP8yHfFn6tlUxftI4qMdtz6i2VFcv6nNdquxHdAUUYjby0If6hCyeMp6IL&#10;1YNIgv1A84rKGYkQQaeVBFeB1kaqooHUNPUvap5GEVTRQubEsNgU/x+t/HzcIzNDz1vOvHB0RU8J&#10;hTmMie3AezIQkLXZp1OIHaXv/B4vUQx7zKInjS5/SQ6birfnxVs1JSbnTUm7bbN+37Z3ma+6AQPG&#10;9FGBY/mn59b4LFt04vgppjn1mpK3rc9rBGuGR2NtCfLAqJ1FdhR01WlqLiVeZFHBjKyykLn18pfO&#10;Vs2sX5UmK6jZplQvQ3jjFFIqn6681lN2hmnqYAHWfwZe8jNUlQH9G/CCKJXBpwXsjAf8XfWbFXrO&#10;vzow684WPMNwLpdarKFJK5dzeRV5lF/GBX57u9ufAAAA//8DAFBLAwQUAAYACAAAACEAiiEEJdkA&#10;AAADAQAADwAAAGRycy9kb3ducmV2LnhtbEyOwU7DMBBE70j8g7WVuLVOoVRtiFMhBBfEJaEHuLnx&#10;No4ar9PYacLfs5zocTSjNy/bTa4VF+xD40nBcpGAQKq8aahWsP98m29AhKjJ6NYTKvjBALv89ibT&#10;qfEjFXgpYy0YQiHVCmyMXSplqCw6HRa+Q+Lu6HunI8e+lqbXI8NdK++TZC2dbogfrO7wxWJ1Kgen&#10;4P38EfardfFafJ035fh9HGztUam72fT8BCLiFP/H8KfP6pCz08EPZIJoFTzyTsF8C4JLDgcFq+3y&#10;AWSeyWv3/BcAAP//AwBQSwECLQAUAAYACAAAACEAtoM4kv4AAADhAQAAEwAAAAAAAAAAAAAAAAAA&#10;AAAAW0NvbnRlbnRfVHlwZXNdLnhtbFBLAQItABQABgAIAAAAIQA4/SH/1gAAAJQBAAALAAAAAAAA&#10;AAAAAAAAAC8BAABfcmVscy8ucmVsc1BLAQItABQABgAIAAAAIQBqdYyazQEAAAMEAAAOAAAAAAAA&#10;AAAAAAAAAC4CAABkcnMvZTJvRG9jLnhtbFBLAQItABQABgAIAAAAIQCKIQQl2QAAAAMBAAAPAAAA&#10;AAAAAAAAAAAAACcEAABkcnMvZG93bnJldi54bWxQSwUGAAAAAAQABADzAAAALQUAAAAA&#10;" strokecolor="black [3213]"/>
            </w:pict>
          </mc:Fallback>
        </mc:AlternateContent>
      </w:r>
      <w:r w:rsidR="008E7187">
        <w:rPr>
          <w:b/>
          <w:noProof/>
        </w:rPr>
        <w:drawing>
          <wp:inline distT="0" distB="0" distL="0" distR="0">
            <wp:extent cx="5882185" cy="3125338"/>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soc.jpg"/>
                    <pic:cNvPicPr/>
                  </pic:nvPicPr>
                  <pic:blipFill>
                    <a:blip r:embed="rId18">
                      <a:extLst>
                        <a:ext uri="{28A0092B-C50C-407E-A947-70E740481C1C}">
                          <a14:useLocalDpi xmlns:a14="http://schemas.microsoft.com/office/drawing/2010/main" val="0"/>
                        </a:ext>
                      </a:extLst>
                    </a:blip>
                    <a:stretch>
                      <a:fillRect/>
                    </a:stretch>
                  </pic:blipFill>
                  <pic:spPr>
                    <a:xfrm>
                      <a:off x="0" y="0"/>
                      <a:ext cx="5907518" cy="3138798"/>
                    </a:xfrm>
                    <a:prstGeom prst="rect">
                      <a:avLst/>
                    </a:prstGeom>
                  </pic:spPr>
                </pic:pic>
              </a:graphicData>
            </a:graphic>
          </wp:inline>
        </w:drawing>
      </w:r>
    </w:p>
    <w:p w:rsidR="00F24219" w:rsidRDefault="00F24219" w:rsidP="00265C65">
      <w:pPr>
        <w:spacing w:line="480" w:lineRule="auto"/>
        <w:rPr>
          <w:noProof/>
        </w:rPr>
      </w:pPr>
      <w:r>
        <w:rPr>
          <w:noProof/>
        </w:rPr>
        <w:lastRenderedPageBreak/>
        <w:tab/>
        <w:t>Analysis using SAS ANOVA mixed models showed that location</w:t>
      </w:r>
      <w:r w:rsidR="004404C6">
        <w:rPr>
          <w:noProof/>
        </w:rPr>
        <w:t xml:space="preserve"> or origin if sample contributed more to the over SOC content t</w:t>
      </w:r>
      <w:r w:rsidR="009E70C1">
        <w:rPr>
          <w:noProof/>
        </w:rPr>
        <w:t>han the previous crop. Figure1.5</w:t>
      </w:r>
      <w:r w:rsidR="004404C6">
        <w:rPr>
          <w:noProof/>
        </w:rPr>
        <w:t xml:space="preserve"> shows that the chang</w:t>
      </w:r>
      <w:r w:rsidR="00255551">
        <w:rPr>
          <w:noProof/>
        </w:rPr>
        <w:t>e in SOC is more likely due to s</w:t>
      </w:r>
      <w:r w:rsidR="004404C6">
        <w:rPr>
          <w:noProof/>
        </w:rPr>
        <w:t>ite differences and not previous cropping. However, this assessment is not all together convincing because most previous cropping mangaments are only represented by one farm</w:t>
      </w:r>
      <w:r>
        <w:rPr>
          <w:noProof/>
        </w:rPr>
        <w:t>.</w:t>
      </w:r>
      <w:r w:rsidR="004404C6">
        <w:rPr>
          <w:noProof/>
        </w:rPr>
        <w:t xml:space="preserve"> Therefore, not knowing the long standing history of each of the farms and without doing an extensive spatial topographical analysis of SOC contents, it cannot be said diffinitively if changes in SOC can be assessed by location or previous cropping.</w:t>
      </w:r>
      <w:r>
        <w:rPr>
          <w:noProof/>
        </w:rPr>
        <w:t xml:space="preserve"> </w:t>
      </w:r>
      <w:r w:rsidR="004404C6">
        <w:rPr>
          <w:noProof/>
        </w:rPr>
        <w:t>Just for the purpose of comparing two similar previous</w:t>
      </w:r>
      <w:r w:rsidR="00A43A61">
        <w:rPr>
          <w:noProof/>
        </w:rPr>
        <w:t xml:space="preserve"> cropping systems see Figure 1.5</w:t>
      </w:r>
      <w:r w:rsidR="004404C6">
        <w:rPr>
          <w:noProof/>
        </w:rPr>
        <w:t>,</w:t>
      </w:r>
      <w:r>
        <w:rPr>
          <w:noProof/>
        </w:rPr>
        <w:t xml:space="preserve"> the fallow system on farm 2 and the fallow system on farm 7 had statistically different initial SOC content (</w:t>
      </w:r>
      <w:r w:rsidR="009E70C1">
        <w:rPr>
          <w:noProof/>
        </w:rPr>
        <w:t>Table 1.4</w:t>
      </w:r>
      <w:r>
        <w:rPr>
          <w:noProof/>
        </w:rPr>
        <w:t xml:space="preserve">). Niether Farm 2 nor farm 7 resulted in statisically significant changes in SOC but remained statistically different from the other due to the initial SOC content.  </w:t>
      </w:r>
    </w:p>
    <w:p w:rsidR="00F24219" w:rsidRPr="00011E8A" w:rsidRDefault="00F24219" w:rsidP="00265C65">
      <w:pPr>
        <w:spacing w:line="480" w:lineRule="auto"/>
        <w:rPr>
          <w:noProof/>
        </w:rPr>
      </w:pPr>
      <w:r>
        <w:rPr>
          <w:noProof/>
        </w:rPr>
        <w:tab/>
        <w:t>It should be noted that generally farms with the lowest original SOC content such as farm 5, 8, 12, and 13 showed the smallest percent decrease or an increase in SOC (</w:t>
      </w:r>
      <w:r w:rsidR="009E70C1">
        <w:rPr>
          <w:noProof/>
        </w:rPr>
        <w:t>T</w:t>
      </w:r>
      <w:r w:rsidR="00A43A61">
        <w:rPr>
          <w:noProof/>
        </w:rPr>
        <w:t>able 1.5</w:t>
      </w:r>
      <w:r>
        <w:rPr>
          <w:noProof/>
        </w:rPr>
        <w:t>).</w:t>
      </w:r>
      <w:r w:rsidR="004404C6">
        <w:rPr>
          <w:noProof/>
        </w:rPr>
        <w:t xml:space="preserve"> This result is likely due to the smaller amount of SOC present in the soil. </w:t>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rPr>
      </w:pPr>
      <w:r>
        <w:rPr>
          <w:b/>
          <w:i/>
        </w:rPr>
        <w:t>3)Texture</w:t>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13D85" w:rsidRPr="00713D85" w:rsidRDefault="00713D85" w:rsidP="00377CA2">
      <w:pPr>
        <w:spacing w:line="480" w:lineRule="auto"/>
      </w:pPr>
      <w:r>
        <w:tab/>
        <w:t xml:space="preserve">Texture was analyzed for its effect on SOC storage. SOM content has been found to be positively correlated with soil clay concentration. </w:t>
      </w:r>
      <w:r w:rsidR="00377CA2">
        <w:t>In the duration of our study, soil texture did not significantly affect SOC storage. McLauchlan (2006) also found no correlation between SOC accumulation and clay content when determining the effects of soil texture on soil carbon after the cessation of agriculture.</w:t>
      </w:r>
    </w:p>
    <w:p w:rsidR="00F24219" w:rsidRDefault="004D25A0"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r>
        <w:rPr>
          <w:noProof/>
        </w:rPr>
        <w:lastRenderedPageBreak/>
        <w:drawing>
          <wp:inline distT="0" distB="0" distL="0" distR="0" wp14:anchorId="57D5980B" wp14:editId="285C65B7">
            <wp:extent cx="5848350" cy="30099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noProof/>
        </w:rPr>
      </w:pPr>
      <w:r w:rsidRPr="002B5C17">
        <w:rPr>
          <w:b/>
          <w:noProof/>
        </w:rPr>
        <w:t xml:space="preserve">Figure </w:t>
      </w:r>
      <w:r w:rsidR="00EA6B94">
        <w:rPr>
          <w:b/>
          <w:noProof/>
        </w:rPr>
        <w:t>1.6</w:t>
      </w:r>
      <w:r w:rsidRPr="002B5C17">
        <w:rPr>
          <w:b/>
          <w:noProof/>
        </w:rPr>
        <w:t xml:space="preserve"> Percent SOC by texture</w:t>
      </w:r>
    </w:p>
    <w:p w:rsidR="004D25A0" w:rsidRDefault="004D25A0"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noProof/>
        </w:rPr>
      </w:pPr>
    </w:p>
    <w:p w:rsidR="004D25A0" w:rsidRPr="009147F2" w:rsidRDefault="004D25A0" w:rsidP="009147F2">
      <w:pPr>
        <w:spacing w:line="480" w:lineRule="auto"/>
        <w:ind w:left="723" w:hangingChars="300" w:hanging="723"/>
      </w:pPr>
      <w:r>
        <w:rPr>
          <w:b/>
          <w:noProof/>
        </w:rPr>
        <w:t>Table 1.5</w:t>
      </w:r>
      <w:r w:rsidR="009147F2">
        <w:t xml:space="preserve"> </w:t>
      </w:r>
      <w:r w:rsidR="00EA6B94">
        <w:rPr>
          <w:b/>
        </w:rPr>
        <w:t>Texture</w:t>
      </w:r>
      <w:r w:rsidR="009147F2" w:rsidRPr="00EA6B94">
        <w:rPr>
          <w:b/>
        </w:rPr>
        <w:t xml:space="preserve"> SAS output</w:t>
      </w:r>
    </w:p>
    <w:tbl>
      <w:tblPr>
        <w:tblW w:w="9085" w:type="dxa"/>
        <w:tblInd w:w="93" w:type="dxa"/>
        <w:tblLook w:val="04A0" w:firstRow="1" w:lastRow="0" w:firstColumn="1" w:lastColumn="0" w:noHBand="0" w:noVBand="1"/>
      </w:tblPr>
      <w:tblGrid>
        <w:gridCol w:w="2114"/>
        <w:gridCol w:w="1764"/>
        <w:gridCol w:w="2454"/>
        <w:gridCol w:w="1259"/>
        <w:gridCol w:w="1494"/>
      </w:tblGrid>
      <w:tr w:rsidR="004D25A0" w:rsidRPr="004D25A0" w:rsidTr="004D25A0">
        <w:trPr>
          <w:trHeight w:val="304"/>
        </w:trPr>
        <w:tc>
          <w:tcPr>
            <w:tcW w:w="2114" w:type="dxa"/>
            <w:tcBorders>
              <w:top w:val="single" w:sz="4" w:space="0" w:color="auto"/>
              <w:left w:val="single" w:sz="4" w:space="0" w:color="auto"/>
              <w:bottom w:val="nil"/>
              <w:right w:val="nil"/>
            </w:tcBorders>
            <w:shd w:val="clear" w:color="000000" w:fill="BFBFBF"/>
            <w:noWrap/>
            <w:vAlign w:val="bottom"/>
            <w:hideMark/>
          </w:tcPr>
          <w:p w:rsidR="004D25A0" w:rsidRPr="004D25A0" w:rsidRDefault="004D25A0" w:rsidP="004D25A0">
            <w:pPr>
              <w:rPr>
                <w:color w:val="000000"/>
              </w:rPr>
            </w:pPr>
            <w:r w:rsidRPr="004D25A0">
              <w:rPr>
                <w:color w:val="000000"/>
              </w:rPr>
              <w:t> </w:t>
            </w:r>
          </w:p>
        </w:tc>
        <w:tc>
          <w:tcPr>
            <w:tcW w:w="6971" w:type="dxa"/>
            <w:gridSpan w:val="4"/>
            <w:tcBorders>
              <w:top w:val="single" w:sz="4" w:space="0" w:color="auto"/>
              <w:left w:val="nil"/>
              <w:bottom w:val="single" w:sz="4" w:space="0" w:color="auto"/>
              <w:right w:val="single" w:sz="4" w:space="0" w:color="000000"/>
            </w:tcBorders>
            <w:shd w:val="clear" w:color="000000" w:fill="BFBFBF"/>
            <w:noWrap/>
            <w:vAlign w:val="bottom"/>
            <w:hideMark/>
          </w:tcPr>
          <w:p w:rsidR="004D25A0" w:rsidRPr="004D25A0" w:rsidRDefault="004D25A0" w:rsidP="004D25A0">
            <w:pPr>
              <w:jc w:val="center"/>
              <w:rPr>
                <w:b/>
                <w:bCs/>
                <w:color w:val="000000"/>
              </w:rPr>
            </w:pPr>
            <w:r w:rsidRPr="004D25A0">
              <w:rPr>
                <w:b/>
                <w:bCs/>
                <w:color w:val="000000"/>
              </w:rPr>
              <w:t>Texture</w:t>
            </w:r>
          </w:p>
        </w:tc>
      </w:tr>
      <w:tr w:rsidR="004D25A0" w:rsidRPr="004D25A0" w:rsidTr="004D25A0">
        <w:trPr>
          <w:trHeight w:val="304"/>
        </w:trPr>
        <w:tc>
          <w:tcPr>
            <w:tcW w:w="2114" w:type="dxa"/>
            <w:tcBorders>
              <w:top w:val="nil"/>
              <w:left w:val="single" w:sz="4" w:space="0" w:color="auto"/>
              <w:bottom w:val="single" w:sz="4" w:space="0" w:color="auto"/>
              <w:right w:val="nil"/>
            </w:tcBorders>
            <w:shd w:val="clear" w:color="000000" w:fill="BFBFBF"/>
            <w:noWrap/>
            <w:vAlign w:val="bottom"/>
            <w:hideMark/>
          </w:tcPr>
          <w:p w:rsidR="004D25A0" w:rsidRPr="004D25A0" w:rsidRDefault="004D25A0" w:rsidP="004D25A0">
            <w:pPr>
              <w:rPr>
                <w:color w:val="000000"/>
              </w:rPr>
            </w:pPr>
            <w:r w:rsidRPr="004D25A0">
              <w:rPr>
                <w:color w:val="000000"/>
              </w:rPr>
              <w:t> </w:t>
            </w:r>
          </w:p>
        </w:tc>
        <w:tc>
          <w:tcPr>
            <w:tcW w:w="1764" w:type="dxa"/>
            <w:tcBorders>
              <w:top w:val="nil"/>
              <w:left w:val="nil"/>
              <w:bottom w:val="single" w:sz="4" w:space="0" w:color="auto"/>
              <w:right w:val="single" w:sz="4" w:space="0" w:color="auto"/>
            </w:tcBorders>
            <w:shd w:val="clear" w:color="000000" w:fill="BFBFBF"/>
            <w:noWrap/>
            <w:vAlign w:val="bottom"/>
            <w:hideMark/>
          </w:tcPr>
          <w:p w:rsidR="004D25A0" w:rsidRPr="004D25A0" w:rsidRDefault="004D25A0" w:rsidP="004D25A0">
            <w:pPr>
              <w:jc w:val="center"/>
            </w:pPr>
            <w:r w:rsidRPr="004D25A0">
              <w:t>Clay Loam</w:t>
            </w:r>
          </w:p>
        </w:tc>
        <w:tc>
          <w:tcPr>
            <w:tcW w:w="2454" w:type="dxa"/>
            <w:tcBorders>
              <w:top w:val="nil"/>
              <w:left w:val="nil"/>
              <w:bottom w:val="single" w:sz="4" w:space="0" w:color="auto"/>
              <w:right w:val="single" w:sz="4" w:space="0" w:color="auto"/>
            </w:tcBorders>
            <w:shd w:val="clear" w:color="000000" w:fill="BFBFBF"/>
            <w:noWrap/>
            <w:vAlign w:val="bottom"/>
            <w:hideMark/>
          </w:tcPr>
          <w:p w:rsidR="004D25A0" w:rsidRPr="004D25A0" w:rsidRDefault="004D25A0" w:rsidP="00035B96">
            <w:pPr>
              <w:jc w:val="center"/>
            </w:pPr>
            <w:r w:rsidRPr="004D25A0">
              <w:t>Silty Clay Loam</w:t>
            </w:r>
          </w:p>
        </w:tc>
        <w:tc>
          <w:tcPr>
            <w:tcW w:w="1259" w:type="dxa"/>
            <w:tcBorders>
              <w:top w:val="nil"/>
              <w:left w:val="nil"/>
              <w:bottom w:val="single" w:sz="4" w:space="0" w:color="auto"/>
              <w:right w:val="single" w:sz="4" w:space="0" w:color="auto"/>
            </w:tcBorders>
            <w:shd w:val="clear" w:color="000000" w:fill="BFBFBF"/>
            <w:noWrap/>
            <w:vAlign w:val="bottom"/>
            <w:hideMark/>
          </w:tcPr>
          <w:p w:rsidR="004D25A0" w:rsidRPr="004D25A0" w:rsidRDefault="004D25A0" w:rsidP="004D25A0">
            <w:pPr>
              <w:jc w:val="center"/>
            </w:pPr>
            <w:r w:rsidRPr="004D25A0">
              <w:t>Loam</w:t>
            </w:r>
          </w:p>
        </w:tc>
        <w:tc>
          <w:tcPr>
            <w:tcW w:w="1494" w:type="dxa"/>
            <w:tcBorders>
              <w:top w:val="nil"/>
              <w:left w:val="nil"/>
              <w:bottom w:val="single" w:sz="4" w:space="0" w:color="auto"/>
              <w:right w:val="single" w:sz="4" w:space="0" w:color="auto"/>
            </w:tcBorders>
            <w:shd w:val="clear" w:color="000000" w:fill="BFBFBF"/>
            <w:noWrap/>
            <w:vAlign w:val="bottom"/>
            <w:hideMark/>
          </w:tcPr>
          <w:p w:rsidR="004D25A0" w:rsidRPr="004D25A0" w:rsidRDefault="004D25A0" w:rsidP="004D25A0">
            <w:r w:rsidRPr="004D25A0">
              <w:t>Silt Loam</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SOC2008</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1.38</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1.27</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1.52</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1.19</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STDEV</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0.09</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0.06</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0.06</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0.04</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COUNT</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62</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143</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pPr>
            <w:r w:rsidRPr="004D25A0">
              <w:t>206</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421</w:t>
            </w:r>
          </w:p>
        </w:tc>
      </w:tr>
      <w:tr w:rsidR="004D25A0" w:rsidRPr="004D25A0" w:rsidTr="004D25A0">
        <w:trPr>
          <w:trHeight w:val="304"/>
        </w:trPr>
        <w:tc>
          <w:tcPr>
            <w:tcW w:w="2114" w:type="dxa"/>
            <w:tcBorders>
              <w:top w:val="nil"/>
              <w:left w:val="single" w:sz="4" w:space="0" w:color="auto"/>
              <w:bottom w:val="single" w:sz="4" w:space="0" w:color="auto"/>
              <w:right w:val="nil"/>
            </w:tcBorders>
            <w:shd w:val="clear" w:color="000000" w:fill="BFBFBF"/>
            <w:noWrap/>
            <w:vAlign w:val="bottom"/>
            <w:hideMark/>
          </w:tcPr>
          <w:p w:rsidR="004D25A0" w:rsidRPr="004D25A0" w:rsidRDefault="004D25A0" w:rsidP="004D25A0">
            <w:pPr>
              <w:jc w:val="center"/>
            </w:pPr>
            <w:r w:rsidRPr="004D25A0">
              <w:t>LSD (P&lt;0.05)</w:t>
            </w: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ABCD</w:t>
            </w:r>
          </w:p>
        </w:tc>
        <w:tc>
          <w:tcPr>
            <w:tcW w:w="2454"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BCDEF</w:t>
            </w:r>
          </w:p>
        </w:tc>
        <w:tc>
          <w:tcPr>
            <w:tcW w:w="1259"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A</w:t>
            </w:r>
          </w:p>
        </w:tc>
        <w:tc>
          <w:tcPr>
            <w:tcW w:w="1494"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EFG</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SOC2009</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1.23</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1.27</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1.34</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1.17</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STDEV</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0.09</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0.06</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0.06</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0.05</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COUNT</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63</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135</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177</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410</w:t>
            </w:r>
          </w:p>
        </w:tc>
      </w:tr>
      <w:tr w:rsidR="004D25A0" w:rsidRPr="004D25A0" w:rsidTr="004D25A0">
        <w:trPr>
          <w:trHeight w:val="304"/>
        </w:trPr>
        <w:tc>
          <w:tcPr>
            <w:tcW w:w="2114" w:type="dxa"/>
            <w:tcBorders>
              <w:top w:val="nil"/>
              <w:left w:val="single" w:sz="4" w:space="0" w:color="auto"/>
              <w:bottom w:val="single" w:sz="4" w:space="0" w:color="auto"/>
              <w:right w:val="nil"/>
            </w:tcBorders>
            <w:shd w:val="clear" w:color="000000" w:fill="BFBFBF"/>
            <w:noWrap/>
            <w:vAlign w:val="bottom"/>
            <w:hideMark/>
          </w:tcPr>
          <w:p w:rsidR="004D25A0" w:rsidRPr="004D25A0" w:rsidRDefault="004D25A0" w:rsidP="004D25A0">
            <w:pPr>
              <w:jc w:val="center"/>
            </w:pPr>
            <w:r w:rsidRPr="004D25A0">
              <w:t>LSD (P&lt;0.05)</w:t>
            </w: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BCDEF</w:t>
            </w:r>
          </w:p>
        </w:tc>
        <w:tc>
          <w:tcPr>
            <w:tcW w:w="2454"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BCDEF</w:t>
            </w:r>
          </w:p>
        </w:tc>
        <w:tc>
          <w:tcPr>
            <w:tcW w:w="1259"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BC</w:t>
            </w:r>
          </w:p>
        </w:tc>
        <w:tc>
          <w:tcPr>
            <w:tcW w:w="1494"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F</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SOC2010</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1.33</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1.29</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1.43</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1.22</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STDEV</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0.09</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0.06</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0.06</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0.04</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COUNT</w:t>
            </w:r>
          </w:p>
        </w:tc>
        <w:tc>
          <w:tcPr>
            <w:tcW w:w="1764" w:type="dxa"/>
            <w:tcBorders>
              <w:top w:val="nil"/>
              <w:left w:val="single" w:sz="4" w:space="0" w:color="auto"/>
              <w:bottom w:val="nil"/>
              <w:right w:val="single" w:sz="4" w:space="0" w:color="auto"/>
            </w:tcBorders>
            <w:shd w:val="clear" w:color="auto" w:fill="auto"/>
            <w:vAlign w:val="bottom"/>
            <w:hideMark/>
          </w:tcPr>
          <w:p w:rsidR="004D25A0" w:rsidRPr="004D25A0" w:rsidRDefault="004D25A0" w:rsidP="004D25A0">
            <w:pPr>
              <w:jc w:val="center"/>
              <w:rPr>
                <w:color w:val="000000"/>
              </w:rPr>
            </w:pPr>
            <w:r w:rsidRPr="004D25A0">
              <w:rPr>
                <w:color w:val="000000"/>
              </w:rPr>
              <w:t>64</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176</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151</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544</w:t>
            </w:r>
          </w:p>
        </w:tc>
      </w:tr>
      <w:tr w:rsidR="004D25A0" w:rsidRPr="004D25A0" w:rsidTr="004D25A0">
        <w:trPr>
          <w:trHeight w:val="304"/>
        </w:trPr>
        <w:tc>
          <w:tcPr>
            <w:tcW w:w="2114" w:type="dxa"/>
            <w:tcBorders>
              <w:top w:val="nil"/>
              <w:left w:val="single" w:sz="4" w:space="0" w:color="auto"/>
              <w:bottom w:val="single" w:sz="4" w:space="0" w:color="auto"/>
              <w:right w:val="nil"/>
            </w:tcBorders>
            <w:shd w:val="clear" w:color="000000" w:fill="BFBFBF"/>
            <w:noWrap/>
            <w:vAlign w:val="bottom"/>
            <w:hideMark/>
          </w:tcPr>
          <w:p w:rsidR="004D25A0" w:rsidRPr="004D25A0" w:rsidRDefault="004D25A0" w:rsidP="004D25A0">
            <w:pPr>
              <w:jc w:val="center"/>
            </w:pPr>
            <w:r w:rsidRPr="004D25A0">
              <w:t>LSD (P&lt;0.05)</w:t>
            </w:r>
          </w:p>
        </w:tc>
        <w:tc>
          <w:tcPr>
            <w:tcW w:w="1764" w:type="dxa"/>
            <w:tcBorders>
              <w:top w:val="nil"/>
              <w:left w:val="single" w:sz="4" w:space="0" w:color="auto"/>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ABCDEF</w:t>
            </w:r>
          </w:p>
        </w:tc>
        <w:tc>
          <w:tcPr>
            <w:tcW w:w="2454"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BCDEF</w:t>
            </w:r>
          </w:p>
        </w:tc>
        <w:tc>
          <w:tcPr>
            <w:tcW w:w="1259"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AB</w:t>
            </w:r>
          </w:p>
        </w:tc>
        <w:tc>
          <w:tcPr>
            <w:tcW w:w="1494"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CDEF</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SOC2011</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1.37</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1.33</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1.26</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1.19</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STDEV</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0.10</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0.06</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0.05</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0.05</w:t>
            </w:r>
          </w:p>
        </w:tc>
      </w:tr>
      <w:tr w:rsidR="004D25A0" w:rsidRPr="004D25A0" w:rsidTr="004D25A0">
        <w:trPr>
          <w:trHeight w:val="304"/>
        </w:trPr>
        <w:tc>
          <w:tcPr>
            <w:tcW w:w="2114" w:type="dxa"/>
            <w:tcBorders>
              <w:top w:val="nil"/>
              <w:left w:val="single" w:sz="4" w:space="0" w:color="auto"/>
              <w:bottom w:val="nil"/>
              <w:right w:val="nil"/>
            </w:tcBorders>
            <w:shd w:val="clear" w:color="000000" w:fill="BFBFBF"/>
            <w:noWrap/>
            <w:vAlign w:val="bottom"/>
            <w:hideMark/>
          </w:tcPr>
          <w:p w:rsidR="004D25A0" w:rsidRPr="004D25A0" w:rsidRDefault="004D25A0" w:rsidP="004D25A0">
            <w:pPr>
              <w:jc w:val="center"/>
            </w:pPr>
            <w:r w:rsidRPr="004D25A0">
              <w:t>COUNT</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48</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127</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236</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414</w:t>
            </w:r>
          </w:p>
        </w:tc>
      </w:tr>
      <w:tr w:rsidR="004D25A0" w:rsidRPr="004D25A0" w:rsidTr="004D25A0">
        <w:trPr>
          <w:trHeight w:val="304"/>
        </w:trPr>
        <w:tc>
          <w:tcPr>
            <w:tcW w:w="2114" w:type="dxa"/>
            <w:tcBorders>
              <w:top w:val="nil"/>
              <w:left w:val="single" w:sz="4" w:space="0" w:color="auto"/>
              <w:bottom w:val="single" w:sz="4" w:space="0" w:color="auto"/>
              <w:right w:val="nil"/>
            </w:tcBorders>
            <w:shd w:val="clear" w:color="000000" w:fill="BFBFBF"/>
            <w:noWrap/>
            <w:vAlign w:val="bottom"/>
            <w:hideMark/>
          </w:tcPr>
          <w:p w:rsidR="004D25A0" w:rsidRPr="004D25A0" w:rsidRDefault="004D25A0" w:rsidP="004D25A0">
            <w:pPr>
              <w:jc w:val="center"/>
            </w:pPr>
            <w:r w:rsidRPr="004D25A0">
              <w:t>LSD (P&lt;0.05)</w:t>
            </w:r>
          </w:p>
        </w:tc>
        <w:tc>
          <w:tcPr>
            <w:tcW w:w="1764" w:type="dxa"/>
            <w:tcBorders>
              <w:top w:val="nil"/>
              <w:left w:val="single" w:sz="4" w:space="0" w:color="auto"/>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ABCDEF</w:t>
            </w:r>
          </w:p>
        </w:tc>
        <w:tc>
          <w:tcPr>
            <w:tcW w:w="245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BCE</w:t>
            </w:r>
          </w:p>
        </w:tc>
        <w:tc>
          <w:tcPr>
            <w:tcW w:w="1259"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CDEF</w:t>
            </w:r>
          </w:p>
        </w:tc>
        <w:tc>
          <w:tcPr>
            <w:tcW w:w="149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DFG</w:t>
            </w:r>
          </w:p>
        </w:tc>
      </w:tr>
      <w:tr w:rsidR="004D25A0" w:rsidRPr="004D25A0" w:rsidTr="004D25A0">
        <w:trPr>
          <w:trHeight w:val="304"/>
        </w:trPr>
        <w:tc>
          <w:tcPr>
            <w:tcW w:w="2114" w:type="dxa"/>
            <w:tcBorders>
              <w:top w:val="nil"/>
              <w:left w:val="single" w:sz="4" w:space="0" w:color="auto"/>
              <w:bottom w:val="single" w:sz="4" w:space="0" w:color="auto"/>
              <w:right w:val="nil"/>
            </w:tcBorders>
            <w:shd w:val="clear" w:color="000000" w:fill="BFBFBF"/>
            <w:noWrap/>
            <w:vAlign w:val="bottom"/>
            <w:hideMark/>
          </w:tcPr>
          <w:p w:rsidR="004D25A0" w:rsidRPr="004D25A0" w:rsidRDefault="004D25A0" w:rsidP="004D25A0">
            <w:pPr>
              <w:jc w:val="center"/>
              <w:rPr>
                <w:color w:val="000000"/>
              </w:rPr>
            </w:pPr>
            <w:r w:rsidRPr="004D25A0">
              <w:rPr>
                <w:color w:val="000000"/>
              </w:rPr>
              <w:t>% Δ 08-11</w:t>
            </w:r>
          </w:p>
        </w:tc>
        <w:tc>
          <w:tcPr>
            <w:tcW w:w="17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-1.07</w:t>
            </w:r>
          </w:p>
        </w:tc>
        <w:tc>
          <w:tcPr>
            <w:tcW w:w="2454" w:type="dxa"/>
            <w:tcBorders>
              <w:top w:val="single" w:sz="4" w:space="0" w:color="auto"/>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5.29</w:t>
            </w:r>
          </w:p>
        </w:tc>
        <w:tc>
          <w:tcPr>
            <w:tcW w:w="1259" w:type="dxa"/>
            <w:tcBorders>
              <w:top w:val="single" w:sz="4" w:space="0" w:color="auto"/>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-16.80</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color w:val="000000"/>
              </w:rPr>
            </w:pPr>
            <w:r w:rsidRPr="004D25A0">
              <w:rPr>
                <w:color w:val="000000"/>
              </w:rPr>
              <w:t>0.45</w:t>
            </w:r>
          </w:p>
        </w:tc>
      </w:tr>
    </w:tbl>
    <w:p w:rsidR="004D25A0" w:rsidRPr="00AF3E01" w:rsidRDefault="004D25A0"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F24219" w:rsidRPr="002B5C17"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noProof/>
        </w:rPr>
      </w:pPr>
    </w:p>
    <w:p w:rsidR="00035B96" w:rsidRPr="0072044F" w:rsidRDefault="00035B96" w:rsidP="00035B96">
      <w:pPr>
        <w:spacing w:line="480" w:lineRule="auto"/>
        <w:ind w:firstLine="720"/>
      </w:pPr>
      <w:r>
        <w:t xml:space="preserve">Analysis revealed that there </w:t>
      </w:r>
      <w:r w:rsidR="00227FF9">
        <w:t>were no definitive differences</w:t>
      </w:r>
      <w:r>
        <w:t xml:space="preserve"> resulting from</w:t>
      </w:r>
      <w:r w:rsidR="00EA6B94">
        <w:t xml:space="preserve"> texture across years (Table 1.5</w:t>
      </w:r>
      <w:r>
        <w:t>). In 2011, silt loam was statistically different from clay loam, loam, and silty clay loam. In 2008, the silt loam had a statistically smaller percent SOC content than the loam and the clay loam, which matches with clay content. On close observation of the data, the differences in SOC among soil textural classes were not consistent. Thus in this study, soil texture class was not a factor able to predict SOC storage behavior.</w:t>
      </w:r>
    </w:p>
    <w:p w:rsidR="00035B96" w:rsidRDefault="00194406" w:rsidP="00035B9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Pr>
          <w:i/>
        </w:rPr>
        <w:t>4)</w:t>
      </w:r>
      <w:r w:rsidR="00035B96">
        <w:rPr>
          <w:i/>
        </w:rPr>
        <w:t>Taxonomy</w:t>
      </w:r>
    </w:p>
    <w:p w:rsidR="00035B96" w:rsidRDefault="00035B96"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35B96" w:rsidRPr="00035B96" w:rsidRDefault="00035B96" w:rsidP="00035B96">
      <w:pPr>
        <w:spacing w:line="480" w:lineRule="auto"/>
      </w:pPr>
      <w:r>
        <w:tab/>
        <w:t>Four taxonomic categories were measured in the study. The taxonomies were used to determine if one soil type may see more of an increase in SOC than another.</w:t>
      </w:r>
      <w:r w:rsidR="00EA6B94">
        <w:t xml:space="preserve"> The analysis until this point lead to no conclusive results therefore</w:t>
      </w:r>
      <w:r>
        <w:t>, no relationship was expected.</w:t>
      </w:r>
    </w:p>
    <w:p w:rsidR="004D25A0" w:rsidRDefault="004D25A0"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D25A0" w:rsidRPr="004D25A0" w:rsidRDefault="004D25A0"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0" distB="0" distL="0" distR="0" wp14:anchorId="3D0976A9" wp14:editId="2F19FAD3">
            <wp:extent cx="6005015" cy="2838734"/>
            <wp:effectExtent l="0" t="0" r="1524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D25A0" w:rsidRPr="009147F2" w:rsidRDefault="004D25A0" w:rsidP="00265C65">
      <w:pPr>
        <w:spacing w:line="480" w:lineRule="auto"/>
        <w:rPr>
          <w:b/>
        </w:rPr>
      </w:pPr>
      <w:r w:rsidRPr="009147F2">
        <w:rPr>
          <w:b/>
        </w:rPr>
        <w:t>Figure 1.</w:t>
      </w:r>
      <w:r w:rsidR="00C47C91">
        <w:rPr>
          <w:b/>
        </w:rPr>
        <w:t>7</w:t>
      </w:r>
      <w:r w:rsidRPr="009147F2">
        <w:rPr>
          <w:b/>
        </w:rPr>
        <w:t xml:space="preserve"> Percent SOC by Taxonomy</w:t>
      </w:r>
    </w:p>
    <w:p w:rsidR="004D25A0" w:rsidRPr="009147F2" w:rsidRDefault="004D25A0" w:rsidP="00265C65">
      <w:pPr>
        <w:spacing w:line="480" w:lineRule="auto"/>
        <w:rPr>
          <w:b/>
        </w:rPr>
      </w:pPr>
      <w:r w:rsidRPr="009147F2">
        <w:rPr>
          <w:b/>
        </w:rPr>
        <w:lastRenderedPageBreak/>
        <w:t>Table 1.6</w:t>
      </w:r>
      <w:r w:rsidR="009147F2">
        <w:rPr>
          <w:b/>
        </w:rPr>
        <w:t xml:space="preserve"> Percent SOC by taxonomy – SAS output</w:t>
      </w:r>
    </w:p>
    <w:tbl>
      <w:tblPr>
        <w:tblW w:w="9436" w:type="dxa"/>
        <w:tblInd w:w="93" w:type="dxa"/>
        <w:tblLook w:val="04A0" w:firstRow="1" w:lastRow="0" w:firstColumn="1" w:lastColumn="0" w:noHBand="0" w:noVBand="1"/>
      </w:tblPr>
      <w:tblGrid>
        <w:gridCol w:w="1974"/>
        <w:gridCol w:w="1574"/>
        <w:gridCol w:w="2206"/>
        <w:gridCol w:w="1907"/>
        <w:gridCol w:w="1775"/>
      </w:tblGrid>
      <w:tr w:rsidR="004D25A0" w:rsidRPr="004D25A0" w:rsidTr="004D25A0">
        <w:trPr>
          <w:trHeight w:val="16"/>
        </w:trPr>
        <w:tc>
          <w:tcPr>
            <w:tcW w:w="1974" w:type="dxa"/>
            <w:tcBorders>
              <w:top w:val="single" w:sz="4" w:space="0" w:color="auto"/>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 </w:t>
            </w:r>
          </w:p>
        </w:tc>
        <w:tc>
          <w:tcPr>
            <w:tcW w:w="7462"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4D25A0" w:rsidRPr="004D25A0" w:rsidRDefault="004D25A0" w:rsidP="004D25A0">
            <w:pPr>
              <w:jc w:val="center"/>
              <w:rPr>
                <w:color w:val="000000"/>
              </w:rPr>
            </w:pPr>
            <w:r w:rsidRPr="004D25A0">
              <w:rPr>
                <w:color w:val="000000"/>
              </w:rPr>
              <w:t>Taxonomy</w:t>
            </w:r>
          </w:p>
        </w:tc>
      </w:tr>
      <w:tr w:rsidR="004D25A0" w:rsidRPr="004D25A0" w:rsidTr="004D25A0">
        <w:trPr>
          <w:trHeight w:val="16"/>
        </w:trPr>
        <w:tc>
          <w:tcPr>
            <w:tcW w:w="1974" w:type="dxa"/>
            <w:tcBorders>
              <w:top w:val="nil"/>
              <w:left w:val="single" w:sz="4" w:space="0" w:color="auto"/>
              <w:bottom w:val="single" w:sz="4" w:space="0" w:color="auto"/>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 </w:t>
            </w:r>
          </w:p>
        </w:tc>
        <w:tc>
          <w:tcPr>
            <w:tcW w:w="1574" w:type="dxa"/>
            <w:tcBorders>
              <w:top w:val="nil"/>
              <w:left w:val="nil"/>
              <w:bottom w:val="single" w:sz="4" w:space="0" w:color="auto"/>
              <w:right w:val="single" w:sz="4" w:space="0" w:color="auto"/>
            </w:tcBorders>
            <w:shd w:val="clear" w:color="000000" w:fill="BFBFBF"/>
            <w:noWrap/>
            <w:vAlign w:val="bottom"/>
            <w:hideMark/>
          </w:tcPr>
          <w:p w:rsidR="004D25A0" w:rsidRPr="004D25A0" w:rsidRDefault="004D25A0" w:rsidP="004D25A0">
            <w:pPr>
              <w:jc w:val="center"/>
              <w:rPr>
                <w:color w:val="000000"/>
              </w:rPr>
            </w:pPr>
            <w:r w:rsidRPr="004D25A0">
              <w:rPr>
                <w:color w:val="000000"/>
              </w:rPr>
              <w:t>Alfisol</w:t>
            </w:r>
          </w:p>
        </w:tc>
        <w:tc>
          <w:tcPr>
            <w:tcW w:w="2206" w:type="dxa"/>
            <w:tcBorders>
              <w:top w:val="nil"/>
              <w:left w:val="nil"/>
              <w:bottom w:val="single" w:sz="4" w:space="0" w:color="auto"/>
              <w:right w:val="single" w:sz="4" w:space="0" w:color="auto"/>
            </w:tcBorders>
            <w:shd w:val="clear" w:color="000000" w:fill="BFBFBF"/>
            <w:noWrap/>
            <w:vAlign w:val="bottom"/>
            <w:hideMark/>
          </w:tcPr>
          <w:p w:rsidR="004D25A0" w:rsidRPr="004D25A0" w:rsidRDefault="004D25A0" w:rsidP="004D25A0">
            <w:pPr>
              <w:jc w:val="center"/>
              <w:rPr>
                <w:color w:val="000000"/>
              </w:rPr>
            </w:pPr>
            <w:r w:rsidRPr="004D25A0">
              <w:rPr>
                <w:color w:val="000000"/>
              </w:rPr>
              <w:t>Inceptisol</w:t>
            </w:r>
          </w:p>
        </w:tc>
        <w:tc>
          <w:tcPr>
            <w:tcW w:w="1907" w:type="dxa"/>
            <w:tcBorders>
              <w:top w:val="nil"/>
              <w:left w:val="nil"/>
              <w:bottom w:val="single" w:sz="4" w:space="0" w:color="auto"/>
              <w:right w:val="single" w:sz="4" w:space="0" w:color="auto"/>
            </w:tcBorders>
            <w:shd w:val="clear" w:color="000000" w:fill="BFBFBF"/>
            <w:noWrap/>
            <w:vAlign w:val="bottom"/>
            <w:hideMark/>
          </w:tcPr>
          <w:p w:rsidR="004D25A0" w:rsidRPr="004D25A0" w:rsidRDefault="004D25A0" w:rsidP="004D25A0">
            <w:pPr>
              <w:jc w:val="center"/>
              <w:rPr>
                <w:color w:val="000000"/>
              </w:rPr>
            </w:pPr>
            <w:r w:rsidRPr="004D25A0">
              <w:rPr>
                <w:color w:val="000000"/>
              </w:rPr>
              <w:t>Mollisol</w:t>
            </w:r>
          </w:p>
        </w:tc>
        <w:tc>
          <w:tcPr>
            <w:tcW w:w="1775" w:type="dxa"/>
            <w:tcBorders>
              <w:top w:val="nil"/>
              <w:left w:val="nil"/>
              <w:bottom w:val="single" w:sz="4" w:space="0" w:color="auto"/>
              <w:right w:val="single" w:sz="4" w:space="0" w:color="auto"/>
            </w:tcBorders>
            <w:shd w:val="clear" w:color="000000" w:fill="BFBFBF"/>
            <w:noWrap/>
            <w:vAlign w:val="bottom"/>
            <w:hideMark/>
          </w:tcPr>
          <w:p w:rsidR="004D25A0" w:rsidRPr="004D25A0" w:rsidRDefault="004D25A0" w:rsidP="004D25A0">
            <w:pPr>
              <w:jc w:val="center"/>
              <w:rPr>
                <w:color w:val="000000"/>
              </w:rPr>
            </w:pPr>
            <w:r w:rsidRPr="004D25A0">
              <w:rPr>
                <w:color w:val="000000"/>
              </w:rPr>
              <w:t>Ultisol</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SOC2008</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1.16</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1.30</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1.51</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1.38</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STDEV</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0.11</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0.07</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0.09</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0.03</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COUNT</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32</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85</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56</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637</w:t>
            </w:r>
          </w:p>
        </w:tc>
      </w:tr>
      <w:tr w:rsidR="004D25A0" w:rsidRPr="004D25A0" w:rsidTr="004D25A0">
        <w:trPr>
          <w:trHeight w:val="15"/>
        </w:trPr>
        <w:tc>
          <w:tcPr>
            <w:tcW w:w="1974" w:type="dxa"/>
            <w:tcBorders>
              <w:top w:val="nil"/>
              <w:left w:val="single" w:sz="4" w:space="0" w:color="auto"/>
              <w:bottom w:val="single" w:sz="4" w:space="0" w:color="auto"/>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LSD (P&lt;.05)</w:t>
            </w:r>
          </w:p>
        </w:tc>
        <w:tc>
          <w:tcPr>
            <w:tcW w:w="1574"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CD</w:t>
            </w:r>
          </w:p>
        </w:tc>
        <w:tc>
          <w:tcPr>
            <w:tcW w:w="2206"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BC</w:t>
            </w:r>
          </w:p>
        </w:tc>
        <w:tc>
          <w:tcPr>
            <w:tcW w:w="1907"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AB</w:t>
            </w:r>
          </w:p>
        </w:tc>
        <w:tc>
          <w:tcPr>
            <w:tcW w:w="1775"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ABD</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SOC 2009</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1.13</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1.20</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1.42</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1.26</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STDEV</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0.12</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0.07</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0.10</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0.03</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COUNT</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87</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107</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40</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614</w:t>
            </w:r>
          </w:p>
        </w:tc>
      </w:tr>
      <w:tr w:rsidR="004D25A0" w:rsidRPr="004D25A0" w:rsidTr="004D25A0">
        <w:trPr>
          <w:trHeight w:val="15"/>
        </w:trPr>
        <w:tc>
          <w:tcPr>
            <w:tcW w:w="1974" w:type="dxa"/>
            <w:tcBorders>
              <w:top w:val="nil"/>
              <w:left w:val="single" w:sz="4" w:space="0" w:color="auto"/>
              <w:bottom w:val="single" w:sz="4" w:space="0" w:color="auto"/>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LSD (P&lt;.05)</w:t>
            </w:r>
          </w:p>
        </w:tc>
        <w:tc>
          <w:tcPr>
            <w:tcW w:w="1574"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C</w:t>
            </w:r>
          </w:p>
        </w:tc>
        <w:tc>
          <w:tcPr>
            <w:tcW w:w="2206"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C</w:t>
            </w:r>
          </w:p>
        </w:tc>
        <w:tc>
          <w:tcPr>
            <w:tcW w:w="1907"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ABC</w:t>
            </w:r>
          </w:p>
        </w:tc>
        <w:tc>
          <w:tcPr>
            <w:tcW w:w="1775"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C</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SOC 2010</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1.20</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1.25</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1.55</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1.26</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STDEV</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0.07</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0.07</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0.11</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0.03</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COUNT</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87</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107</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40</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731</w:t>
            </w:r>
          </w:p>
        </w:tc>
      </w:tr>
      <w:tr w:rsidR="004D25A0" w:rsidRPr="004D25A0" w:rsidTr="004D25A0">
        <w:trPr>
          <w:trHeight w:val="15"/>
        </w:trPr>
        <w:tc>
          <w:tcPr>
            <w:tcW w:w="1974" w:type="dxa"/>
            <w:tcBorders>
              <w:top w:val="nil"/>
              <w:left w:val="single" w:sz="4" w:space="0" w:color="auto"/>
              <w:bottom w:val="single" w:sz="4" w:space="0" w:color="auto"/>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LSD (P&lt;.05)</w:t>
            </w:r>
          </w:p>
        </w:tc>
        <w:tc>
          <w:tcPr>
            <w:tcW w:w="1574"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C</w:t>
            </w:r>
          </w:p>
        </w:tc>
        <w:tc>
          <w:tcPr>
            <w:tcW w:w="2206"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CD</w:t>
            </w:r>
          </w:p>
        </w:tc>
        <w:tc>
          <w:tcPr>
            <w:tcW w:w="1907"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AB</w:t>
            </w:r>
          </w:p>
        </w:tc>
        <w:tc>
          <w:tcPr>
            <w:tcW w:w="1775"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C</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SOC 2011</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1.19</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1.20</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1.53</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1.24</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STDEV</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0.11</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0.08</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0.09</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0.03</w:t>
            </w:r>
          </w:p>
        </w:tc>
      </w:tr>
      <w:tr w:rsidR="004D25A0" w:rsidRPr="004D25A0" w:rsidTr="004D25A0">
        <w:trPr>
          <w:trHeight w:val="15"/>
        </w:trPr>
        <w:tc>
          <w:tcPr>
            <w:tcW w:w="1974" w:type="dxa"/>
            <w:tcBorders>
              <w:top w:val="nil"/>
              <w:left w:val="single" w:sz="4" w:space="0" w:color="auto"/>
              <w:bottom w:val="nil"/>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COUNT</w:t>
            </w:r>
          </w:p>
        </w:tc>
        <w:tc>
          <w:tcPr>
            <w:tcW w:w="1574"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32</w:t>
            </w:r>
          </w:p>
        </w:tc>
        <w:tc>
          <w:tcPr>
            <w:tcW w:w="2206"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60</w:t>
            </w:r>
          </w:p>
        </w:tc>
        <w:tc>
          <w:tcPr>
            <w:tcW w:w="1907"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72</w:t>
            </w:r>
          </w:p>
        </w:tc>
        <w:tc>
          <w:tcPr>
            <w:tcW w:w="1775" w:type="dxa"/>
            <w:tcBorders>
              <w:top w:val="nil"/>
              <w:left w:val="nil"/>
              <w:bottom w:val="nil"/>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661</w:t>
            </w:r>
          </w:p>
        </w:tc>
      </w:tr>
      <w:tr w:rsidR="004D25A0" w:rsidRPr="004D25A0" w:rsidTr="004D25A0">
        <w:trPr>
          <w:trHeight w:val="15"/>
        </w:trPr>
        <w:tc>
          <w:tcPr>
            <w:tcW w:w="1974" w:type="dxa"/>
            <w:tcBorders>
              <w:top w:val="nil"/>
              <w:left w:val="single" w:sz="4" w:space="0" w:color="auto"/>
              <w:bottom w:val="single" w:sz="4" w:space="0" w:color="auto"/>
              <w:right w:val="single" w:sz="4" w:space="0" w:color="auto"/>
            </w:tcBorders>
            <w:shd w:val="clear" w:color="000000" w:fill="BFBFBF"/>
            <w:noWrap/>
            <w:vAlign w:val="bottom"/>
            <w:hideMark/>
          </w:tcPr>
          <w:p w:rsidR="004D25A0" w:rsidRPr="004D25A0" w:rsidRDefault="004D25A0" w:rsidP="004D25A0">
            <w:pPr>
              <w:jc w:val="center"/>
              <w:rPr>
                <w:color w:val="000000"/>
                <w:sz w:val="22"/>
                <w:szCs w:val="22"/>
              </w:rPr>
            </w:pPr>
            <w:r w:rsidRPr="004D25A0">
              <w:rPr>
                <w:color w:val="000000"/>
                <w:sz w:val="22"/>
                <w:szCs w:val="22"/>
              </w:rPr>
              <w:t>LSD (P&lt;.05)</w:t>
            </w:r>
          </w:p>
        </w:tc>
        <w:tc>
          <w:tcPr>
            <w:tcW w:w="1574"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CD</w:t>
            </w:r>
          </w:p>
        </w:tc>
        <w:tc>
          <w:tcPr>
            <w:tcW w:w="2206"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C</w:t>
            </w:r>
          </w:p>
        </w:tc>
        <w:tc>
          <w:tcPr>
            <w:tcW w:w="1907"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A</w:t>
            </w:r>
          </w:p>
        </w:tc>
        <w:tc>
          <w:tcPr>
            <w:tcW w:w="1775"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C</w:t>
            </w:r>
          </w:p>
        </w:tc>
      </w:tr>
      <w:tr w:rsidR="004D25A0" w:rsidRPr="004D25A0" w:rsidTr="004D25A0">
        <w:trPr>
          <w:trHeight w:val="16"/>
        </w:trPr>
        <w:tc>
          <w:tcPr>
            <w:tcW w:w="1974" w:type="dxa"/>
            <w:tcBorders>
              <w:top w:val="nil"/>
              <w:left w:val="single" w:sz="4" w:space="0" w:color="auto"/>
              <w:bottom w:val="single" w:sz="4" w:space="0" w:color="auto"/>
              <w:right w:val="single" w:sz="4" w:space="0" w:color="auto"/>
            </w:tcBorders>
            <w:shd w:val="clear" w:color="000000" w:fill="BFBFBF"/>
            <w:noWrap/>
            <w:vAlign w:val="bottom"/>
            <w:hideMark/>
          </w:tcPr>
          <w:p w:rsidR="004D25A0" w:rsidRPr="004D25A0" w:rsidRDefault="004D25A0" w:rsidP="004D25A0">
            <w:pPr>
              <w:jc w:val="center"/>
              <w:rPr>
                <w:color w:val="000000"/>
              </w:rPr>
            </w:pPr>
            <w:r w:rsidRPr="004D25A0">
              <w:rPr>
                <w:color w:val="000000"/>
              </w:rPr>
              <w:t>% Δ 08-11</w:t>
            </w:r>
          </w:p>
        </w:tc>
        <w:tc>
          <w:tcPr>
            <w:tcW w:w="1574"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2.81</w:t>
            </w:r>
          </w:p>
        </w:tc>
        <w:tc>
          <w:tcPr>
            <w:tcW w:w="2206"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-8.34</w:t>
            </w:r>
          </w:p>
        </w:tc>
        <w:tc>
          <w:tcPr>
            <w:tcW w:w="1907"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1.19</w:t>
            </w:r>
          </w:p>
        </w:tc>
        <w:tc>
          <w:tcPr>
            <w:tcW w:w="1775" w:type="dxa"/>
            <w:tcBorders>
              <w:top w:val="nil"/>
              <w:left w:val="nil"/>
              <w:bottom w:val="single" w:sz="4" w:space="0" w:color="auto"/>
              <w:right w:val="single" w:sz="4" w:space="0" w:color="auto"/>
            </w:tcBorders>
            <w:shd w:val="clear" w:color="auto" w:fill="auto"/>
            <w:noWrap/>
            <w:vAlign w:val="bottom"/>
            <w:hideMark/>
          </w:tcPr>
          <w:p w:rsidR="004D25A0" w:rsidRPr="004D25A0" w:rsidRDefault="004D25A0" w:rsidP="004D25A0">
            <w:pPr>
              <w:jc w:val="center"/>
              <w:rPr>
                <w:rFonts w:ascii="Calibri" w:hAnsi="Calibri" w:cs="Calibri"/>
                <w:color w:val="000000"/>
                <w:sz w:val="22"/>
                <w:szCs w:val="22"/>
              </w:rPr>
            </w:pPr>
            <w:r w:rsidRPr="004D25A0">
              <w:rPr>
                <w:rFonts w:ascii="Calibri" w:hAnsi="Calibri" w:cs="Calibri"/>
                <w:color w:val="000000"/>
                <w:sz w:val="22"/>
                <w:szCs w:val="22"/>
              </w:rPr>
              <w:t>-10.10</w:t>
            </w:r>
          </w:p>
        </w:tc>
      </w:tr>
    </w:tbl>
    <w:p w:rsidR="00BF6FA9" w:rsidRDefault="00BF6FA9" w:rsidP="00BF6FA9">
      <w:pPr>
        <w:spacing w:line="480" w:lineRule="auto"/>
        <w:rPr>
          <w:b/>
        </w:rPr>
      </w:pPr>
    </w:p>
    <w:p w:rsidR="00BF6FA9" w:rsidRPr="00035B96" w:rsidRDefault="00035B96" w:rsidP="00BF6FA9">
      <w:pPr>
        <w:spacing w:line="480" w:lineRule="auto"/>
      </w:pPr>
      <w:r>
        <w:tab/>
        <w:t xml:space="preserve">Table 1.6 shows that only Ultisols showed a significant change in SOC (P&lt;0.05). That change, </w:t>
      </w:r>
      <w:r w:rsidR="00BF6FA9">
        <w:t xml:space="preserve">however, was a decrease in SOC by roughly 10%. Taxonomy did not contribute </w:t>
      </w:r>
      <w:r w:rsidR="00227FF9">
        <w:t>meaningful results</w:t>
      </w:r>
      <w:r w:rsidR="00BF6FA9">
        <w:t xml:space="preserve"> for determining soil organic carbon dynamics for the duration of this study.</w:t>
      </w:r>
    </w:p>
    <w:p w:rsidR="00F24219" w:rsidRPr="0072044F"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rPr>
      </w:pPr>
      <w:r w:rsidRPr="0072044F">
        <w:rPr>
          <w:b/>
          <w:i/>
        </w:rPr>
        <w:t>Bulk Density Changes</w:t>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F24219" w:rsidRDefault="00F24219" w:rsidP="00265C65">
      <w:pPr>
        <w:spacing w:line="480" w:lineRule="auto"/>
      </w:pPr>
      <w:r>
        <w:tab/>
        <w:t>The bulk density increase</w:t>
      </w:r>
      <w:r w:rsidR="00C47C91">
        <w:t>d from 2008 to 2011 (Figure 1.8</w:t>
      </w:r>
      <w:r>
        <w:t>). Most of the increase occurred in the first year. The increase in bulk density could be a result of the disturbance</w:t>
      </w:r>
      <w:r w:rsidR="005B05B5">
        <w:t xml:space="preserve"> caused by land use changes</w:t>
      </w:r>
      <w:r>
        <w:t xml:space="preserve">. No significant relationship was observed between SOC content and bulk density over the </w:t>
      </w:r>
      <w:r w:rsidR="00C47C91">
        <w:t>length of the study (Figure 1.9</w:t>
      </w:r>
      <w:r>
        <w:t xml:space="preserve">). </w:t>
      </w:r>
    </w:p>
    <w:p w:rsidR="00F24219" w:rsidRPr="008A6E1D" w:rsidRDefault="00F24219" w:rsidP="00265C65">
      <w:pPr>
        <w:spacing w:line="480" w:lineRule="auto"/>
        <w:ind w:firstLine="720"/>
      </w:pPr>
      <w:r>
        <w:rPr>
          <w:noProof/>
        </w:rPr>
        <w:t xml:space="preserve">As mentioned before the sites in this study were largely unmanaged prior to switchgrass production. The sites were low producing sites and degraded land put into the </w:t>
      </w:r>
      <w:r>
        <w:rPr>
          <w:noProof/>
        </w:rPr>
        <w:lastRenderedPageBreak/>
        <w:t xml:space="preserve">program in order to observe switchgrass production capabilities on degraded land. This fact accounts for the increase in bulk density. Therefore the only real change we are observing is bulk density due to the compaction of </w:t>
      </w:r>
      <w:r w:rsidR="005B05B5">
        <w:rPr>
          <w:noProof/>
        </w:rPr>
        <w:t>land use change</w:t>
      </w:r>
      <w:r>
        <w:rPr>
          <w:noProof/>
        </w:rPr>
        <w:t xml:space="preserve"> on these farms.</w:t>
      </w:r>
      <w:r w:rsidR="005B05B5">
        <w:rPr>
          <w:noProof/>
        </w:rPr>
        <w:t xml:space="preserve"> </w:t>
      </w:r>
    </w:p>
    <w:p w:rsidR="00F24219" w:rsidRDefault="005B05B5"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r>
        <w:rPr>
          <w:noProof/>
        </w:rPr>
        <w:drawing>
          <wp:inline distT="0" distB="0" distL="0" distR="0" wp14:anchorId="5137CF43" wp14:editId="5467FBC0">
            <wp:extent cx="5486400" cy="291465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noProof/>
        </w:rPr>
      </w:pPr>
    </w:p>
    <w:p w:rsidR="00F24219" w:rsidRPr="00F50786"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noProof/>
        </w:rPr>
      </w:pPr>
      <w:r w:rsidRPr="00F50786">
        <w:rPr>
          <w:b/>
          <w:noProof/>
        </w:rPr>
        <w:t>Figure</w:t>
      </w:r>
      <w:r w:rsidR="00C47C91">
        <w:rPr>
          <w:b/>
          <w:noProof/>
        </w:rPr>
        <w:t xml:space="preserve"> 1.8</w:t>
      </w:r>
      <w:r w:rsidRPr="00F50786">
        <w:rPr>
          <w:b/>
          <w:noProof/>
        </w:rPr>
        <w:t xml:space="preserve"> Bulk Density</w:t>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p>
    <w:p w:rsidR="00F24219" w:rsidRDefault="005B05B5"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r>
        <w:rPr>
          <w:noProof/>
        </w:rPr>
        <w:drawing>
          <wp:inline distT="0" distB="0" distL="0" distR="0" wp14:anchorId="1C0E1257" wp14:editId="1E5D7BD6">
            <wp:extent cx="5609230" cy="2538484"/>
            <wp:effectExtent l="0" t="0" r="10795" b="1460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p>
    <w:p w:rsidR="00F24219" w:rsidRDefault="00C47C91"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noProof/>
        </w:rPr>
      </w:pPr>
      <w:r>
        <w:rPr>
          <w:b/>
          <w:noProof/>
        </w:rPr>
        <w:t>Figure 1.9</w:t>
      </w:r>
      <w:r w:rsidR="00F24219">
        <w:rPr>
          <w:b/>
          <w:noProof/>
        </w:rPr>
        <w:t xml:space="preserve"> Bulk Density versus Percent SOC</w:t>
      </w:r>
    </w:p>
    <w:p w:rsidR="00C47C91" w:rsidRDefault="00C47C91" w:rsidP="00C47C91">
      <w:pPr>
        <w:rPr>
          <w:noProof/>
        </w:rPr>
      </w:pPr>
    </w:p>
    <w:p w:rsidR="00187B76" w:rsidRPr="00C47C91" w:rsidRDefault="00F24219" w:rsidP="00C47C91">
      <w:pPr>
        <w:rPr>
          <w:noProof/>
        </w:rPr>
      </w:pPr>
      <w:r>
        <w:rPr>
          <w:noProof/>
        </w:rPr>
        <w:t xml:space="preserve"> </w:t>
      </w:r>
      <w:r>
        <w:rPr>
          <w:noProof/>
        </w:rPr>
        <w:tab/>
        <w:t xml:space="preserve"> </w:t>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r>
        <w:rPr>
          <w:b/>
          <w:i/>
          <w:noProof/>
        </w:rPr>
        <w:lastRenderedPageBreak/>
        <w:t>Final Conclusions</w:t>
      </w:r>
    </w:p>
    <w:p w:rsidR="00F24219" w:rsidRDefault="00F24219" w:rsidP="00265C65">
      <w:pPr>
        <w:rPr>
          <w:noProof/>
        </w:rPr>
      </w:pPr>
      <w:r>
        <w:rPr>
          <w:noProof/>
        </w:rPr>
        <w:tab/>
      </w:r>
    </w:p>
    <w:p w:rsidR="001F199F" w:rsidRDefault="00F24219" w:rsidP="001F199F">
      <w:pPr>
        <w:spacing w:line="480" w:lineRule="auto"/>
        <w:ind w:firstLine="720"/>
        <w:rPr>
          <w:noProof/>
        </w:rPr>
      </w:pPr>
      <w:r>
        <w:rPr>
          <w:noProof/>
        </w:rPr>
        <w:tab/>
        <w:t xml:space="preserve">Comparisons across multiple variables lead to inconclusive and erratic results, threrfore no meaningful relationships between variables could be determined. This is likely due to the length of the study. The study was initiated in 2008 and was completed in 2011. Because the switchgrass was planted in 2007 the system was not able to equilibriate to the point of beginning to see significant changes and patterns in SOC storage. The lack of conclusive increases in SOC within the first four years of switchgrass establishment in East Tennessee must be noted when assessing switchgrasses sustainability over its lifetime.  </w:t>
      </w:r>
    </w:p>
    <w:p w:rsidR="00F24219" w:rsidRDefault="001F199F" w:rsidP="001F199F">
      <w:pPr>
        <w:spacing w:line="480" w:lineRule="auto"/>
        <w:ind w:firstLine="720"/>
        <w:rPr>
          <w:noProof/>
        </w:rPr>
      </w:pPr>
      <w:r>
        <w:rPr>
          <w:bCs/>
          <w:szCs w:val="28"/>
        </w:rPr>
        <w:t xml:space="preserve">One factor of concern was the calculation of bulk SOC that is often if not always used in reporting SOC in literature. </w:t>
      </w:r>
      <w:r w:rsidRPr="00A166A4">
        <w:rPr>
          <w:noProof/>
        </w:rPr>
        <w:t>Theoretically as soil organic carbon increases bulk density should decrease due the aggragation effects of soil organic matter (SOM). The same analysis done above using SOC stock (kg ha</w:t>
      </w:r>
      <w:r w:rsidRPr="00A166A4">
        <w:rPr>
          <w:noProof/>
          <w:vertAlign w:val="superscript"/>
        </w:rPr>
        <w:t>-1</w:t>
      </w:r>
      <w:r w:rsidRPr="00A166A4">
        <w:rPr>
          <w:noProof/>
        </w:rPr>
        <w:t xml:space="preserve">) rather than percent SOC would </w:t>
      </w:r>
      <w:r>
        <w:rPr>
          <w:noProof/>
        </w:rPr>
        <w:t>produce</w:t>
      </w:r>
      <w:r w:rsidRPr="00A166A4">
        <w:rPr>
          <w:noProof/>
        </w:rPr>
        <w:t xml:space="preserve"> different results. As mentioned one would expect that as SOC increases bulk density would decrease, but when calculated using SOC stocks the effect is opposite.. Bulk density for this study was not taken at every sampling point and depth. Therefore the bulk density applied to determine SOC stock was an average bulk density over those samples taken at a given depth and year. The resulting assumption is that bulk density is fairly uniform across sampling sites. Even if that case could be made there still lies a problem in comparing changes in SOC on a stock basis. One such problem is if the percent SOC is decreasing and the bulk density is increasing calculation for SOC stock shows an increase. The results then</w:t>
      </w:r>
      <w:r>
        <w:rPr>
          <w:noProof/>
        </w:rPr>
        <w:t>,</w:t>
      </w:r>
      <w:r w:rsidRPr="00A166A4">
        <w:rPr>
          <w:noProof/>
        </w:rPr>
        <w:t xml:space="preserve"> just explain a change in bulk density and not an </w:t>
      </w:r>
      <w:r w:rsidRPr="00A166A4">
        <w:rPr>
          <w:noProof/>
        </w:rPr>
        <w:lastRenderedPageBreak/>
        <w:t>actual increase in SOC.</w:t>
      </w:r>
      <w:r>
        <w:rPr>
          <w:noProof/>
        </w:rPr>
        <w:t xml:space="preserve"> </w:t>
      </w:r>
      <w:r>
        <w:t xml:space="preserve"> These are assumptions that cannot be made and therefore these systems cannot in good science be compared on any specific level. It also leads me to question the legitimacy of calculations of bulk SOC published in literature.</w:t>
      </w:r>
    </w:p>
    <w:p w:rsidR="00EA3F60" w:rsidRDefault="00EA3F60" w:rsidP="00EA3F60">
      <w:pPr>
        <w:spacing w:line="480" w:lineRule="auto"/>
        <w:ind w:firstLine="720"/>
        <w:rPr>
          <w:bCs/>
          <w:szCs w:val="28"/>
        </w:rPr>
      </w:pPr>
      <w:r>
        <w:t xml:space="preserve">From the objectives we were able to point out some factors that must be addressed when measuring changes in SOC. The assumption was that there would be evident changes in SOC storage over the four year experiment. This proved to be an inaccurate assumption. Four years may not be enough time to allow the system to equilibrate and begin to see the actual effects of the change in cropping system from conventional cropping to bioenergy production. The major differences between treatments were initial SOC content and not necessarily the treatment themselves. </w:t>
      </w:r>
      <w:r>
        <w:rPr>
          <w:bCs/>
          <w:szCs w:val="28"/>
        </w:rPr>
        <w:t xml:space="preserve">Scientists have found converting land from conventional agriculture to grasslands builds soil organic matter on a decadal time-scale rather than on annual time-scales </w:t>
      </w:r>
      <w:r>
        <w:rPr>
          <w:bCs/>
          <w:noProof/>
          <w:szCs w:val="28"/>
        </w:rPr>
        <w:t>(McLauchlan et al., 2006)</w:t>
      </w:r>
      <w:r>
        <w:rPr>
          <w:bCs/>
          <w:szCs w:val="28"/>
        </w:rPr>
        <w:t>.</w:t>
      </w:r>
      <w:r w:rsidRPr="00C0338A">
        <w:rPr>
          <w:bCs/>
          <w:szCs w:val="28"/>
        </w:rPr>
        <w:t xml:space="preserve"> Combining data found in this study with a study conducted on the same area in 10 to15 years would be more thorough and conclusive in determining true system carbon changes.</w:t>
      </w:r>
    </w:p>
    <w:p w:rsidR="00F24219" w:rsidRDefault="00F24219" w:rsidP="00265C65">
      <w:pPr>
        <w:spacing w:line="480" w:lineRule="auto"/>
        <w:rPr>
          <w:noProof/>
        </w:rPr>
      </w:pPr>
      <w:r>
        <w:rPr>
          <w:noProof/>
        </w:rPr>
        <w:tab/>
        <w:t xml:space="preserve"> </w:t>
      </w:r>
    </w:p>
    <w:p w:rsidR="00F24219" w:rsidRPr="008A6E1D" w:rsidRDefault="00F24219" w:rsidP="00265C65">
      <w:pPr>
        <w:rPr>
          <w:noProof/>
        </w:rPr>
      </w:pPr>
      <w:r>
        <w:rPr>
          <w:noProof/>
        </w:rPr>
        <w:tab/>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p>
    <w:p w:rsidR="00F24219" w:rsidRPr="007339CB"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rPr>
      </w:pPr>
    </w:p>
    <w:p w:rsidR="00F24219" w:rsidRPr="005E7A5C"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rPr>
      </w:pPr>
    </w:p>
    <w:p w:rsidR="00F24219" w:rsidRPr="00C0338A"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24219" w:rsidRDefault="00F24219" w:rsidP="00F24219">
      <w:pPr>
        <w:jc w:val="center"/>
        <w:rPr>
          <w:b/>
        </w:rPr>
      </w:pPr>
      <w:r w:rsidRPr="00C0338A">
        <w:br w:type="page"/>
      </w:r>
      <w:r w:rsidRPr="00F24219">
        <w:rPr>
          <w:b/>
        </w:rPr>
        <w:lastRenderedPageBreak/>
        <w:t>REFERENCES</w:t>
      </w:r>
    </w:p>
    <w:p w:rsidR="00F24219" w:rsidRPr="00F24219" w:rsidRDefault="00F24219" w:rsidP="007A5150">
      <w:pPr>
        <w:spacing w:line="480" w:lineRule="auto"/>
        <w:jc w:val="center"/>
        <w:rPr>
          <w:b/>
        </w:rPr>
      </w:pPr>
    </w:p>
    <w:p w:rsidR="00F24219" w:rsidRDefault="00F24219" w:rsidP="007A5150">
      <w:pPr>
        <w:spacing w:line="480" w:lineRule="auto"/>
        <w:ind w:left="720" w:hanging="720"/>
        <w:rPr>
          <w:noProof/>
        </w:rPr>
      </w:pPr>
      <w:bookmarkStart w:id="3" w:name="_ENREF_2_1"/>
      <w:r>
        <w:rPr>
          <w:noProof/>
        </w:rPr>
        <w:t>Adler P.R., Del Grosso S.J., Parton W.J. (2007) Life-cycle assessment of net greenhouse-gas flux for bioenergy cropping systems. Ecological Applications 17:675-691.</w:t>
      </w:r>
      <w:bookmarkEnd w:id="3"/>
    </w:p>
    <w:p w:rsidR="00F24219" w:rsidRDefault="00F24219" w:rsidP="007A5150">
      <w:pPr>
        <w:spacing w:line="480" w:lineRule="auto"/>
        <w:ind w:left="720" w:hanging="720"/>
        <w:rPr>
          <w:noProof/>
        </w:rPr>
      </w:pPr>
      <w:bookmarkStart w:id="4" w:name="_ENREF_2_3"/>
      <w:r>
        <w:rPr>
          <w:noProof/>
        </w:rPr>
        <w:t>Blanco-Canqui H. (2010) Energy Crops and Their Implications on Soil and Environment. Agronomy Journal 102:403-419. DOI: DOI 10.2134/agronj2009.0333.</w:t>
      </w:r>
      <w:bookmarkEnd w:id="4"/>
    </w:p>
    <w:p w:rsidR="00F24219" w:rsidRDefault="00F24219" w:rsidP="007A5150">
      <w:pPr>
        <w:spacing w:line="480" w:lineRule="auto"/>
        <w:ind w:left="720" w:hanging="720"/>
        <w:rPr>
          <w:noProof/>
        </w:rPr>
      </w:pPr>
      <w:bookmarkStart w:id="5" w:name="_ENREF_2_5"/>
      <w:r>
        <w:rPr>
          <w:noProof/>
        </w:rPr>
        <w:t>Bransby D.I., McLaughlin S.B., Parrish D.J. (1998) A review of carbon and nitrogen balances in switchgrass grown for energy. Biomass &amp; Bioenergy 14:379-384.</w:t>
      </w:r>
      <w:bookmarkEnd w:id="5"/>
    </w:p>
    <w:p w:rsidR="00F24219" w:rsidRDefault="00F24219" w:rsidP="007A5150">
      <w:pPr>
        <w:spacing w:line="480" w:lineRule="auto"/>
        <w:ind w:left="720" w:hanging="720"/>
        <w:rPr>
          <w:noProof/>
        </w:rPr>
      </w:pPr>
      <w:bookmarkStart w:id="6" w:name="_ENREF_2_6"/>
      <w:r>
        <w:rPr>
          <w:noProof/>
        </w:rPr>
        <w:t>Causarano H.J., Franzluebbers A.J., Reeves D.W., Shaw J.N. (2006) Soil organic carbon sequestration in cotton production systems of the southeastern United States: A review. Journal of Environmental Quality 35:1374-1383. DOI: Doi 10.2134/Jeq2005.0150.</w:t>
      </w:r>
      <w:bookmarkEnd w:id="6"/>
    </w:p>
    <w:p w:rsidR="00F24219" w:rsidRDefault="00F24219" w:rsidP="007A5150">
      <w:pPr>
        <w:spacing w:line="480" w:lineRule="auto"/>
        <w:ind w:left="720" w:hanging="720"/>
        <w:rPr>
          <w:noProof/>
        </w:rPr>
      </w:pPr>
      <w:bookmarkStart w:id="7" w:name="_ENREF_2_8"/>
      <w:r>
        <w:rPr>
          <w:noProof/>
        </w:rPr>
        <w:t>Dane J.H., Topp G.C., Campbell G.S., Soil Science Society of America. (2002) Methods of soil analysis. Part 4, Physical methods Soil Science Society of America, Madison, Wis.</w:t>
      </w:r>
      <w:bookmarkEnd w:id="7"/>
    </w:p>
    <w:p w:rsidR="00F24219" w:rsidRDefault="00F24219" w:rsidP="007A5150">
      <w:pPr>
        <w:spacing w:line="480" w:lineRule="auto"/>
        <w:ind w:left="720" w:hanging="720"/>
        <w:rPr>
          <w:noProof/>
        </w:rPr>
      </w:pPr>
      <w:bookmarkStart w:id="8" w:name="_ENREF_2_10"/>
      <w:r>
        <w:rPr>
          <w:noProof/>
        </w:rPr>
        <w:t>Follett R.F. (2010) Symposium: Soil Carbon Sequestration and Greenhouse Gas Mitigation. Soil Science Society of America Journal 74:345-346. DOI: DOI 10.2136/sssaj2009.cseqghgsymp.intro.</w:t>
      </w:r>
      <w:bookmarkEnd w:id="8"/>
    </w:p>
    <w:p w:rsidR="00F24219" w:rsidRDefault="00F24219" w:rsidP="007A5150">
      <w:pPr>
        <w:spacing w:line="480" w:lineRule="auto"/>
        <w:ind w:left="720" w:hanging="720"/>
        <w:rPr>
          <w:noProof/>
        </w:rPr>
      </w:pPr>
      <w:bookmarkStart w:id="9" w:name="_ENREF_2_11"/>
      <w:r>
        <w:rPr>
          <w:noProof/>
        </w:rPr>
        <w:t>Frank A.B., Berdahl J.D., Hanson J.D., Liebig M.A., Johnson H.A. (2004) Biomass and carbon partitioning in switchgrass. Crop Science 44:1391-1396.</w:t>
      </w:r>
      <w:bookmarkEnd w:id="9"/>
    </w:p>
    <w:p w:rsidR="00F24219" w:rsidRDefault="00F24219" w:rsidP="007A5150">
      <w:pPr>
        <w:spacing w:line="480" w:lineRule="auto"/>
        <w:ind w:left="720" w:hanging="720"/>
        <w:rPr>
          <w:noProof/>
        </w:rPr>
      </w:pPr>
      <w:bookmarkStart w:id="10" w:name="_ENREF_2_12"/>
      <w:r>
        <w:rPr>
          <w:noProof/>
        </w:rPr>
        <w:t>Franzluebbers A.J. (2010) Achieving Soil Organic Carbon Sequestration with Conservation Agricultural Systems in the Southeastern United States. Soil Science Society of America Journal 74:347-357. DOI: 10.2136/sssaj2009.0079.</w:t>
      </w:r>
      <w:bookmarkEnd w:id="10"/>
    </w:p>
    <w:p w:rsidR="00F24219" w:rsidRDefault="00F24219" w:rsidP="007A5150">
      <w:pPr>
        <w:spacing w:line="480" w:lineRule="auto"/>
        <w:ind w:left="720" w:hanging="720"/>
        <w:rPr>
          <w:noProof/>
        </w:rPr>
      </w:pPr>
      <w:bookmarkStart w:id="11" w:name="_ENREF_2_15"/>
      <w:r>
        <w:rPr>
          <w:noProof/>
        </w:rPr>
        <w:lastRenderedPageBreak/>
        <w:t>Halvorson A.D., Wienhold B.J., Black A.L. (2002) Tillage, nitrogen, and cropping system effects on soil carbon sequestration. Soil Science Society of America Journal 66:906-912.</w:t>
      </w:r>
      <w:bookmarkEnd w:id="11"/>
    </w:p>
    <w:p w:rsidR="00F24219" w:rsidRDefault="00F24219" w:rsidP="007A5150">
      <w:pPr>
        <w:spacing w:line="480" w:lineRule="auto"/>
        <w:ind w:left="720" w:hanging="720"/>
        <w:rPr>
          <w:noProof/>
        </w:rPr>
      </w:pPr>
      <w:bookmarkStart w:id="12" w:name="_ENREF_2_19"/>
      <w:r>
        <w:rPr>
          <w:noProof/>
        </w:rPr>
        <w:t>Jobbagy E.G., Jackson R.B. (2000) The vertical distribution of soil organic carbon and its relation to climate and vegetation. Ecological Applications 10:423-436.</w:t>
      </w:r>
      <w:bookmarkEnd w:id="12"/>
    </w:p>
    <w:p w:rsidR="00F24219" w:rsidRDefault="00F24219" w:rsidP="007A5150">
      <w:pPr>
        <w:spacing w:line="480" w:lineRule="auto"/>
        <w:ind w:left="720" w:hanging="720"/>
        <w:rPr>
          <w:noProof/>
        </w:rPr>
      </w:pPr>
      <w:bookmarkStart w:id="13" w:name="_ENREF_2_20"/>
      <w:r>
        <w:rPr>
          <w:noProof/>
        </w:rPr>
        <w:t>Jones M.B., Donnelly A. (2004) Carbon sequestration in temperate grassland ecosystems and the influence of management, climate and elevated CO2. New Phytologist 164:423-439. DOI: DOI 10.1111/j.1469-8137.2004.01201.x.</w:t>
      </w:r>
      <w:bookmarkEnd w:id="13"/>
    </w:p>
    <w:p w:rsidR="00F24219" w:rsidRDefault="00F24219" w:rsidP="007A5150">
      <w:pPr>
        <w:spacing w:line="480" w:lineRule="auto"/>
        <w:ind w:left="720" w:hanging="720"/>
        <w:rPr>
          <w:noProof/>
        </w:rPr>
      </w:pPr>
      <w:bookmarkStart w:id="14" w:name="_ENREF_2_21"/>
      <w:r>
        <w:rPr>
          <w:noProof/>
        </w:rPr>
        <w:t>Lal R. (2004) Soil carbon sequestration impacts on global climate change and food security. Science 304:1623-1627.</w:t>
      </w:r>
      <w:bookmarkEnd w:id="14"/>
    </w:p>
    <w:p w:rsidR="00F24219" w:rsidRDefault="00F24219" w:rsidP="007A5150">
      <w:pPr>
        <w:spacing w:line="480" w:lineRule="auto"/>
        <w:ind w:left="720" w:hanging="720"/>
        <w:rPr>
          <w:noProof/>
        </w:rPr>
      </w:pPr>
      <w:bookmarkStart w:id="15" w:name="_ENREF_2_23"/>
      <w:r>
        <w:rPr>
          <w:noProof/>
        </w:rPr>
        <w:t>Lemus R., Lal R. (2005) Bioenergy crops and carbon sequestration. Critical Reviews in Plant Sciences 24:1-21. DOI: Doi 10.1080/07352680590910393.</w:t>
      </w:r>
      <w:bookmarkEnd w:id="15"/>
    </w:p>
    <w:p w:rsidR="00F24219" w:rsidRDefault="00F24219" w:rsidP="007A5150">
      <w:pPr>
        <w:spacing w:line="480" w:lineRule="auto"/>
        <w:ind w:left="720" w:hanging="720"/>
        <w:rPr>
          <w:noProof/>
        </w:rPr>
      </w:pPr>
      <w:bookmarkStart w:id="16" w:name="_ENREF_2_24"/>
      <w:r>
        <w:rPr>
          <w:noProof/>
        </w:rPr>
        <w:t>Liebig M.A., Johnson H.A., Hanson J.D., Frank A.B. (2005) Soil carbon under switchgrass stands and cultivated cropland. Biomass &amp; Bioenergy 28:347-354. DOI: DOI 10.1016/j.biombioe.2004.11.004.</w:t>
      </w:r>
      <w:bookmarkEnd w:id="16"/>
    </w:p>
    <w:p w:rsidR="00F24219" w:rsidRDefault="00F24219" w:rsidP="007A5150">
      <w:pPr>
        <w:spacing w:line="480" w:lineRule="auto"/>
        <w:ind w:left="720" w:hanging="720"/>
        <w:rPr>
          <w:noProof/>
        </w:rPr>
      </w:pPr>
      <w:bookmarkStart w:id="17" w:name="_ENREF_2_27"/>
      <w:r>
        <w:rPr>
          <w:noProof/>
        </w:rPr>
        <w:t>McConkey B.G., Liang B.C., Campbell C.A., Curtin D., Moulin A., Brandt S.A., Lafond G.P. (2003) Crop rotation and tillage impact on carbon sequestration in Canadian prairie soils. Soil &amp; Tillage Research 74:81-90. DOI: 10.1016/s0167-1987(03)00121-1.</w:t>
      </w:r>
      <w:bookmarkEnd w:id="17"/>
    </w:p>
    <w:p w:rsidR="00377CA2" w:rsidRDefault="00377CA2" w:rsidP="007A5150">
      <w:pPr>
        <w:spacing w:line="480" w:lineRule="auto"/>
        <w:ind w:left="720" w:hanging="720"/>
        <w:rPr>
          <w:noProof/>
        </w:rPr>
      </w:pPr>
      <w:r>
        <w:rPr>
          <w:noProof/>
        </w:rPr>
        <w:t>McLauchlan, K.K. (2006) Effects of soil texture on soil carbon and nitrogen dynamics after cessation of agriculture. Geoderma 136:289-299. DOI10.1016/j.geoderma.2006.03.053</w:t>
      </w:r>
    </w:p>
    <w:p w:rsidR="001F199F" w:rsidRDefault="001F199F" w:rsidP="001F199F">
      <w:pPr>
        <w:spacing w:line="480" w:lineRule="auto"/>
        <w:ind w:left="720" w:hanging="720"/>
        <w:rPr>
          <w:noProof/>
        </w:rPr>
      </w:pPr>
      <w:r>
        <w:rPr>
          <w:noProof/>
        </w:rPr>
        <w:lastRenderedPageBreak/>
        <w:t>McLauchlan K.K., Hobbie S.E., Post W.M. (2006) Conversion From Agriculture To Grassland Builds Soil Organic Matter On Decadal Timescales. Ecological Applications 16:143-153. DOI: 10.1890/04-1650.</w:t>
      </w:r>
    </w:p>
    <w:p w:rsidR="00F24219" w:rsidRDefault="00F24219" w:rsidP="007A5150">
      <w:pPr>
        <w:spacing w:line="480" w:lineRule="auto"/>
        <w:ind w:left="720" w:hanging="720"/>
        <w:rPr>
          <w:noProof/>
        </w:rPr>
      </w:pPr>
      <w:bookmarkStart w:id="18" w:name="_ENREF_2_29"/>
      <w:r>
        <w:rPr>
          <w:noProof/>
        </w:rPr>
        <w:t>McLaughlin S.B., Walsh M.E. (1998) Evaluating environmental consequences of producing herbaceous crops for bioenergy. Biomass &amp; Bioenergy 14:317-324. DOI: 10.1016/s0961-9534(97)10066-6.</w:t>
      </w:r>
      <w:bookmarkEnd w:id="18"/>
    </w:p>
    <w:p w:rsidR="00F24219" w:rsidRDefault="00F24219" w:rsidP="007A5150">
      <w:pPr>
        <w:spacing w:line="480" w:lineRule="auto"/>
        <w:ind w:left="720" w:hanging="720"/>
        <w:rPr>
          <w:noProof/>
        </w:rPr>
      </w:pPr>
      <w:bookmarkStart w:id="19" w:name="_ENREF_2_30"/>
      <w:r>
        <w:rPr>
          <w:noProof/>
        </w:rPr>
        <w:t>McLaughlin S.B., Kszos L.A. (2005) Development of switchgrass (Panicum virgatum) as a bioenergy feedstock in the United States. Biomass &amp; Bioenergy 28:515-535. DOI: DOI 10.1016/j.biombioe.2004.05.006.</w:t>
      </w:r>
      <w:bookmarkEnd w:id="19"/>
    </w:p>
    <w:p w:rsidR="00F24219" w:rsidRDefault="00F24219" w:rsidP="007A5150">
      <w:pPr>
        <w:spacing w:line="480" w:lineRule="auto"/>
        <w:ind w:left="720" w:hanging="720"/>
        <w:rPr>
          <w:noProof/>
        </w:rPr>
      </w:pPr>
      <w:bookmarkStart w:id="20" w:name="_ENREF_2_31"/>
      <w:r>
        <w:rPr>
          <w:noProof/>
        </w:rPr>
        <w:t>Post W.M., Kwon K.C. (2000) Soil carbon sequestration and land-use change: processes and potential. Global Change Biology 6:317-327.</w:t>
      </w:r>
      <w:bookmarkEnd w:id="20"/>
    </w:p>
    <w:p w:rsidR="00317FAE" w:rsidRDefault="00317FAE" w:rsidP="00317FAE">
      <w:pPr>
        <w:spacing w:line="480" w:lineRule="auto"/>
        <w:ind w:left="720" w:hanging="720"/>
        <w:rPr>
          <w:noProof/>
        </w:rPr>
      </w:pPr>
      <w:r>
        <w:rPr>
          <w:noProof/>
        </w:rPr>
        <w:t>SAS Institute, Inc. 2008. SAS 9.2 Cary, NC.</w:t>
      </w:r>
    </w:p>
    <w:p w:rsidR="00F24219" w:rsidRDefault="00F24219" w:rsidP="007A5150">
      <w:pPr>
        <w:spacing w:line="480" w:lineRule="auto"/>
        <w:ind w:left="720" w:hanging="720"/>
        <w:rPr>
          <w:noProof/>
        </w:rPr>
      </w:pPr>
      <w:bookmarkStart w:id="21" w:name="_ENREF_2_37"/>
      <w:r>
        <w:rPr>
          <w:noProof/>
        </w:rPr>
        <w:t>Searchinger T., Heimlich R., Houghton R.A., Dong F.X., Elobeid A., Fabiosa J., Tokgoz S., Hayes D., Yu T.H. (2008) Use of US croplands for biofuels increases greenhouse gases through emissions from land-use change. Science 319:1238-1240. DOI: 10.1126/science.1151861.</w:t>
      </w:r>
      <w:bookmarkEnd w:id="21"/>
    </w:p>
    <w:p w:rsidR="00F24219" w:rsidRDefault="00F24219" w:rsidP="007A5150">
      <w:pPr>
        <w:spacing w:line="480" w:lineRule="auto"/>
        <w:ind w:left="720" w:hanging="720"/>
        <w:rPr>
          <w:noProof/>
        </w:rPr>
      </w:pPr>
      <w:bookmarkStart w:id="22" w:name="_ENREF_2_38"/>
      <w:r>
        <w:rPr>
          <w:noProof/>
        </w:rPr>
        <w:t>Sparks D.L., Soil Science Society of America., American Society of Agronomy. (1996) Methods of soil analysis. Part 3, Chemical methods Soil Science Society of America : American Society of Agronomy, Madison, Wis.</w:t>
      </w:r>
      <w:bookmarkEnd w:id="22"/>
    </w:p>
    <w:p w:rsidR="00F24219" w:rsidRDefault="00F24219" w:rsidP="007A5150">
      <w:pPr>
        <w:spacing w:line="480" w:lineRule="auto"/>
        <w:ind w:left="720" w:hanging="720"/>
        <w:rPr>
          <w:noProof/>
        </w:rPr>
      </w:pPr>
      <w:bookmarkStart w:id="23" w:name="_ENREF_2_39"/>
      <w:r>
        <w:rPr>
          <w:noProof/>
        </w:rPr>
        <w:t>Tilman D., Hill J., Lehman C. (2006) Carbon-negative biofuels from low-input high-diversity grassland biomass. Science 314:1598-1600. DOI: DOI 10.1126/science.1133306.</w:t>
      </w:r>
      <w:bookmarkEnd w:id="23"/>
    </w:p>
    <w:p w:rsidR="00F24219" w:rsidRDefault="00F24219" w:rsidP="007A5150">
      <w:pPr>
        <w:spacing w:line="480" w:lineRule="auto"/>
        <w:ind w:left="720" w:hanging="720"/>
        <w:rPr>
          <w:noProof/>
        </w:rPr>
      </w:pPr>
      <w:bookmarkStart w:id="24" w:name="_ENREF_2_40"/>
      <w:r>
        <w:rPr>
          <w:noProof/>
        </w:rPr>
        <w:lastRenderedPageBreak/>
        <w:t>Tolbert V.R., Todd D.E., Mann L.K., Jawdy C.M., Mays D.A., Malik R., Bandaranayake W., Houston A., Tyler D., Pettry D.E. (2002) Changes in soil quality and below-ground carbon storage with conversion of traditional agricultural crop lands to bioenergy crop production. Environmental Pollution 116:S97-S106. DOI: 10.1016/s0269-7491(01)00262-7.</w:t>
      </w:r>
      <w:bookmarkEnd w:id="24"/>
    </w:p>
    <w:p w:rsidR="00F24219" w:rsidRDefault="00F24219" w:rsidP="007A5150">
      <w:pPr>
        <w:spacing w:line="480" w:lineRule="auto"/>
        <w:ind w:left="720" w:hanging="720"/>
        <w:rPr>
          <w:noProof/>
        </w:rPr>
      </w:pPr>
      <w:bookmarkStart w:id="25" w:name="_ENREF_2_43"/>
      <w:r>
        <w:rPr>
          <w:noProof/>
        </w:rPr>
        <w:t>USEPA. (2010) Agricultural practices and forestry practices that sequester carbon and reduce other greenhouse gas emissions.</w:t>
      </w:r>
      <w:bookmarkEnd w:id="25"/>
    </w:p>
    <w:p w:rsidR="00F24219" w:rsidRDefault="00F24219" w:rsidP="007A5150">
      <w:pPr>
        <w:spacing w:line="480" w:lineRule="auto"/>
        <w:ind w:left="720" w:hanging="720"/>
        <w:rPr>
          <w:noProof/>
        </w:rPr>
      </w:pPr>
      <w:bookmarkStart w:id="26" w:name="_ENREF_2_45"/>
      <w:r>
        <w:rPr>
          <w:noProof/>
        </w:rPr>
        <w:t>Walsh M.E., Ugarte D.G.D., Shapouri H., Slinsky S.P. (2003) Bioenergy crop production in the United States - Potential quantities, land use changes, and economic impacts on the agricultural sector. Environmental &amp; Resource Economics 24:313-333. DOI: 10.1023/a:1023625519092.</w:t>
      </w:r>
      <w:bookmarkEnd w:id="26"/>
    </w:p>
    <w:p w:rsidR="00F24219" w:rsidRDefault="00F24219" w:rsidP="007A5150">
      <w:pPr>
        <w:spacing w:line="480" w:lineRule="auto"/>
        <w:ind w:left="720" w:hanging="720"/>
        <w:rPr>
          <w:noProof/>
        </w:rPr>
      </w:pPr>
      <w:bookmarkStart w:id="27" w:name="_ENREF_2_47"/>
      <w:r>
        <w:rPr>
          <w:noProof/>
        </w:rPr>
        <w:t>Zan C.S., Fyles J.W., Girouard P., Samson R.A. (2001) Carbon sequestration in perennial bioenergy, annual corn and uncultivated systems in southern Quebec. Agriculture Ecosystems &amp; Environment 86:135-144.</w:t>
      </w:r>
      <w:bookmarkEnd w:id="27"/>
    </w:p>
    <w:p w:rsidR="00F24219" w:rsidRDefault="00F24219" w:rsidP="00265C65">
      <w:pPr>
        <w:jc w:val="center"/>
        <w:rPr>
          <w:noProof/>
        </w:rPr>
      </w:pPr>
    </w:p>
    <w:p w:rsidR="00F24219" w:rsidRDefault="00F24219" w:rsidP="00265C65">
      <w:pPr>
        <w:spacing w:line="480" w:lineRule="auto"/>
        <w:ind w:left="720" w:hangingChars="300" w:hanging="720"/>
        <w:jc w:val="center"/>
        <w:rPr>
          <w:b/>
        </w:rPr>
      </w:pPr>
      <w:r>
        <w:br w:type="page"/>
      </w:r>
      <w:r>
        <w:rPr>
          <w:b/>
        </w:rPr>
        <w:lastRenderedPageBreak/>
        <w:t>APPENDIX</w:t>
      </w:r>
    </w:p>
    <w:p w:rsidR="00F24219" w:rsidRPr="00F50786" w:rsidRDefault="001F199F" w:rsidP="00265C65">
      <w:pPr>
        <w:spacing w:line="480" w:lineRule="auto"/>
        <w:jc w:val="both"/>
        <w:rPr>
          <w:b/>
        </w:rPr>
      </w:pPr>
      <w:r>
        <w:rPr>
          <w:b/>
        </w:rPr>
        <w:t>Table 1.7</w:t>
      </w:r>
      <w:r w:rsidR="00F24219" w:rsidRPr="00F50786">
        <w:rPr>
          <w:b/>
        </w:rPr>
        <w:t xml:space="preserve"> </w:t>
      </w:r>
      <w:r w:rsidR="00F24219">
        <w:rPr>
          <w:b/>
        </w:rPr>
        <w:t>Bulk Density by year and depth</w:t>
      </w:r>
    </w:p>
    <w:tbl>
      <w:tblPr>
        <w:tblW w:w="9581" w:type="dxa"/>
        <w:tblInd w:w="93" w:type="dxa"/>
        <w:tblLook w:val="04A0" w:firstRow="1" w:lastRow="0" w:firstColumn="1" w:lastColumn="0" w:noHBand="0" w:noVBand="1"/>
      </w:tblPr>
      <w:tblGrid>
        <w:gridCol w:w="1693"/>
        <w:gridCol w:w="892"/>
        <w:gridCol w:w="892"/>
        <w:gridCol w:w="892"/>
        <w:gridCol w:w="1126"/>
        <w:gridCol w:w="1362"/>
        <w:gridCol w:w="1362"/>
        <w:gridCol w:w="1362"/>
      </w:tblGrid>
      <w:tr w:rsidR="00F24219" w:rsidTr="00265C65">
        <w:trPr>
          <w:trHeight w:val="300"/>
        </w:trPr>
        <w:tc>
          <w:tcPr>
            <w:tcW w:w="9581" w:type="dxa"/>
            <w:gridSpan w:val="8"/>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F24219" w:rsidRDefault="00F24219">
            <w:pPr>
              <w:jc w:val="center"/>
              <w:rPr>
                <w:b/>
                <w:bCs/>
                <w:color w:val="000000"/>
                <w:sz w:val="22"/>
                <w:szCs w:val="22"/>
              </w:rPr>
            </w:pPr>
            <w:r>
              <w:rPr>
                <w:b/>
                <w:bCs/>
                <w:color w:val="000000"/>
                <w:sz w:val="22"/>
                <w:szCs w:val="22"/>
              </w:rPr>
              <w:t>Bulk Density 2008</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DEPTH</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0-2"</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2-4"</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4-6"</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6-12"</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12-24"</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24-36"</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36-48"</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MEAN</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1.13</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1.18</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1.22</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1.19</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1.57</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1.41</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1.39</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STDEV(±)</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0.11</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0.10</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0.09</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0.12</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0.30</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0.42</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0.39</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COUNT</w:t>
            </w:r>
          </w:p>
        </w:tc>
        <w:tc>
          <w:tcPr>
            <w:tcW w:w="892" w:type="dxa"/>
            <w:tcBorders>
              <w:top w:val="nil"/>
              <w:left w:val="nil"/>
              <w:bottom w:val="nil"/>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71</w:t>
            </w:r>
          </w:p>
        </w:tc>
        <w:tc>
          <w:tcPr>
            <w:tcW w:w="892" w:type="dxa"/>
            <w:tcBorders>
              <w:top w:val="nil"/>
              <w:left w:val="nil"/>
              <w:bottom w:val="nil"/>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68</w:t>
            </w:r>
          </w:p>
        </w:tc>
        <w:tc>
          <w:tcPr>
            <w:tcW w:w="892" w:type="dxa"/>
            <w:tcBorders>
              <w:top w:val="nil"/>
              <w:left w:val="nil"/>
              <w:bottom w:val="nil"/>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71</w:t>
            </w:r>
          </w:p>
        </w:tc>
        <w:tc>
          <w:tcPr>
            <w:tcW w:w="1126" w:type="dxa"/>
            <w:tcBorders>
              <w:top w:val="nil"/>
              <w:left w:val="nil"/>
              <w:bottom w:val="nil"/>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70</w:t>
            </w:r>
          </w:p>
        </w:tc>
        <w:tc>
          <w:tcPr>
            <w:tcW w:w="1362" w:type="dxa"/>
            <w:tcBorders>
              <w:top w:val="nil"/>
              <w:left w:val="nil"/>
              <w:bottom w:val="nil"/>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44</w:t>
            </w:r>
          </w:p>
        </w:tc>
        <w:tc>
          <w:tcPr>
            <w:tcW w:w="1362" w:type="dxa"/>
            <w:tcBorders>
              <w:top w:val="nil"/>
              <w:left w:val="nil"/>
              <w:bottom w:val="nil"/>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42</w:t>
            </w:r>
          </w:p>
        </w:tc>
        <w:tc>
          <w:tcPr>
            <w:tcW w:w="1362" w:type="dxa"/>
            <w:tcBorders>
              <w:top w:val="single" w:sz="4" w:space="0" w:color="auto"/>
              <w:left w:val="nil"/>
              <w:bottom w:val="nil"/>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36</w:t>
            </w:r>
          </w:p>
        </w:tc>
      </w:tr>
      <w:tr w:rsidR="00F24219" w:rsidTr="00265C65">
        <w:trPr>
          <w:trHeight w:val="300"/>
        </w:trPr>
        <w:tc>
          <w:tcPr>
            <w:tcW w:w="9581" w:type="dxa"/>
            <w:gridSpan w:val="8"/>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F24219" w:rsidRDefault="00F24219">
            <w:pPr>
              <w:jc w:val="center"/>
              <w:rPr>
                <w:b/>
                <w:bCs/>
                <w:color w:val="000000"/>
                <w:sz w:val="22"/>
                <w:szCs w:val="22"/>
              </w:rPr>
            </w:pPr>
            <w:r>
              <w:rPr>
                <w:b/>
                <w:bCs/>
                <w:color w:val="000000"/>
                <w:sz w:val="22"/>
                <w:szCs w:val="22"/>
              </w:rPr>
              <w:t>Bulk Density 2009</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DEPTH</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0-2"</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2-4"</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4-6"</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6-12"</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12-24"</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24-36"</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36-48"</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MEAN</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1.38</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1.47</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1.53</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1.53</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1.77</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1.62</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1.66</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STDEV(±)</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0.25</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0.19</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0.22</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0.15</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0.25</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0.11</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0.14</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COUNT</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74</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79</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76</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76</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10</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11</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4</w:t>
            </w:r>
          </w:p>
        </w:tc>
      </w:tr>
      <w:tr w:rsidR="00F24219" w:rsidTr="00265C65">
        <w:trPr>
          <w:trHeight w:val="300"/>
        </w:trPr>
        <w:tc>
          <w:tcPr>
            <w:tcW w:w="9581" w:type="dxa"/>
            <w:gridSpan w:val="8"/>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F24219" w:rsidRDefault="00F24219">
            <w:pPr>
              <w:jc w:val="center"/>
              <w:rPr>
                <w:b/>
                <w:bCs/>
                <w:color w:val="000000"/>
                <w:sz w:val="22"/>
                <w:szCs w:val="22"/>
              </w:rPr>
            </w:pPr>
            <w:r>
              <w:rPr>
                <w:b/>
                <w:bCs/>
                <w:color w:val="000000"/>
                <w:sz w:val="22"/>
                <w:szCs w:val="22"/>
              </w:rPr>
              <w:t>Bulk Density 2010</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DEPTH</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0-2"</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2-4"</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4-6"</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6-12"</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12-24"</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24-36"</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36-48"</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MEAN</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1.30</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1.41</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1.42</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1.46</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1.53</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1.64</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1.57</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STDEV(±)</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0.15</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0.12</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0.12</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0.18</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0.24</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0.42</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0.29</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COUNT</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31</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32</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46</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45</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24</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21</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22</w:t>
            </w:r>
          </w:p>
        </w:tc>
      </w:tr>
      <w:tr w:rsidR="00F24219" w:rsidTr="00265C65">
        <w:trPr>
          <w:trHeight w:val="300"/>
        </w:trPr>
        <w:tc>
          <w:tcPr>
            <w:tcW w:w="9581" w:type="dxa"/>
            <w:gridSpan w:val="8"/>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F24219" w:rsidRDefault="00F24219">
            <w:pPr>
              <w:jc w:val="center"/>
              <w:rPr>
                <w:b/>
                <w:bCs/>
                <w:color w:val="000000"/>
                <w:sz w:val="22"/>
                <w:szCs w:val="22"/>
              </w:rPr>
            </w:pPr>
            <w:r>
              <w:rPr>
                <w:b/>
                <w:bCs/>
                <w:color w:val="000000"/>
                <w:sz w:val="22"/>
                <w:szCs w:val="22"/>
              </w:rPr>
              <w:t>Bulk Density 2011</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DEPTH</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0-2"</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2-4"</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4-6"</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6-12"</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12-24"</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24-36"</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36-48"</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MEAN</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1.36</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1.40</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1.42</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1.45</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1.62</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1.65</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1.61</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STDEV(±)</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0.23</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0.17</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0.14</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0.14</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0.12</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0.11</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0.11</w:t>
            </w:r>
          </w:p>
        </w:tc>
      </w:tr>
      <w:tr w:rsidR="00F24219" w:rsidTr="00265C65">
        <w:trPr>
          <w:trHeight w:val="300"/>
        </w:trPr>
        <w:tc>
          <w:tcPr>
            <w:tcW w:w="1693" w:type="dxa"/>
            <w:tcBorders>
              <w:top w:val="nil"/>
              <w:left w:val="single" w:sz="4" w:space="0" w:color="auto"/>
              <w:bottom w:val="single" w:sz="4" w:space="0" w:color="auto"/>
              <w:right w:val="nil"/>
            </w:tcBorders>
            <w:shd w:val="clear" w:color="000000" w:fill="BFBFBF"/>
            <w:noWrap/>
            <w:vAlign w:val="bottom"/>
            <w:hideMark/>
          </w:tcPr>
          <w:p w:rsidR="00F24219" w:rsidRDefault="00F24219">
            <w:pPr>
              <w:jc w:val="center"/>
              <w:rPr>
                <w:color w:val="000000"/>
                <w:sz w:val="22"/>
                <w:szCs w:val="22"/>
              </w:rPr>
            </w:pPr>
            <w:r>
              <w:rPr>
                <w:color w:val="000000"/>
                <w:sz w:val="22"/>
                <w:szCs w:val="22"/>
              </w:rPr>
              <w:t>COUNT</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32</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36</w:t>
            </w:r>
          </w:p>
        </w:tc>
        <w:tc>
          <w:tcPr>
            <w:tcW w:w="89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38</w:t>
            </w:r>
          </w:p>
        </w:tc>
        <w:tc>
          <w:tcPr>
            <w:tcW w:w="1126"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40</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22</w:t>
            </w:r>
          </w:p>
        </w:tc>
        <w:tc>
          <w:tcPr>
            <w:tcW w:w="1362" w:type="dxa"/>
            <w:tcBorders>
              <w:top w:val="nil"/>
              <w:left w:val="nil"/>
              <w:bottom w:val="single" w:sz="4" w:space="0" w:color="auto"/>
              <w:right w:val="nil"/>
            </w:tcBorders>
            <w:shd w:val="clear" w:color="auto" w:fill="auto"/>
            <w:noWrap/>
            <w:vAlign w:val="bottom"/>
            <w:hideMark/>
          </w:tcPr>
          <w:p w:rsidR="00F24219" w:rsidRDefault="00F24219">
            <w:pPr>
              <w:jc w:val="center"/>
              <w:rPr>
                <w:color w:val="000000"/>
                <w:sz w:val="22"/>
                <w:szCs w:val="22"/>
              </w:rPr>
            </w:pPr>
            <w:r>
              <w:rPr>
                <w:color w:val="000000"/>
                <w:sz w:val="22"/>
                <w:szCs w:val="22"/>
              </w:rPr>
              <w:t>23</w:t>
            </w:r>
          </w:p>
        </w:tc>
        <w:tc>
          <w:tcPr>
            <w:tcW w:w="1362"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color w:val="000000"/>
                <w:sz w:val="22"/>
                <w:szCs w:val="22"/>
              </w:rPr>
            </w:pPr>
            <w:r>
              <w:rPr>
                <w:color w:val="000000"/>
                <w:sz w:val="22"/>
                <w:szCs w:val="22"/>
              </w:rPr>
              <w:t>16</w:t>
            </w:r>
          </w:p>
        </w:tc>
      </w:tr>
    </w:tbl>
    <w:p w:rsidR="00F24219" w:rsidRDefault="00F24219" w:rsidP="00265C65">
      <w:pPr>
        <w:spacing w:line="480" w:lineRule="auto"/>
        <w:jc w:val="both"/>
      </w:pPr>
    </w:p>
    <w:p w:rsidR="00F24219" w:rsidRPr="00C0338A" w:rsidRDefault="001F199F" w:rsidP="00265C65">
      <w:pPr>
        <w:spacing w:line="480" w:lineRule="auto"/>
      </w:pPr>
      <w:r>
        <w:t>Complete SOC inventory from 2008-2011 data collection is on file.</w:t>
      </w:r>
    </w:p>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Pr="00C0338A" w:rsidRDefault="00F24219" w:rsidP="00265C65"/>
    <w:p w:rsidR="00F24219" w:rsidRDefault="00F24219" w:rsidP="00265C65"/>
    <w:p w:rsidR="001F199F" w:rsidRDefault="001F199F" w:rsidP="00265C65"/>
    <w:p w:rsidR="001F199F" w:rsidRDefault="001F199F" w:rsidP="00265C65"/>
    <w:p w:rsidR="001F199F" w:rsidRDefault="001F199F" w:rsidP="00265C65"/>
    <w:p w:rsidR="001F199F" w:rsidRDefault="001F199F" w:rsidP="00265C65"/>
    <w:p w:rsidR="001F199F" w:rsidRDefault="001F199F" w:rsidP="00265C65"/>
    <w:p w:rsidR="001F199F" w:rsidRDefault="001F199F" w:rsidP="00265C65"/>
    <w:p w:rsidR="001F199F" w:rsidRDefault="001F199F" w:rsidP="00265C65"/>
    <w:p w:rsidR="001F199F" w:rsidRDefault="001F199F" w:rsidP="00265C65"/>
    <w:p w:rsidR="001F199F" w:rsidRDefault="001F199F" w:rsidP="00265C65"/>
    <w:p w:rsidR="001F199F" w:rsidRPr="00C0338A" w:rsidRDefault="001F199F" w:rsidP="00265C65"/>
    <w:p w:rsidR="00F24219" w:rsidRDefault="00F24219" w:rsidP="00265C65"/>
    <w:p w:rsidR="001F199F" w:rsidRDefault="001F199F" w:rsidP="00265C65"/>
    <w:p w:rsidR="001F199F" w:rsidRPr="00C0338A" w:rsidRDefault="001F199F" w:rsidP="00265C65"/>
    <w:p w:rsidR="00F24219" w:rsidRPr="00C0338A" w:rsidRDefault="00F24219" w:rsidP="00265C65"/>
    <w:p w:rsidR="00F24219" w:rsidRPr="003E3ABA" w:rsidRDefault="00F24219" w:rsidP="00265C65">
      <w:pPr>
        <w:jc w:val="center"/>
        <w:rPr>
          <w:b/>
          <w:sz w:val="28"/>
        </w:rPr>
      </w:pPr>
      <w:r w:rsidRPr="003E3ABA">
        <w:rPr>
          <w:b/>
          <w:sz w:val="28"/>
        </w:rPr>
        <w:t>CHAPTER II:</w:t>
      </w:r>
    </w:p>
    <w:p w:rsidR="00F24219" w:rsidRPr="00C0338A" w:rsidRDefault="00F24219" w:rsidP="00265C65">
      <w:pPr>
        <w:numPr>
          <w:ilvl w:val="12"/>
          <w:numId w:val="0"/>
        </w:numPr>
        <w:jc w:val="center"/>
        <w:rPr>
          <w:b/>
          <w:sz w:val="28"/>
          <w:szCs w:val="28"/>
        </w:rPr>
      </w:pPr>
      <w:r w:rsidRPr="00C0338A">
        <w:rPr>
          <w:b/>
          <w:sz w:val="28"/>
          <w:szCs w:val="28"/>
        </w:rPr>
        <w:t>CARBON DIOXIDE FLUX FROM SOILS IN SWITCHGRASS PRODUCTION</w:t>
      </w:r>
    </w:p>
    <w:p w:rsidR="00F24219" w:rsidRPr="00C0338A" w:rsidRDefault="00F24219" w:rsidP="00265C65">
      <w:pPr>
        <w:pStyle w:val="Heading2"/>
        <w:rPr>
          <w:rFonts w:ascii="Times New Roman" w:hAnsi="Times New Roman" w:cs="Times New Roman"/>
        </w:rPr>
      </w:pPr>
      <w:r w:rsidRPr="00C0338A">
        <w:rPr>
          <w:rFonts w:ascii="Times New Roman" w:hAnsi="Times New Roman" w:cs="Times New Roman"/>
        </w:rPr>
        <w:br w:type="page"/>
      </w:r>
      <w:r w:rsidRPr="00C0338A">
        <w:rPr>
          <w:rFonts w:ascii="Times New Roman" w:hAnsi="Times New Roman" w:cs="Times New Roman"/>
        </w:rPr>
        <w:lastRenderedPageBreak/>
        <w:t>Abstract</w:t>
      </w:r>
    </w:p>
    <w:p w:rsidR="00F24219" w:rsidRPr="00C0338A" w:rsidRDefault="00F24219" w:rsidP="00265C65">
      <w:pPr>
        <w:numPr>
          <w:ilvl w:val="12"/>
          <w:numId w:val="0"/>
        </w:numPr>
        <w:jc w:val="center"/>
        <w:rPr>
          <w:highlight w:val="yellow"/>
        </w:rPr>
      </w:pPr>
    </w:p>
    <w:p w:rsidR="00F24219" w:rsidRPr="003A7AA4" w:rsidRDefault="003A7AA4" w:rsidP="00265C65">
      <w:pPr>
        <w:numPr>
          <w:ilvl w:val="12"/>
          <w:numId w:val="0"/>
        </w:numPr>
      </w:pPr>
      <w:r>
        <w:t>The objectives of this study were to1) measure and observe annual, seasonal, and daily soil CO</w:t>
      </w:r>
      <w:r>
        <w:rPr>
          <w:vertAlign w:val="subscript"/>
        </w:rPr>
        <w:t>2</w:t>
      </w:r>
      <w:r>
        <w:t xml:space="preserve"> flux from switchgrass produced for biofuel feedstock and 2) combine this information with the SOC results from Chapter 1i</w:t>
      </w:r>
      <w:r w:rsidR="00295A82">
        <w:t>n order to better understand the overall carbon lifecycle</w:t>
      </w:r>
      <w:r>
        <w:t>.</w:t>
      </w:r>
      <w:r w:rsidR="009B3F78">
        <w:t xml:space="preserve"> Measurements were taken hourly from June 1, 2010 to August 18, 2011using LICOR LI-8100 long-term chambers. As hypothesized, soil temperature and moisture had a significant influence on CO</w:t>
      </w:r>
      <w:r w:rsidR="009B3F78">
        <w:rPr>
          <w:vertAlign w:val="subscript"/>
        </w:rPr>
        <w:t>2</w:t>
      </w:r>
      <w:r w:rsidR="009B3F78">
        <w:t xml:space="preserve"> flux variance. Soil temperature and soil moisture were able to explain 83% and 81.5% of variance in flux from clumps (cover) and between clumps (bare) respectively. The summer months exhibited the highest flux rate followed by spring, fall, and finally winter due to the favorable conditions for microbial metabolism in the warm summer months. Although largely overlooked in previous resea</w:t>
      </w:r>
      <w:r w:rsidR="001F199F">
        <w:t>rch, the winter months (mid Dec to mid Mar</w:t>
      </w:r>
      <w:r w:rsidR="009B3F78">
        <w:t>) did contribute 5.4 MgCO</w:t>
      </w:r>
      <w:r w:rsidR="009B3F78">
        <w:rPr>
          <w:vertAlign w:val="subscript"/>
        </w:rPr>
        <w:t>2</w:t>
      </w:r>
      <w:r w:rsidR="009B3F78">
        <w:t xml:space="preserve"> ha</w:t>
      </w:r>
      <w:r w:rsidR="009B3F78">
        <w:rPr>
          <w:vertAlign w:val="superscript"/>
        </w:rPr>
        <w:t>-1</w:t>
      </w:r>
      <w:r w:rsidR="009B3F78">
        <w:t xml:space="preserve"> season</w:t>
      </w:r>
      <w:r w:rsidR="009B3F78">
        <w:rPr>
          <w:vertAlign w:val="superscript"/>
        </w:rPr>
        <w:t>-1</w:t>
      </w:r>
      <w:r w:rsidR="009B3F78">
        <w:t xml:space="preserve"> (±2.5</w:t>
      </w:r>
      <w:r w:rsidR="009B3F78" w:rsidRPr="009B3F78">
        <w:t xml:space="preserve"> </w:t>
      </w:r>
      <w:r w:rsidR="009B3F78">
        <w:t>MgCO</w:t>
      </w:r>
      <w:r w:rsidR="009B3F78">
        <w:rPr>
          <w:vertAlign w:val="subscript"/>
        </w:rPr>
        <w:t>2</w:t>
      </w:r>
      <w:r w:rsidR="009B3F78">
        <w:t xml:space="preserve"> ha</w:t>
      </w:r>
      <w:r w:rsidR="009B3F78">
        <w:rPr>
          <w:vertAlign w:val="superscript"/>
        </w:rPr>
        <w:t>-1</w:t>
      </w:r>
      <w:r w:rsidR="009B3F78">
        <w:t xml:space="preserve"> season</w:t>
      </w:r>
      <w:r w:rsidR="001F199F">
        <w:rPr>
          <w:vertAlign w:val="superscript"/>
        </w:rPr>
        <w:t>-</w:t>
      </w:r>
      <w:r w:rsidR="009B3F78">
        <w:rPr>
          <w:vertAlign w:val="superscript"/>
        </w:rPr>
        <w:t>1</w:t>
      </w:r>
      <w:r w:rsidR="009B3F78">
        <w:t>) from clumps (cover) and 4.0 MgCO</w:t>
      </w:r>
      <w:r w:rsidR="009B3F78">
        <w:rPr>
          <w:vertAlign w:val="subscript"/>
        </w:rPr>
        <w:t>2</w:t>
      </w:r>
      <w:r w:rsidR="009B3F78">
        <w:t xml:space="preserve"> ha</w:t>
      </w:r>
      <w:r w:rsidR="009B3F78">
        <w:rPr>
          <w:vertAlign w:val="superscript"/>
        </w:rPr>
        <w:t>-1</w:t>
      </w:r>
      <w:r w:rsidR="009B3F78">
        <w:t xml:space="preserve"> season</w:t>
      </w:r>
      <w:r w:rsidR="009B3F78">
        <w:rPr>
          <w:vertAlign w:val="superscript"/>
        </w:rPr>
        <w:t>-1</w:t>
      </w:r>
      <w:r w:rsidR="009B3F78">
        <w:t xml:space="preserve"> (±3.2 MgCO</w:t>
      </w:r>
      <w:r w:rsidR="009B3F78">
        <w:rPr>
          <w:vertAlign w:val="subscript"/>
        </w:rPr>
        <w:t>2</w:t>
      </w:r>
      <w:r w:rsidR="009B3F78">
        <w:t xml:space="preserve"> ha</w:t>
      </w:r>
      <w:r w:rsidR="009B3F78">
        <w:rPr>
          <w:vertAlign w:val="superscript"/>
        </w:rPr>
        <w:t>-1</w:t>
      </w:r>
      <w:r w:rsidR="009B3F78">
        <w:t xml:space="preserve"> season</w:t>
      </w:r>
      <w:r w:rsidR="009B3F78">
        <w:rPr>
          <w:vertAlign w:val="superscript"/>
        </w:rPr>
        <w:t>-1</w:t>
      </w:r>
      <w:r>
        <w:t>) from between clumps (bare). The contribution of CO</w:t>
      </w:r>
      <w:r>
        <w:rPr>
          <w:vertAlign w:val="subscript"/>
        </w:rPr>
        <w:t>2</w:t>
      </w:r>
      <w:r>
        <w:t xml:space="preserve"> should not be overlooked when analyzing system contributions especially in the warmer Southeastern region. The objective of combining SOC data from Chapter 1 with CO</w:t>
      </w:r>
      <w:r>
        <w:rPr>
          <w:vertAlign w:val="subscript"/>
        </w:rPr>
        <w:t>2</w:t>
      </w:r>
      <w:r>
        <w:t xml:space="preserve"> data from this study became exceedingly difficult due to unresolvable complications involving the calculations of bulk SOC. Therefore the relationship will not be addresses in quantitative manner, but the problems will be presented.</w:t>
      </w:r>
    </w:p>
    <w:p w:rsidR="00F24219" w:rsidRPr="00C0338A" w:rsidRDefault="00F24219" w:rsidP="00265C65">
      <w:pPr>
        <w:numPr>
          <w:ilvl w:val="12"/>
          <w:numId w:val="0"/>
        </w:numPr>
      </w:pPr>
    </w:p>
    <w:p w:rsidR="00F24219" w:rsidRPr="00C0338A" w:rsidRDefault="00F24219" w:rsidP="00265C65">
      <w:pPr>
        <w:pStyle w:val="Heading2"/>
        <w:rPr>
          <w:rFonts w:ascii="Times New Roman" w:hAnsi="Times New Roman" w:cs="Times New Roman"/>
        </w:rPr>
      </w:pPr>
      <w:r w:rsidRPr="00C0338A">
        <w:rPr>
          <w:rFonts w:ascii="Times New Roman" w:hAnsi="Times New Roman" w:cs="Times New Roman"/>
        </w:rPr>
        <w:t>Introduction</w:t>
      </w:r>
    </w:p>
    <w:p w:rsidR="00F24219" w:rsidRPr="00C0338A" w:rsidRDefault="00F24219" w:rsidP="00265C65">
      <w:pPr>
        <w:numPr>
          <w:ilvl w:val="12"/>
          <w:numId w:val="0"/>
        </w:numPr>
        <w:jc w:val="center"/>
      </w:pPr>
    </w:p>
    <w:p w:rsidR="00F24219" w:rsidRDefault="00F24219" w:rsidP="00265C65">
      <w:pPr>
        <w:numPr>
          <w:ilvl w:val="12"/>
          <w:numId w:val="0"/>
        </w:numPr>
        <w:spacing w:line="480" w:lineRule="auto"/>
        <w:ind w:firstLine="720"/>
      </w:pPr>
      <w:r w:rsidRPr="003E3ABA">
        <w:t xml:space="preserve">It is estimated that soils store twice as much carbon than is atmospherically present contributing to ten times greater carbon loss through soil respiration than anthropogenic carbon dioxide production annually </w:t>
      </w:r>
      <w:r w:rsidRPr="003E3ABA">
        <w:rPr>
          <w:noProof/>
        </w:rPr>
        <w:t>(Dornbush and Raich, 2006)</w:t>
      </w:r>
      <w:r w:rsidRPr="003E3ABA">
        <w:t>.</w:t>
      </w:r>
      <w:r w:rsidRPr="00C0338A">
        <w:t xml:space="preserve"> Therefore, even slight changes in management practices can have a significant impact on atmospheric CO</w:t>
      </w:r>
      <w:r w:rsidRPr="00C0338A">
        <w:rPr>
          <w:vertAlign w:val="subscript"/>
        </w:rPr>
        <w:t>2</w:t>
      </w:r>
      <w:r w:rsidRPr="00C0338A">
        <w:t xml:space="preserve"> as well as on the soil system. Soil respiration, on a global scale, is contribute</w:t>
      </w:r>
      <w:r>
        <w:t>s an estimated</w:t>
      </w:r>
      <w:r w:rsidRPr="00C0338A">
        <w:t xml:space="preserve"> 10 to 30 times more CO</w:t>
      </w:r>
      <w:r w:rsidRPr="00C0338A">
        <w:rPr>
          <w:vertAlign w:val="subscript"/>
        </w:rPr>
        <w:t>2</w:t>
      </w:r>
      <w:r w:rsidRPr="00C0338A">
        <w:t xml:space="preserve"> </w:t>
      </w:r>
      <w:r>
        <w:t xml:space="preserve">to the atmosphere </w:t>
      </w:r>
      <w:r w:rsidRPr="00C0338A">
        <w:t>than burning fossil fuels</w:t>
      </w:r>
      <w:r>
        <w:t xml:space="preserve"> </w:t>
      </w:r>
      <w:r>
        <w:rPr>
          <w:noProof/>
        </w:rPr>
        <w:t>(Raich and Schlesinger, 1992)</w:t>
      </w:r>
      <w:r w:rsidRPr="00C0338A">
        <w:t xml:space="preserve">. This fact has </w:t>
      </w:r>
      <w:r>
        <w:t>precipitated an increased focus on research around</w:t>
      </w:r>
      <w:r w:rsidRPr="00C0338A">
        <w:t xml:space="preserve"> the contribution of CO</w:t>
      </w:r>
      <w:r w:rsidRPr="00C0338A">
        <w:rPr>
          <w:vertAlign w:val="subscript"/>
        </w:rPr>
        <w:t>2</w:t>
      </w:r>
      <w:r w:rsidRPr="00C0338A">
        <w:t xml:space="preserve"> from crops to global climate change. Although bioenergy cropping systems have the potential to help offset GHG emissions, quantifying the offset is difficult due to the complexity of GHG measurements</w:t>
      </w:r>
      <w:r>
        <w:t xml:space="preserve"> </w:t>
      </w:r>
      <w:r>
        <w:rPr>
          <w:noProof/>
        </w:rPr>
        <w:t>(Adler</w:t>
      </w:r>
      <w:r w:rsidRPr="00D74CD2">
        <w:rPr>
          <w:i/>
          <w:noProof/>
        </w:rPr>
        <w:t xml:space="preserve"> et al.</w:t>
      </w:r>
      <w:r>
        <w:rPr>
          <w:noProof/>
        </w:rPr>
        <w:t>, 2007)</w:t>
      </w:r>
      <w:r>
        <w:t xml:space="preserve">. </w:t>
      </w:r>
      <w:r>
        <w:lastRenderedPageBreak/>
        <w:t>Several scientists</w:t>
      </w:r>
      <w:r w:rsidRPr="00C0338A">
        <w:t xml:space="preserve"> are beginning to facilitate the collection of data to help quantify the GHG emission offset potential of switchgrass.</w:t>
      </w:r>
    </w:p>
    <w:p w:rsidR="00F24219" w:rsidRDefault="00F24219" w:rsidP="00265C65">
      <w:pPr>
        <w:numPr>
          <w:ilvl w:val="12"/>
          <w:numId w:val="0"/>
        </w:numPr>
        <w:spacing w:line="480" w:lineRule="auto"/>
        <w:ind w:firstLine="720"/>
      </w:pPr>
      <w:r>
        <w:t xml:space="preserve">During the past 250 years, global concentrations of carbon dioxide have increased by roughly 31% </w:t>
      </w:r>
      <w:r>
        <w:rPr>
          <w:noProof/>
        </w:rPr>
        <w:t>(IPCC, 2006)</w:t>
      </w:r>
      <w:r>
        <w:t xml:space="preserve">. Fuel consumption, land-use conversions, agriculture practices are all factors contributing to this increase in GHG in the atmosphere </w:t>
      </w:r>
      <w:r>
        <w:rPr>
          <w:noProof/>
        </w:rPr>
        <w:t>(USEPA, 2004)</w:t>
      </w:r>
      <w:r>
        <w:t>. IPCC (2006) ranks land use change as the second largest cause of GHG emissions to the atmosphere. Agriculture in the United States contributed 460 TgCO</w:t>
      </w:r>
      <w:r>
        <w:rPr>
          <w:vertAlign w:val="subscript"/>
        </w:rPr>
        <w:t>2</w:t>
      </w:r>
      <w:r>
        <w:t xml:space="preserve">-eq to the atmosphere in 2001 </w:t>
      </w:r>
      <w:r>
        <w:rPr>
          <w:noProof/>
        </w:rPr>
        <w:t>(USEPA, 2004)</w:t>
      </w:r>
      <w:r>
        <w:t>. This estimate includes the 15 TgCO</w:t>
      </w:r>
      <w:r>
        <w:rPr>
          <w:vertAlign w:val="subscript"/>
        </w:rPr>
        <w:t>2</w:t>
      </w:r>
      <w:r>
        <w:t xml:space="preserve">-eq offset from agriculture soil C-sequestration </w:t>
      </w:r>
      <w:r>
        <w:rPr>
          <w:noProof/>
        </w:rPr>
        <w:t>(USEPA, 2004)</w:t>
      </w:r>
      <w:r>
        <w:t>.</w:t>
      </w:r>
    </w:p>
    <w:p w:rsidR="00627E33" w:rsidRPr="00237A85" w:rsidRDefault="006D2EE3" w:rsidP="006D2EE3">
      <w:pPr>
        <w:numPr>
          <w:ilvl w:val="12"/>
          <w:numId w:val="0"/>
        </w:numPr>
        <w:spacing w:line="480" w:lineRule="auto"/>
        <w:ind w:firstLine="720"/>
      </w:pPr>
      <w:r>
        <w:t>In Chapter I</w:t>
      </w:r>
      <w:r w:rsidR="00D01BB5">
        <w:t>, we found</w:t>
      </w:r>
      <w:r w:rsidR="003E5725">
        <w:t xml:space="preserve"> no significant changes in SOC over the four year study. However we did find that although not significant increases in SOC there was a g</w:t>
      </w:r>
      <w:r w:rsidR="00D01BB5">
        <w:t>reater percentage of SOC gain</w:t>
      </w:r>
      <w:r w:rsidR="003E5725">
        <w:t xml:space="preserve"> from 60-120cm</w:t>
      </w:r>
      <w:r w:rsidR="00D01BB5">
        <w:t xml:space="preserve"> (about 30%) and a loss in the upper 30</w:t>
      </w:r>
      <w:r w:rsidR="003E5725">
        <w:t>cm</w:t>
      </w:r>
      <w:r w:rsidR="00D01BB5">
        <w:t xml:space="preserve"> (about 10%)</w:t>
      </w:r>
      <w:r w:rsidR="003E5725">
        <w:t>. In order to better quantify those losses and determine the overall CO</w:t>
      </w:r>
      <w:r w:rsidR="003E5725">
        <w:rPr>
          <w:vertAlign w:val="subscript"/>
        </w:rPr>
        <w:t>2</w:t>
      </w:r>
      <w:r w:rsidR="003E5725">
        <w:t xml:space="preserve"> flux of the system, we installed soil CO</w:t>
      </w:r>
      <w:r w:rsidR="003E5725">
        <w:rPr>
          <w:vertAlign w:val="subscript"/>
        </w:rPr>
        <w:t>2</w:t>
      </w:r>
      <w:r w:rsidR="003E5725">
        <w:t xml:space="preserve"> flux analyzers in switchgrass to observe </w:t>
      </w:r>
      <w:r w:rsidR="00D01BB5">
        <w:t xml:space="preserve">hourly and </w:t>
      </w:r>
      <w:r w:rsidR="003E5725">
        <w:t>daily CO</w:t>
      </w:r>
      <w:r w:rsidR="003E5725">
        <w:rPr>
          <w:vertAlign w:val="subscript"/>
        </w:rPr>
        <w:t>2</w:t>
      </w:r>
      <w:r>
        <w:t xml:space="preserve"> flux for an entire year. The objective of Chapter II</w:t>
      </w:r>
      <w:r w:rsidR="00627E33">
        <w:t xml:space="preserve"> was to 1) establish annual, seasonal, and daily respiration rates; and 2) use this data with soil organic carbon storage from chapter 1 to better understand the carbon life cycle.</w:t>
      </w:r>
    </w:p>
    <w:p w:rsidR="00F24219" w:rsidRDefault="003E5725" w:rsidP="00265C65">
      <w:pPr>
        <w:pStyle w:val="Heading2"/>
        <w:rPr>
          <w:rFonts w:ascii="Times New Roman" w:hAnsi="Times New Roman" w:cs="Times New Roman"/>
        </w:rPr>
      </w:pPr>
      <w:r>
        <w:rPr>
          <w:rFonts w:ascii="Times New Roman" w:hAnsi="Times New Roman" w:cs="Times New Roman"/>
        </w:rPr>
        <w:t>L</w:t>
      </w:r>
      <w:r w:rsidR="00F24219" w:rsidRPr="00C0338A">
        <w:rPr>
          <w:rFonts w:ascii="Times New Roman" w:hAnsi="Times New Roman" w:cs="Times New Roman"/>
        </w:rPr>
        <w:t>iterature Review</w:t>
      </w:r>
    </w:p>
    <w:p w:rsidR="00F24219" w:rsidRPr="00CF1774" w:rsidRDefault="00F24219" w:rsidP="00265C65"/>
    <w:p w:rsidR="00F24219" w:rsidRPr="00C0338A" w:rsidRDefault="00F24219" w:rsidP="00265C65">
      <w:pPr>
        <w:numPr>
          <w:ilvl w:val="12"/>
          <w:numId w:val="0"/>
        </w:numPr>
        <w:spacing w:line="480" w:lineRule="auto"/>
        <w:ind w:firstLine="720"/>
      </w:pPr>
      <w:r w:rsidRPr="00C0338A">
        <w:t>Soil respiration in the form of CO</w:t>
      </w:r>
      <w:r w:rsidRPr="00C0338A">
        <w:rPr>
          <w:vertAlign w:val="subscript"/>
        </w:rPr>
        <w:t>2</w:t>
      </w:r>
      <w:r w:rsidRPr="00C0338A">
        <w:t xml:space="preserve"> is produced by roots, soil organisms and to a lesser degree the</w:t>
      </w:r>
      <w:r>
        <w:t xml:space="preserve"> oxidation of carbon materials. </w:t>
      </w:r>
      <w:r w:rsidRPr="00914CCE">
        <w:t>CO</w:t>
      </w:r>
      <w:r w:rsidRPr="00914CCE">
        <w:rPr>
          <w:vertAlign w:val="subscript"/>
        </w:rPr>
        <w:t>2</w:t>
      </w:r>
      <w:r w:rsidRPr="00914CCE">
        <w:t xml:space="preserve"> moves in soil from sites of production to the atmosphere by diffusion through pores and crack in soil or by local changes in pressure due to wind or volumetric displacement by rain.</w:t>
      </w:r>
      <w:r>
        <w:t xml:space="preserve"> </w:t>
      </w:r>
      <w:r w:rsidRPr="00C0338A">
        <w:t xml:space="preserve">Soil autotrophic </w:t>
      </w:r>
      <w:r w:rsidRPr="00C0338A">
        <w:lastRenderedPageBreak/>
        <w:t xml:space="preserve">respiration by roots </w:t>
      </w:r>
      <w:r>
        <w:t>depends</w:t>
      </w:r>
      <w:r w:rsidRPr="00C0338A">
        <w:t xml:space="preserve"> on photosynthate supply and thus exhibits a strong diurnal pattern </w:t>
      </w:r>
      <w:r>
        <w:rPr>
          <w:noProof/>
        </w:rPr>
        <w:t>(Grahammer</w:t>
      </w:r>
      <w:r w:rsidRPr="00E07AB2">
        <w:rPr>
          <w:i/>
          <w:noProof/>
        </w:rPr>
        <w:t xml:space="preserve"> et al.</w:t>
      </w:r>
      <w:r>
        <w:rPr>
          <w:noProof/>
        </w:rPr>
        <w:t>, 1991)</w:t>
      </w:r>
      <w:r w:rsidRPr="00C0338A">
        <w:t>. Soil heterotrophic respiration by soil organisms results from the breakdown of cellulose, hemi-cellulose, proteins and lignin into low-molecular weight substances that are oxidized to CO</w:t>
      </w:r>
      <w:r w:rsidRPr="00C0338A">
        <w:rPr>
          <w:vertAlign w:val="subscript"/>
        </w:rPr>
        <w:t>2</w:t>
      </w:r>
      <w:r w:rsidRPr="00C0338A">
        <w:t xml:space="preserve"> to produce energy or cell growth. The rate of this breakdown is dependent on the quantity and quality of organic substances, efficiency and population of decomposer groups, and the soils physio-chemical state including soil temperature, moisture, oxygen, acidity, and redox potential </w:t>
      </w:r>
      <w:r>
        <w:t>(</w:t>
      </w:r>
      <w:hyperlink w:anchor="_ENREF_33" w:tooltip="Venterea, 2008 #664" w:history="1">
        <w:r w:rsidRPr="00CF1774">
          <w:rPr>
            <w:noProof/>
          </w:rPr>
          <w:t>Venterea and Baker, 2008</w:t>
        </w:r>
      </w:hyperlink>
      <w:r w:rsidRPr="00CF1774">
        <w:t>).</w:t>
      </w:r>
      <w:r w:rsidRPr="00C0338A">
        <w:t xml:space="preserve"> Studies have attempted to partition total soil surface flux into heterotrophic and autotrophic respiration with varying results due to its complexity and expense</w:t>
      </w:r>
      <w:r>
        <w:t xml:space="preserve"> </w:t>
      </w:r>
      <w:r>
        <w:rPr>
          <w:noProof/>
        </w:rPr>
        <w:t>(Bond-Lamberty</w:t>
      </w:r>
      <w:r w:rsidRPr="00B853B8">
        <w:rPr>
          <w:i/>
          <w:noProof/>
        </w:rPr>
        <w:t xml:space="preserve"> et al.</w:t>
      </w:r>
      <w:r>
        <w:rPr>
          <w:noProof/>
        </w:rPr>
        <w:t>, 2004)</w:t>
      </w:r>
      <w:r w:rsidRPr="00C0338A">
        <w:t>. Bond-Lamberty</w:t>
      </w:r>
      <w:r>
        <w:t xml:space="preserve"> </w:t>
      </w:r>
      <w:r>
        <w:rPr>
          <w:i/>
        </w:rPr>
        <w:t>et al.</w:t>
      </w:r>
      <w:r w:rsidRPr="00C0338A">
        <w:t xml:space="preserve"> (2004) found after reviewing literature from 54 forest sites that heterotrophic and autotrophic correlated with total soil surface CO</w:t>
      </w:r>
      <w:r w:rsidRPr="00C0338A">
        <w:rPr>
          <w:vertAlign w:val="subscript"/>
        </w:rPr>
        <w:t>2</w:t>
      </w:r>
      <w:r w:rsidRPr="00C0338A">
        <w:t xml:space="preserve"> flux. They found plant type, measurement method, mean annual temperature, soil drainage, and leaf habit were not able to indicate soil surface CO</w:t>
      </w:r>
      <w:r w:rsidRPr="00C0338A">
        <w:rPr>
          <w:vertAlign w:val="subscript"/>
        </w:rPr>
        <w:t>2</w:t>
      </w:r>
      <w:r w:rsidRPr="00C0338A">
        <w:t xml:space="preserve"> flux where heterotrophic and autotrophic soil respiration correlate significantly</w:t>
      </w:r>
      <w:r>
        <w:t xml:space="preserve"> </w:t>
      </w:r>
      <w:r>
        <w:rPr>
          <w:noProof/>
        </w:rPr>
        <w:t>(Bond-Lamberty</w:t>
      </w:r>
      <w:r w:rsidRPr="00E07AB2">
        <w:rPr>
          <w:i/>
          <w:noProof/>
        </w:rPr>
        <w:t xml:space="preserve"> et al.</w:t>
      </w:r>
      <w:r>
        <w:rPr>
          <w:noProof/>
        </w:rPr>
        <w:t>, 2004)</w:t>
      </w:r>
      <w:r w:rsidRPr="00C0338A">
        <w:t xml:space="preserve">. In this study, heterotrophic and autotrophic </w:t>
      </w:r>
      <w:r>
        <w:t>respiration was</w:t>
      </w:r>
      <w:r w:rsidRPr="00C0338A">
        <w:t xml:space="preserve"> not partitioned and only total soil surface CO</w:t>
      </w:r>
      <w:r w:rsidRPr="00C0338A">
        <w:rPr>
          <w:vertAlign w:val="subscript"/>
        </w:rPr>
        <w:t>2</w:t>
      </w:r>
      <w:r w:rsidRPr="00C0338A">
        <w:t xml:space="preserve"> flux will be addressed. </w:t>
      </w:r>
    </w:p>
    <w:p w:rsidR="00F24219" w:rsidRDefault="00F24219" w:rsidP="00265C65">
      <w:pPr>
        <w:numPr>
          <w:ilvl w:val="12"/>
          <w:numId w:val="0"/>
        </w:numPr>
        <w:spacing w:line="480" w:lineRule="auto"/>
        <w:ind w:firstLine="720"/>
      </w:pPr>
      <w:r>
        <w:t>Root respiration and microbial metabolism resulting in CO</w:t>
      </w:r>
      <w:r>
        <w:rPr>
          <w:vertAlign w:val="subscript"/>
        </w:rPr>
        <w:t>2</w:t>
      </w:r>
      <w:r>
        <w:t xml:space="preserve"> production depend on both soil temperature and moisture content. </w:t>
      </w:r>
      <w:r w:rsidRPr="00C0338A">
        <w:t xml:space="preserve">Extensive research has concluded that soil respiration rates are positively correlated with atmospheric temperature </w:t>
      </w:r>
      <w:r>
        <w:rPr>
          <w:noProof/>
        </w:rPr>
        <w:t>(Dornbush and Raich, 2006; Raich and Schlesinger, 1992; Wang et al., 2008)</w:t>
      </w:r>
      <w:r w:rsidRPr="00C0338A">
        <w:t xml:space="preserve"> and soil moisture </w:t>
      </w:r>
      <w:r>
        <w:rPr>
          <w:noProof/>
        </w:rPr>
        <w:t>(Bauer et al., 2008; Hernandez-Ramirez et al., 2009; Lee et al., 2007; Lloyd and Taylor, 1994; Raich and Potter, 1995; Sainju et al., 2010)</w:t>
      </w:r>
      <w:r w:rsidRPr="00C0338A">
        <w:t xml:space="preserve">. Increased soil temperature and soil moisture </w:t>
      </w:r>
      <w:r w:rsidRPr="00C0338A">
        <w:lastRenderedPageBreak/>
        <w:t xml:space="preserve">produces favorable conditions for microbial activity, thus increasing soil respiration. </w:t>
      </w:r>
      <w:r>
        <w:t xml:space="preserve">Lloyd and Taylor (1994) specifically pointed out temperature sensitivity of soil respiration can be described by a relationship where there is an increase in activation energy with decreasing temperature. Boone </w:t>
      </w:r>
      <w:r>
        <w:rPr>
          <w:i/>
        </w:rPr>
        <w:t>et al.</w:t>
      </w:r>
      <w:r>
        <w:t xml:space="preserve"> (1998) attributed this relationship to the sensitivity of oxidation of rhizosphere carbon and respiration by roots to temperature. Bauer </w:t>
      </w:r>
      <w:r>
        <w:rPr>
          <w:i/>
        </w:rPr>
        <w:t>et al.</w:t>
      </w:r>
      <w:r>
        <w:t xml:space="preserve"> (2008) found temperature reduction functions in six different models resulted in 6 to 7 times greater sensitivity of soil respiration than moisture reductions. However soil moisture must be noted as an important factor controlling soil respiration. Sainju </w:t>
      </w:r>
      <w:r>
        <w:rPr>
          <w:i/>
        </w:rPr>
        <w:t>et al.</w:t>
      </w:r>
      <w:r>
        <w:t xml:space="preserve"> (2010) found total soil CO</w:t>
      </w:r>
      <w:r>
        <w:rPr>
          <w:vertAlign w:val="subscript"/>
        </w:rPr>
        <w:t>2</w:t>
      </w:r>
      <w:r>
        <w:t xml:space="preserve"> flux averaged 29 to 50% greater on irrigated cropping systems versus un-irrigated cropping systems. Hernandez-Ramirez </w:t>
      </w:r>
      <w:r>
        <w:rPr>
          <w:i/>
        </w:rPr>
        <w:t>et al.</w:t>
      </w:r>
      <w:r>
        <w:t xml:space="preserve"> (2009) found similar results with the greatest soil CO</w:t>
      </w:r>
      <w:r>
        <w:rPr>
          <w:vertAlign w:val="subscript"/>
        </w:rPr>
        <w:t xml:space="preserve">2 </w:t>
      </w:r>
      <w:r>
        <w:t>flux occurring immediately after rainfall events in the summer months. Both temperature and moisture readings were collected with CO</w:t>
      </w:r>
      <w:r>
        <w:rPr>
          <w:vertAlign w:val="subscript"/>
        </w:rPr>
        <w:t>2</w:t>
      </w:r>
      <w:r>
        <w:t xml:space="preserve"> flux readings in order to more comprehensively describe the environmental factors effecting flux in East Tennessee.</w:t>
      </w:r>
    </w:p>
    <w:p w:rsidR="00F24219" w:rsidRDefault="00F24219" w:rsidP="00265C65">
      <w:pPr>
        <w:numPr>
          <w:ilvl w:val="12"/>
          <w:numId w:val="0"/>
        </w:numPr>
        <w:spacing w:line="480" w:lineRule="auto"/>
        <w:ind w:firstLine="720"/>
      </w:pPr>
      <w:r>
        <w:t>Microbial metabolism is dependent on ample supply of nitrogen described by a C:N ratio between 25:1 and 40:1. The relationship between microbial metabolism and plant productivity with soil nitrogen would lead to the assumption that nitrogen application affects soil respiration. Several studies have observed the relationship of nitrogen fertilizer application and soil respiration. Raich and Schlesinger (1992) found that nitrogen fertilization did not increase CO</w:t>
      </w:r>
      <w:r>
        <w:rPr>
          <w:vertAlign w:val="subscript"/>
        </w:rPr>
        <w:t>2</w:t>
      </w:r>
      <w:r>
        <w:t xml:space="preserve"> flux from soils, but brought about rather ambiguous results. Hernandez-Ramirez </w:t>
      </w:r>
      <w:r>
        <w:rPr>
          <w:i/>
        </w:rPr>
        <w:t>et al.</w:t>
      </w:r>
      <w:r>
        <w:t xml:space="preserve"> (2009) found no differences in CO</w:t>
      </w:r>
      <w:r>
        <w:rPr>
          <w:vertAlign w:val="subscript"/>
        </w:rPr>
        <w:t>2</w:t>
      </w:r>
      <w:r>
        <w:t xml:space="preserve"> flux from fields receiving N –fertilization and those not receiving N-fertilization. Sainju </w:t>
      </w:r>
      <w:r>
        <w:rPr>
          <w:i/>
        </w:rPr>
        <w:t>et al.</w:t>
      </w:r>
      <w:r>
        <w:t xml:space="preserve"> </w:t>
      </w:r>
      <w:r>
        <w:lastRenderedPageBreak/>
        <w:t>(2010) found that N-fertilization actually reduced soil CO</w:t>
      </w:r>
      <w:r>
        <w:rPr>
          <w:vertAlign w:val="subscript"/>
        </w:rPr>
        <w:t>2</w:t>
      </w:r>
      <w:r>
        <w:t xml:space="preserve"> flux compared to no fertilization. Lee </w:t>
      </w:r>
      <w:r>
        <w:rPr>
          <w:i/>
        </w:rPr>
        <w:t>et al.</w:t>
      </w:r>
      <w:r>
        <w:t xml:space="preserve"> (2007) found that manure application increased soil CO</w:t>
      </w:r>
      <w:r>
        <w:rPr>
          <w:vertAlign w:val="subscript"/>
        </w:rPr>
        <w:t>2</w:t>
      </w:r>
      <w:r>
        <w:t xml:space="preserve"> production in switchgrass plots, but fertilization with NH</w:t>
      </w:r>
      <w:r>
        <w:rPr>
          <w:vertAlign w:val="subscript"/>
        </w:rPr>
        <w:t>4</w:t>
      </w:r>
      <w:r>
        <w:t>NO</w:t>
      </w:r>
      <w:r>
        <w:rPr>
          <w:vertAlign w:val="subscript"/>
        </w:rPr>
        <w:t>3</w:t>
      </w:r>
      <w:r>
        <w:t xml:space="preserve"> did not result in increased soil CO</w:t>
      </w:r>
      <w:r>
        <w:rPr>
          <w:vertAlign w:val="subscript"/>
        </w:rPr>
        <w:t>2</w:t>
      </w:r>
      <w:r>
        <w:t xml:space="preserve"> flux. The increased CO</w:t>
      </w:r>
      <w:r>
        <w:rPr>
          <w:vertAlign w:val="subscript"/>
        </w:rPr>
        <w:t>2</w:t>
      </w:r>
      <w:r>
        <w:t xml:space="preserve"> flux was attributed to the loss of carbon from the manure decomposition </w:t>
      </w:r>
      <w:r>
        <w:rPr>
          <w:noProof/>
        </w:rPr>
        <w:t>(Lee</w:t>
      </w:r>
      <w:r w:rsidRPr="00B13C48">
        <w:rPr>
          <w:i/>
          <w:noProof/>
        </w:rPr>
        <w:t xml:space="preserve"> et al.</w:t>
      </w:r>
      <w:r>
        <w:rPr>
          <w:noProof/>
        </w:rPr>
        <w:t>, 2007)</w:t>
      </w:r>
      <w:r>
        <w:t xml:space="preserve">. </w:t>
      </w:r>
    </w:p>
    <w:p w:rsidR="00F24219" w:rsidRPr="00853005" w:rsidRDefault="00F24219" w:rsidP="00265C65">
      <w:pPr>
        <w:numPr>
          <w:ilvl w:val="12"/>
          <w:numId w:val="0"/>
        </w:numPr>
        <w:spacing w:line="480" w:lineRule="auto"/>
        <w:ind w:firstLine="720"/>
      </w:pPr>
      <w:r>
        <w:t>One management practice that has been found to increase soil CO</w:t>
      </w:r>
      <w:r>
        <w:rPr>
          <w:vertAlign w:val="subscript"/>
        </w:rPr>
        <w:t xml:space="preserve">2 </w:t>
      </w:r>
      <w:r>
        <w:t xml:space="preserve">flux is tillage </w:t>
      </w:r>
      <w:r>
        <w:rPr>
          <w:noProof/>
        </w:rPr>
        <w:t>(Sainju</w:t>
      </w:r>
      <w:r w:rsidRPr="00853005">
        <w:rPr>
          <w:i/>
          <w:noProof/>
        </w:rPr>
        <w:t xml:space="preserve"> et al.</w:t>
      </w:r>
      <w:r>
        <w:rPr>
          <w:noProof/>
        </w:rPr>
        <w:t>, 2010)</w:t>
      </w:r>
      <w:r>
        <w:t>. Tilling the soil increases aeration and exposes buried SOC to microbes leading to expedited decomposition of SOC releasing a burst CO</w:t>
      </w:r>
      <w:r>
        <w:rPr>
          <w:vertAlign w:val="subscript"/>
        </w:rPr>
        <w:t>2</w:t>
      </w:r>
      <w:r>
        <w:t xml:space="preserve"> into the atmosphere. No-till systems allow for the build-up of SOC in the soil profile by not exposing buried SOC to surface microbial activity where conditions are ideal for breakdown. </w:t>
      </w:r>
    </w:p>
    <w:p w:rsidR="00F24219" w:rsidRPr="00C0338A" w:rsidRDefault="00F24219" w:rsidP="00265C65">
      <w:pPr>
        <w:numPr>
          <w:ilvl w:val="12"/>
          <w:numId w:val="0"/>
        </w:numPr>
        <w:spacing w:line="480" w:lineRule="auto"/>
        <w:ind w:firstLine="720"/>
      </w:pPr>
      <w:r>
        <w:t>Findings</w:t>
      </w:r>
      <w:r w:rsidRPr="00C0338A">
        <w:t xml:space="preserve"> indicate that vegetation type plays an important role in determining soil respiration rate</w:t>
      </w:r>
      <w:r>
        <w:t xml:space="preserve"> </w:t>
      </w:r>
      <w:r>
        <w:rPr>
          <w:noProof/>
        </w:rPr>
        <w:t>(Raich and Tufekcioglu, 2000)</w:t>
      </w:r>
      <w:r w:rsidRPr="00C0338A">
        <w:t xml:space="preserve">. </w:t>
      </w:r>
      <w:r>
        <w:t>Perennial vegetation has been shown to increase soil CO</w:t>
      </w:r>
      <w:r>
        <w:rPr>
          <w:vertAlign w:val="subscript"/>
        </w:rPr>
        <w:t>2</w:t>
      </w:r>
      <w:r>
        <w:t xml:space="preserve"> flux due to the increase in fine root production and increased SOC content from limiting disturbance </w:t>
      </w:r>
      <w:r>
        <w:rPr>
          <w:noProof/>
        </w:rPr>
        <w:t>(Raich and Tufekcioglu, 2000; Sainju</w:t>
      </w:r>
      <w:r w:rsidRPr="00F6333A">
        <w:rPr>
          <w:i/>
          <w:noProof/>
        </w:rPr>
        <w:t xml:space="preserve"> et al.</w:t>
      </w:r>
      <w:r>
        <w:rPr>
          <w:noProof/>
        </w:rPr>
        <w:t>, 2010)</w:t>
      </w:r>
      <w:r>
        <w:t>.</w:t>
      </w:r>
      <w:r w:rsidRPr="00C0338A">
        <w:t xml:space="preserve"> </w:t>
      </w:r>
      <w:hyperlink w:anchor="_ENREF_27" w:tooltip="Raich, 2000 #660" w:history="1">
        <w:r>
          <w:rPr>
            <w:noProof/>
          </w:rPr>
          <w:t>Raich and Tufekcioglu (2000</w:t>
        </w:r>
      </w:hyperlink>
      <w:r>
        <w:rPr>
          <w:noProof/>
        </w:rPr>
        <w:t>)</w:t>
      </w:r>
      <w:r w:rsidRPr="00F6333A">
        <w:t xml:space="preserve"> found that annual soil respiration rates correlated strongly with SOC and fine root biomass due to the increase in microbial activity with the ample supply of carbon near the soil surface.</w:t>
      </w:r>
      <w:r>
        <w:t xml:space="preserve"> </w:t>
      </w:r>
      <w:r w:rsidRPr="00C0338A">
        <w:t xml:space="preserve"> </w:t>
      </w:r>
    </w:p>
    <w:p w:rsidR="00F24219" w:rsidRDefault="00F24219" w:rsidP="00265C65">
      <w:pPr>
        <w:numPr>
          <w:ilvl w:val="12"/>
          <w:numId w:val="0"/>
        </w:numPr>
        <w:spacing w:line="480" w:lineRule="auto"/>
        <w:ind w:firstLine="720"/>
      </w:pPr>
      <w:r w:rsidRPr="00C0338A">
        <w:t xml:space="preserve">Modeling is a popular and potentially exceedingly useful method for determining long term GHG emissions from cropping systems. ORNL is currently working to develop a model to predict carbon and nitrogen dynamics in switchgrass (personal correspondence with Dr. Charles T. Garten, ORNL 2011). This model is constructed on </w:t>
      </w:r>
      <w:r w:rsidRPr="00C0338A">
        <w:lastRenderedPageBreak/>
        <w:t>and calibrated by available data instead of on an abstract structure that one day may have data available. A model based on actual measurements reduces assumptions thus increasing the models potential to predict GHG emissions from a given cropping system.  Available data is currently limited to growing season measurements complicating scaling up to long term yearly assessments. Data is also limited by region and soil type which play significant roles in GHG emissions from soils. In a study done in Canada comparing diffusion modeling to in situ measurements to determine CO</w:t>
      </w:r>
      <w:r w:rsidRPr="00D2278E">
        <w:rPr>
          <w:vertAlign w:val="subscript"/>
        </w:rPr>
        <w:t>2</w:t>
      </w:r>
      <w:r w:rsidRPr="00C0338A">
        <w:t xml:space="preserve"> production in soils, Risk </w:t>
      </w:r>
      <w:r w:rsidRPr="003B3DF0">
        <w:rPr>
          <w:i/>
        </w:rPr>
        <w:t>et al</w:t>
      </w:r>
      <w:r w:rsidRPr="00C0338A">
        <w:t xml:space="preserve">. (2008) found that soil gas diffusivity and its behavior across changing soil moisture content were significantly different in situ than in modeling. They point out the importance of in situ sampling of soil gas flux to develop accurate models for use in terrestrial carbon research across regions, soil types, and management practices </w:t>
      </w:r>
      <w:r>
        <w:rPr>
          <w:noProof/>
        </w:rPr>
        <w:t>(Risk</w:t>
      </w:r>
      <w:r w:rsidRPr="003B3DF0">
        <w:rPr>
          <w:i/>
          <w:noProof/>
        </w:rPr>
        <w:t xml:space="preserve"> et al.</w:t>
      </w:r>
      <w:r>
        <w:rPr>
          <w:noProof/>
        </w:rPr>
        <w:t>, 2008)</w:t>
      </w:r>
      <w:r>
        <w:t>.</w:t>
      </w:r>
      <w:r w:rsidRPr="00C0338A">
        <w:t>This fact along with the limited annual CO</w:t>
      </w:r>
      <w:r w:rsidRPr="00D2278E">
        <w:rPr>
          <w:vertAlign w:val="subscript"/>
        </w:rPr>
        <w:t>2</w:t>
      </w:r>
      <w:r w:rsidRPr="00C0338A">
        <w:t xml:space="preserve"> research on switchgrass in the Southeast, points out the importance of developing thorough analyses of soil carbon dynamics under switchg</w:t>
      </w:r>
      <w:r w:rsidR="00D01BB5">
        <w:t>rass production. Field data can</w:t>
      </w:r>
      <w:r w:rsidRPr="00C0338A">
        <w:t xml:space="preserve"> strengthen and calibrate models for all regions and potential biofuel feedstock to properly assess sustainability of the system.</w:t>
      </w:r>
    </w:p>
    <w:p w:rsidR="003E5725" w:rsidRPr="003E5725" w:rsidRDefault="00D01BB5" w:rsidP="00265C65">
      <w:pPr>
        <w:numPr>
          <w:ilvl w:val="12"/>
          <w:numId w:val="0"/>
        </w:numPr>
        <w:spacing w:line="480" w:lineRule="auto"/>
        <w:ind w:firstLine="720"/>
      </w:pPr>
      <w:r>
        <w:t>Largely</w:t>
      </w:r>
      <w:r w:rsidR="003E5725">
        <w:t xml:space="preserve"> </w:t>
      </w:r>
      <w:r>
        <w:t>research</w:t>
      </w:r>
      <w:r w:rsidR="003E5725">
        <w:t xml:space="preserve"> has focused on the growing season. Our study was conducted in an effort to answer the question of annual CO</w:t>
      </w:r>
      <w:r w:rsidR="003E5725">
        <w:rPr>
          <w:vertAlign w:val="subscript"/>
        </w:rPr>
        <w:t>2</w:t>
      </w:r>
      <w:r w:rsidR="003E5725">
        <w:t xml:space="preserve"> flux from switchgrass and</w:t>
      </w:r>
      <w:r>
        <w:t xml:space="preserve"> determine</w:t>
      </w:r>
      <w:r w:rsidR="003E5725">
        <w:t xml:space="preserve"> if this could be combined with the SOC study from Chapter 1 to better understand the overall carbon changes.</w:t>
      </w:r>
      <w:r w:rsidR="00627E33">
        <w:t xml:space="preserve"> The relationship of SOC to soil CO</w:t>
      </w:r>
      <w:r w:rsidR="00627E33">
        <w:rPr>
          <w:vertAlign w:val="subscript"/>
        </w:rPr>
        <w:t>2</w:t>
      </w:r>
      <w:r w:rsidR="00627E33">
        <w:t xml:space="preserve"> flux has been vague and </w:t>
      </w:r>
      <w:r w:rsidR="0092313B">
        <w:t>essentially unquantifiable to this point.</w:t>
      </w:r>
      <w:r w:rsidR="00627E33">
        <w:t xml:space="preserve"> </w:t>
      </w:r>
      <w:r w:rsidR="003E5725">
        <w:t xml:space="preserve"> Therefore the objective was to quantify annual </w:t>
      </w:r>
      <w:r w:rsidR="003E5725">
        <w:lastRenderedPageBreak/>
        <w:t>CO</w:t>
      </w:r>
      <w:r w:rsidR="003E5725">
        <w:rPr>
          <w:vertAlign w:val="subscript"/>
        </w:rPr>
        <w:t>2</w:t>
      </w:r>
      <w:r w:rsidR="003E5725">
        <w:t xml:space="preserve"> flux from the switchgrass system to observe the</w:t>
      </w:r>
      <w:r>
        <w:t xml:space="preserve"> hourly, daily, and</w:t>
      </w:r>
      <w:r w:rsidR="003E5725">
        <w:t xml:space="preserve"> annual changes in flux</w:t>
      </w:r>
      <w:r w:rsidR="0092313B">
        <w:t xml:space="preserve"> in order to compare it with SOC measurements determined in Chapter 1</w:t>
      </w:r>
      <w:r w:rsidR="003E5725">
        <w:t xml:space="preserve">.  </w:t>
      </w:r>
    </w:p>
    <w:p w:rsidR="00F24219" w:rsidRPr="00C0338A" w:rsidRDefault="00F24219" w:rsidP="00265C65">
      <w:pPr>
        <w:pStyle w:val="Heading2"/>
        <w:rPr>
          <w:rFonts w:ascii="Times New Roman" w:hAnsi="Times New Roman" w:cs="Times New Roman"/>
        </w:rPr>
      </w:pPr>
      <w:r w:rsidRPr="00C0338A">
        <w:rPr>
          <w:rFonts w:ascii="Times New Roman" w:hAnsi="Times New Roman" w:cs="Times New Roman"/>
        </w:rPr>
        <w:t>Materials and Methods</w:t>
      </w:r>
    </w:p>
    <w:p w:rsidR="00F24219" w:rsidRPr="00C0338A" w:rsidRDefault="00F24219" w:rsidP="00265C65">
      <w:pPr>
        <w:numPr>
          <w:ilvl w:val="12"/>
          <w:numId w:val="0"/>
        </w:numPr>
      </w:pPr>
    </w:p>
    <w:p w:rsidR="00F24219" w:rsidRPr="00C0338A" w:rsidRDefault="00F24219" w:rsidP="00265C65">
      <w:pPr>
        <w:spacing w:line="480" w:lineRule="auto"/>
        <w:rPr>
          <w:i/>
        </w:rPr>
      </w:pPr>
      <w:r w:rsidRPr="00424DF8">
        <w:rPr>
          <w:b/>
          <w:i/>
        </w:rPr>
        <w:t>Study Site and Measurement Set-up</w:t>
      </w:r>
    </w:p>
    <w:p w:rsidR="00F24219" w:rsidRPr="00C0338A" w:rsidRDefault="00F24219" w:rsidP="00265C65">
      <w:pPr>
        <w:spacing w:line="480" w:lineRule="auto"/>
        <w:ind w:firstLine="720"/>
      </w:pPr>
      <w:r w:rsidRPr="00C0338A">
        <w:t>The CO</w:t>
      </w:r>
      <w:r w:rsidRPr="00C0338A">
        <w:rPr>
          <w:vertAlign w:val="subscript"/>
        </w:rPr>
        <w:t>2</w:t>
      </w:r>
      <w:r w:rsidRPr="00C0338A">
        <w:t xml:space="preserve"> flux field experiment was conducted at the University of Tennessee Plant Science Experiment Station located in Knoxville, TN (35</w:t>
      </w:r>
      <w:r w:rsidRPr="00C0338A">
        <w:rPr>
          <w:vertAlign w:val="superscript"/>
        </w:rPr>
        <w:t xml:space="preserve">o </w:t>
      </w:r>
      <w:r w:rsidRPr="00C0338A">
        <w:t>58’ N, 83</w:t>
      </w:r>
      <w:r w:rsidRPr="00C0338A">
        <w:rPr>
          <w:vertAlign w:val="superscript"/>
        </w:rPr>
        <w:t>o</w:t>
      </w:r>
      <w:r w:rsidRPr="00C0338A">
        <w:t xml:space="preserve"> 56’ W) from August 1, 2010 to November 10, 2010 and at the University of Tennessee Holston Dairy Farm also located in Knoxville, TN from November  18, 2010 to July 31, 2011. The original switchgrass plots at the UT Plant Science Experiment Station were planted in 1992 (18 years old) and not consistently managed according to the University o</w:t>
      </w:r>
      <w:r>
        <w:t>f Tennessee Biofuels Initiative. T</w:t>
      </w:r>
      <w:r w:rsidRPr="00C0338A">
        <w:t>herefore</w:t>
      </w:r>
      <w:r>
        <w:t>,</w:t>
      </w:r>
      <w:r w:rsidRPr="00C0338A">
        <w:t xml:space="preserve"> the</w:t>
      </w:r>
      <w:r>
        <w:t xml:space="preserve"> experiment was moved after the </w:t>
      </w:r>
      <w:r w:rsidRPr="00C0338A">
        <w:t xml:space="preserve">switchgrass was </w:t>
      </w:r>
      <w:r>
        <w:t xml:space="preserve">seasonally </w:t>
      </w:r>
      <w:r w:rsidRPr="00C0338A">
        <w:t>cut to the UT Holston Dairy Farm where the switchgrass of was planted in 2004 (5 years old) and managed according to the UT Biofuels Initiative providing a representative study site that mimics the soil organic carbo</w:t>
      </w:r>
      <w:r>
        <w:t xml:space="preserve">n storage portion of the study. </w:t>
      </w:r>
      <w:r>
        <w:tab/>
      </w:r>
      <w:r w:rsidRPr="00C0338A">
        <w:t>Knoxville is characterized by the humid subtropical climate zone. The hottest month is July with an average high of 32</w:t>
      </w:r>
      <w:r>
        <w:rPr>
          <w:vertAlign w:val="superscript"/>
        </w:rPr>
        <w:t>o</w:t>
      </w:r>
      <w:r w:rsidRPr="00C0338A">
        <w:t>C and an average low of 21</w:t>
      </w:r>
      <w:r>
        <w:rPr>
          <w:vertAlign w:val="superscript"/>
        </w:rPr>
        <w:t>o</w:t>
      </w:r>
      <w:r w:rsidRPr="00C0338A">
        <w:t>C. January is the coldest month with an average high of 8</w:t>
      </w:r>
      <w:r>
        <w:rPr>
          <w:vertAlign w:val="superscript"/>
        </w:rPr>
        <w:t>o</w:t>
      </w:r>
      <w:r w:rsidRPr="00C0338A">
        <w:t>C and an average low of -1</w:t>
      </w:r>
      <w:r>
        <w:rPr>
          <w:vertAlign w:val="superscript"/>
        </w:rPr>
        <w:t>o</w:t>
      </w:r>
      <w:r w:rsidRPr="00C0338A">
        <w:t xml:space="preserve">C. The average annual precipitation is 121.9cm. </w:t>
      </w:r>
    </w:p>
    <w:p w:rsidR="00F24219" w:rsidRPr="00C0338A" w:rsidRDefault="00F24219" w:rsidP="00265C65">
      <w:pPr>
        <w:spacing w:line="480" w:lineRule="auto"/>
        <w:ind w:firstLine="720"/>
      </w:pPr>
      <w:r w:rsidRPr="00C0338A">
        <w:t xml:space="preserve">The switchgrass at the Holstein Unit (data November 10, 2010 – July 31, 2011) was managed according to </w:t>
      </w:r>
      <w:r>
        <w:t>the UT Biofuels Initiative (Table 1.1</w:t>
      </w:r>
      <w:r w:rsidRPr="00C0338A">
        <w:t xml:space="preserve">). </w:t>
      </w:r>
      <w:r>
        <w:t>Sixty seven kg ha</w:t>
      </w:r>
      <w:r>
        <w:rPr>
          <w:vertAlign w:val="superscript"/>
        </w:rPr>
        <w:t>-1</w:t>
      </w:r>
      <w:r w:rsidRPr="00C0338A">
        <w:t xml:space="preserve"> per year of nitrogen was applied to the switchgrass </w:t>
      </w:r>
      <w:r>
        <w:t xml:space="preserve">annually </w:t>
      </w:r>
      <w:r w:rsidRPr="00C0338A">
        <w:t>after the initial year of growth. The soil did not test low for potassium or phosphorus</w:t>
      </w:r>
      <w:r>
        <w:t>,</w:t>
      </w:r>
      <w:r w:rsidRPr="00C0338A">
        <w:t xml:space="preserve"> therefore phosphate and potash </w:t>
      </w:r>
      <w:r w:rsidRPr="00C0338A">
        <w:lastRenderedPageBreak/>
        <w:t>were not applied. The switchgrass was harvested once a year at the beginning of November. The grass was cut between 10 and 15 centimeters. The switchgrass was Alamo, a common high yielding switchgrass in East Tennessee.</w:t>
      </w:r>
    </w:p>
    <w:p w:rsidR="00F24219" w:rsidRPr="003F269C" w:rsidRDefault="00F24219" w:rsidP="00265C65">
      <w:pPr>
        <w:spacing w:line="480" w:lineRule="auto"/>
        <w:rPr>
          <w:b/>
        </w:rPr>
      </w:pPr>
      <w:r w:rsidRPr="003F269C">
        <w:rPr>
          <w:b/>
          <w:i/>
        </w:rPr>
        <w:t>Soil Respiration Measurements</w:t>
      </w:r>
    </w:p>
    <w:p w:rsidR="00F24219" w:rsidRDefault="00F24219" w:rsidP="00265C65">
      <w:pPr>
        <w:spacing w:line="480" w:lineRule="auto"/>
        <w:ind w:firstLine="720"/>
      </w:pPr>
      <w:r w:rsidRPr="00C0338A">
        <w:t>Six LICOR LI-8100 long-term infrared CO</w:t>
      </w:r>
      <w:r w:rsidRPr="00C0338A">
        <w:rPr>
          <w:vertAlign w:val="subscript"/>
        </w:rPr>
        <w:t>2</w:t>
      </w:r>
      <w:r w:rsidRPr="00C0338A">
        <w:t xml:space="preserve"> flux chambers</w:t>
      </w:r>
      <w:r>
        <w:t xml:space="preserve"> </w:t>
      </w:r>
      <w:r w:rsidRPr="00C0338A">
        <w:t>were placed in the switchgrass plots. Initially (</w:t>
      </w:r>
      <w:r>
        <w:t>June 1</w:t>
      </w:r>
      <w:r w:rsidRPr="00C0338A">
        <w:t xml:space="preserve"> to November 10</w:t>
      </w:r>
      <w:r>
        <w:t>, 2010</w:t>
      </w:r>
      <w:r w:rsidRPr="00C0338A">
        <w:t>) two chambers were placed on switchgrass crowns and one chamber was placed between rows on bare soil</w:t>
      </w:r>
      <w:r>
        <w:t xml:space="preserve"> to represent soil conditions</w:t>
      </w:r>
      <w:r w:rsidRPr="00C0338A">
        <w:t>. After the chambers were moved</w:t>
      </w:r>
      <w:r>
        <w:t>,</w:t>
      </w:r>
      <w:r w:rsidRPr="00C0338A">
        <w:t xml:space="preserve"> 3 ch</w:t>
      </w:r>
      <w:r>
        <w:t>ambers were placed on crowns. O</w:t>
      </w:r>
      <w:r w:rsidRPr="00C0338A">
        <w:t>n December 9, 2010 three more chambers were added to the study and placed on bare soil in between rows.  The design represented the CO</w:t>
      </w:r>
      <w:r w:rsidRPr="00C0338A">
        <w:rPr>
          <w:vertAlign w:val="subscript"/>
        </w:rPr>
        <w:t>2</w:t>
      </w:r>
      <w:r w:rsidRPr="00C0338A">
        <w:t xml:space="preserve"> flux that would occur in switchgrass production by representing both the flux on top of crowns as well as flux from the bare soil between crowns. The system initially housed two control units and two multiplexers each supplied</w:t>
      </w:r>
      <w:r>
        <w:t xml:space="preserve"> energy</w:t>
      </w:r>
      <w:r w:rsidRPr="00C0338A">
        <w:t xml:space="preserve"> by a solar panel charging two marine batteries. One system </w:t>
      </w:r>
      <w:r>
        <w:t xml:space="preserve">was </w:t>
      </w:r>
      <w:r w:rsidRPr="00C0338A">
        <w:t>for the crowns (Cover) and one system</w:t>
      </w:r>
      <w:r>
        <w:t xml:space="preserve"> was</w:t>
      </w:r>
      <w:r w:rsidRPr="00C0338A">
        <w:t xml:space="preserve"> for between crowns (Bare). This set-up worked well in the summer when the</w:t>
      </w:r>
      <w:r>
        <w:t xml:space="preserve"> solar radiation was high. I</w:t>
      </w:r>
      <w:r w:rsidRPr="00C0338A">
        <w:t>n the winter</w:t>
      </w:r>
      <w:r>
        <w:t>,</w:t>
      </w:r>
      <w:r w:rsidRPr="00C0338A">
        <w:t xml:space="preserve"> t</w:t>
      </w:r>
      <w:r>
        <w:t>he solar radiation was low</w:t>
      </w:r>
      <w:r w:rsidRPr="00C0338A">
        <w:t xml:space="preserve"> causing a greater draw on the batteries than could be resupplied by the solar pan</w:t>
      </w:r>
      <w:r>
        <w:t>el power supply</w:t>
      </w:r>
      <w:r w:rsidRPr="00C0338A">
        <w:t>. The loss of power resulted in</w:t>
      </w:r>
      <w:r>
        <w:t xml:space="preserve"> the loss of</w:t>
      </w:r>
      <w:r w:rsidRPr="00C0338A">
        <w:t xml:space="preserve"> data several days throughout the months of December and January. </w:t>
      </w:r>
      <w:r>
        <w:t>To prevent the further loss of data, t</w:t>
      </w:r>
      <w:r w:rsidRPr="00C0338A">
        <w:t>he systems were combined to one multiplexer and one control unit powered by two solar panels feeding six batteries.</w:t>
      </w:r>
    </w:p>
    <w:p w:rsidR="00F24219" w:rsidRDefault="00F24219" w:rsidP="00265C65">
      <w:pPr>
        <w:spacing w:line="480" w:lineRule="auto"/>
        <w:ind w:firstLine="720"/>
      </w:pPr>
      <w:r w:rsidRPr="00C0338A">
        <w:t>These chambers are designed to measure CO</w:t>
      </w:r>
      <w:r w:rsidRPr="00E5677D">
        <w:rPr>
          <w:vertAlign w:val="subscript"/>
        </w:rPr>
        <w:t>2</w:t>
      </w:r>
      <w:r w:rsidRPr="00C0338A">
        <w:t xml:space="preserve"> efflux from a continuous body of soil by covering an area of soil with a chamber and monitoring change in CO</w:t>
      </w:r>
      <w:r w:rsidRPr="00E5677D">
        <w:rPr>
          <w:vertAlign w:val="subscript"/>
        </w:rPr>
        <w:t>2</w:t>
      </w:r>
      <w:r w:rsidRPr="00C0338A">
        <w:t xml:space="preserve"> </w:t>
      </w:r>
      <w:r w:rsidRPr="00C0338A">
        <w:lastRenderedPageBreak/>
        <w:t>concentration with time in the chamber head space. The LI8100 uses the rate of increase of CO</w:t>
      </w:r>
      <w:r w:rsidRPr="00E5677D">
        <w:rPr>
          <w:vertAlign w:val="subscript"/>
        </w:rPr>
        <w:t>2</w:t>
      </w:r>
      <w:r w:rsidRPr="00C0338A">
        <w:t xml:space="preserve"> in the measurement chamber to estimate the rate CO</w:t>
      </w:r>
      <w:r w:rsidRPr="00E5677D">
        <w:rPr>
          <w:vertAlign w:val="subscript"/>
        </w:rPr>
        <w:t>2</w:t>
      </w:r>
      <w:r w:rsidRPr="00C0338A">
        <w:t xml:space="preserve"> diffuses into free air outside</w:t>
      </w:r>
      <w:r>
        <w:t xml:space="preserve"> </w:t>
      </w:r>
      <w:r w:rsidRPr="00C0338A">
        <w:t>(LI-8100, LI-COR, Inc. Lincoln, NE)</w:t>
      </w:r>
      <w:r>
        <w:t>.</w:t>
      </w:r>
      <w:r w:rsidRPr="00C0338A">
        <w:t xml:space="preserve"> Conditions must be similar both inside and outside the chamber in order to get accurate readings. These conditions include concentration gradients that drive diffusion, barometric pressure, temperature, and moisture. CO</w:t>
      </w:r>
      <w:r w:rsidRPr="00E5677D">
        <w:rPr>
          <w:vertAlign w:val="subscript"/>
        </w:rPr>
        <w:t>2</w:t>
      </w:r>
      <w:r w:rsidRPr="00C0338A">
        <w:t xml:space="preserve"> gradient has proven to be different inside and outside the chamber due to the decrease in CO</w:t>
      </w:r>
      <w:r w:rsidRPr="00E5677D">
        <w:rPr>
          <w:vertAlign w:val="subscript"/>
        </w:rPr>
        <w:t>2</w:t>
      </w:r>
      <w:r w:rsidRPr="00C0338A">
        <w:t xml:space="preserve"> by a </w:t>
      </w:r>
      <w:r w:rsidR="00227FF9" w:rsidRPr="00C0338A">
        <w:t>mole fraction</w:t>
      </w:r>
      <w:r w:rsidRPr="00C0338A">
        <w:t xml:space="preserve"> inside the chamber</w:t>
      </w:r>
      <w:r>
        <w:t xml:space="preserve"> </w:t>
      </w:r>
      <w:r w:rsidRPr="00C0338A">
        <w:t>(LI-8100, LI-COR, Inc. Lincoln, NE)</w:t>
      </w:r>
      <w:r>
        <w:t>.</w:t>
      </w:r>
      <w:r w:rsidRPr="00C0338A">
        <w:t xml:space="preserve"> This is corrected for in the calculations the machine makes using</w:t>
      </w:r>
      <w:r>
        <w:t xml:space="preserve"> an analytical technique. L</w:t>
      </w:r>
      <w:r w:rsidRPr="00C0338A">
        <w:t xml:space="preserve">imiting measurement times to 1.5 to 3 minutes keeps chamber CO2 concentration changes </w:t>
      </w:r>
      <w:r>
        <w:t xml:space="preserve">as </w:t>
      </w:r>
      <w:r w:rsidRPr="00C0338A">
        <w:t>small as possible</w:t>
      </w:r>
      <w:r>
        <w:t xml:space="preserve"> </w:t>
      </w:r>
      <w:r w:rsidRPr="00C0338A">
        <w:t>(LI-8100, LI-COR, Inc. Lincoln, NE)</w:t>
      </w:r>
      <w:r>
        <w:t>.</w:t>
      </w:r>
    </w:p>
    <w:p w:rsidR="00F24219" w:rsidRDefault="00243C89" w:rsidP="00265C65">
      <w:pPr>
        <w:spacing w:line="480" w:lineRule="auto"/>
      </w:pPr>
      <w:r>
        <w:pict>
          <v:shape id="Picture 5" o:spid="_x0000_i1027" type="#_x0000_t75" style="width:139.7pt;height:126.8pt;visibility:visible">
            <v:imagedata r:id="rId23" o:title=""/>
          </v:shape>
        </w:pict>
      </w:r>
      <w:r>
        <w:pict>
          <v:shape id="_x0000_i1028" type="#_x0000_t75" style="width:161.2pt;height:126.8pt">
            <v:imagedata r:id="rId24" o:title="8100-104LTC"/>
          </v:shape>
        </w:pict>
      </w:r>
      <w:r>
        <w:pict>
          <v:shape id="_x0000_i1029" type="#_x0000_t75" style="width:124.65pt;height:128.95pt">
            <v:imagedata r:id="rId25" o:title="DSCF0380"/>
          </v:shape>
        </w:pict>
      </w:r>
    </w:p>
    <w:p w:rsidR="00F24219" w:rsidRDefault="00F24219" w:rsidP="00265C65">
      <w:r w:rsidRPr="00485D86">
        <w:rPr>
          <w:b/>
        </w:rPr>
        <w:t>Figure</w:t>
      </w:r>
      <w:r>
        <w:rPr>
          <w:b/>
        </w:rPr>
        <w:t xml:space="preserve"> 2.1 LICOR LI-8100 System – (</w:t>
      </w:r>
      <w:r>
        <w:t xml:space="preserve">from left) </w:t>
      </w:r>
      <w:r w:rsidRPr="00C0338A">
        <w:t>EH</w:t>
      </w:r>
      <w:r w:rsidRPr="00C0338A">
        <w:rPr>
          <w:vertAlign w:val="subscript"/>
        </w:rPr>
        <w:t>2</w:t>
      </w:r>
      <w:r w:rsidRPr="00C0338A">
        <w:t>O Model EC-5 dielectric sensor</w:t>
      </w:r>
      <w:r>
        <w:t xml:space="preserve"> and</w:t>
      </w:r>
      <w:r w:rsidRPr="00BC496F">
        <w:t xml:space="preserve"> </w:t>
      </w:r>
      <w:r w:rsidRPr="00C0338A">
        <w:t>Omega T-handled Type E thermocouple</w:t>
      </w:r>
      <w:r>
        <w:t>, 8100-104 Long-term chamber, 8100 multiplexer and analyzer control unit</w:t>
      </w:r>
    </w:p>
    <w:p w:rsidR="00F24219" w:rsidRPr="00485D86" w:rsidRDefault="00F24219" w:rsidP="00265C65">
      <w:pPr>
        <w:rPr>
          <w:b/>
        </w:rPr>
      </w:pPr>
    </w:p>
    <w:p w:rsidR="00F24219" w:rsidRDefault="00F24219" w:rsidP="00265C65">
      <w:pPr>
        <w:spacing w:line="480" w:lineRule="auto"/>
        <w:ind w:firstLine="720"/>
      </w:pPr>
      <w:r w:rsidRPr="00C0338A">
        <w:t xml:space="preserve">Total soil respiration was quantified </w:t>
      </w:r>
      <w:r w:rsidRPr="00C0338A">
        <w:rPr>
          <w:i/>
        </w:rPr>
        <w:t>in situ</w:t>
      </w:r>
      <w:r w:rsidRPr="00C0338A">
        <w:t xml:space="preserve"> using long term LI-8100 (LI-8100, LI-COR, Inc. Lincoln, NE) infrared gas analyzer and soil chambers. CO</w:t>
      </w:r>
      <w:r w:rsidRPr="00C0338A">
        <w:rPr>
          <w:vertAlign w:val="subscript"/>
        </w:rPr>
        <w:t>2</w:t>
      </w:r>
      <w:r w:rsidRPr="00C0338A">
        <w:t xml:space="preserve"> flux measurements were taken hourly. A multiplexor was used to allow for multiple chambers to run from one control unit. The multiplexor is capable of housing 8 chambers, but only 6 were employed in this study. The chamber system column is 4076.1cm</w:t>
      </w:r>
      <w:r w:rsidRPr="00C0338A">
        <w:rPr>
          <w:vertAlign w:val="superscript"/>
        </w:rPr>
        <w:t>3</w:t>
      </w:r>
      <w:r w:rsidRPr="00C0338A">
        <w:t xml:space="preserve"> with an exposed soil </w:t>
      </w:r>
      <w:r w:rsidRPr="00C0338A">
        <w:lastRenderedPageBreak/>
        <w:t>area of 317.8cm</w:t>
      </w:r>
      <w:r w:rsidRPr="00C0338A">
        <w:rPr>
          <w:vertAlign w:val="superscript"/>
        </w:rPr>
        <w:t>2</w:t>
      </w:r>
      <w:r w:rsidRPr="00C0338A">
        <w:t xml:space="preserve">. The dimension of the entire system is 48.3cm long by 38.1 cm wide by 33 cm high. </w:t>
      </w:r>
      <w:r>
        <w:t>The d</w:t>
      </w:r>
      <w:r w:rsidRPr="00C0338A">
        <w:t>ouble gasket system sealed the chamber outside the soil collar and between the chamber and mounting plate to minimize CO</w:t>
      </w:r>
      <w:r w:rsidRPr="00C0338A">
        <w:rPr>
          <w:vertAlign w:val="subscript"/>
        </w:rPr>
        <w:t>2</w:t>
      </w:r>
      <w:r>
        <w:t xml:space="preserve"> leaks and wind effects </w:t>
      </w:r>
      <w:r>
        <w:rPr>
          <w:noProof/>
        </w:rPr>
        <w:t>(Healy</w:t>
      </w:r>
      <w:r w:rsidRPr="00E5677D">
        <w:rPr>
          <w:i/>
          <w:noProof/>
        </w:rPr>
        <w:t xml:space="preserve"> et al.</w:t>
      </w:r>
      <w:r>
        <w:rPr>
          <w:noProof/>
        </w:rPr>
        <w:t>, 1996)</w:t>
      </w:r>
      <w:r w:rsidRPr="00C0338A">
        <w:t xml:space="preserve">. Healy </w:t>
      </w:r>
      <w:r w:rsidRPr="003F269C">
        <w:rPr>
          <w:i/>
        </w:rPr>
        <w:t>et al</w:t>
      </w:r>
      <w:r w:rsidRPr="00C0338A">
        <w:t>. (1996) states that although gas transport in soils may be influenced by wind, fluxuating temperature and pressure, differences in gas densities, and infiltrating wetting fronts, diffusion is accepted as the dominant mechanism for that transport. The chamber head moves away from the measurement collar to minimize perturbations to the natural microclimate. PVC soil collars measuring 20.3cm in diameter were inserted into the soil so roughly 3 to 10 cm extend from the soil surface. The inserted columns reduce disturbance affects and allow for repeated measurements to be taken at one location. The soil temperature was measured using an Omega T-handled Type E thermocouple with 6.4mm diameter and 250mm immersion length inserted to a depth of 250mm. The soil moisture was measured using EH</w:t>
      </w:r>
      <w:r w:rsidRPr="00C0338A">
        <w:rPr>
          <w:vertAlign w:val="subscript"/>
        </w:rPr>
        <w:t>2</w:t>
      </w:r>
      <w:r w:rsidRPr="00C0338A">
        <w:t xml:space="preserve">O Model EC-5 dielectric sensor 5 cm long inserted to 5 cm.  For both cover and bare, soil collars were installed at 3 to 5 cm below the soil surface to reduce lateral diffusion of CO2 in the soil column below the chamber, which can be a source of error in the measurement </w:t>
      </w:r>
      <w:r>
        <w:rPr>
          <w:noProof/>
        </w:rPr>
        <w:t>(Healy</w:t>
      </w:r>
      <w:r w:rsidRPr="003F269C">
        <w:rPr>
          <w:i/>
          <w:noProof/>
        </w:rPr>
        <w:t xml:space="preserve"> et al.</w:t>
      </w:r>
      <w:r>
        <w:rPr>
          <w:noProof/>
        </w:rPr>
        <w:t>, 1996)</w:t>
      </w:r>
      <w:r>
        <w:t xml:space="preserve">. </w:t>
      </w:r>
      <w:r w:rsidRPr="00C0338A">
        <w:t xml:space="preserve">The vegetation in the chambers on each site was kept at a height 5cm to allow the chamber to close. </w:t>
      </w:r>
    </w:p>
    <w:p w:rsidR="00F24219" w:rsidRDefault="00243C89" w:rsidP="00265C65">
      <w:pPr>
        <w:spacing w:line="480" w:lineRule="auto"/>
        <w:jc w:val="center"/>
      </w:pPr>
      <w:r>
        <w:lastRenderedPageBreak/>
        <w:pict>
          <v:shape id="_x0000_i1030" type="#_x0000_t75" style="width:407.3pt;height:228.9pt">
            <v:imagedata r:id="rId26" o:title="2011-06-09_14-25-14_405"/>
          </v:shape>
        </w:pict>
      </w:r>
    </w:p>
    <w:p w:rsidR="00F24219" w:rsidRPr="004234A5" w:rsidRDefault="00F24219" w:rsidP="00265C65">
      <w:pPr>
        <w:spacing w:line="480" w:lineRule="auto"/>
      </w:pPr>
      <w:r>
        <w:rPr>
          <w:b/>
        </w:rPr>
        <w:t>Figure 2.2 Field system set</w:t>
      </w:r>
      <w:r w:rsidRPr="004234A5">
        <w:rPr>
          <w:b/>
        </w:rPr>
        <w:t>up</w:t>
      </w:r>
      <w:r>
        <w:rPr>
          <w:b/>
        </w:rPr>
        <w:t xml:space="preserve"> </w:t>
      </w:r>
    </w:p>
    <w:p w:rsidR="00F24219" w:rsidRPr="00C0338A" w:rsidRDefault="00F24219" w:rsidP="00265C65">
      <w:pPr>
        <w:spacing w:line="480" w:lineRule="auto"/>
      </w:pPr>
      <w:r w:rsidRPr="00C0338A">
        <w:tab/>
        <w:t xml:space="preserve">Using the LI-8100 requires measurement protocols allows you to maximize effective data collection. The measurement protocol was programmed using a palm wirelessly connected to the control unit. Those protocols include Observation Length, Dead Band, Observation Delay, Purge Time, and Chamber Offset. The Observation Length is the time period when the chamber closes to just before the chamber opens. The recommended length is 90 to 120 seconds to minimize the feedback effect that results from the rate of headspace concentration </w:t>
      </w:r>
      <w:r>
        <w:rPr>
          <w:noProof/>
        </w:rPr>
        <w:t>(Healy</w:t>
      </w:r>
      <w:r w:rsidRPr="003F269C">
        <w:rPr>
          <w:i/>
          <w:noProof/>
        </w:rPr>
        <w:t xml:space="preserve"> et al.</w:t>
      </w:r>
      <w:r>
        <w:rPr>
          <w:noProof/>
        </w:rPr>
        <w:t>, 1996)</w:t>
      </w:r>
      <w:r w:rsidRPr="00C0338A">
        <w:t xml:space="preserve">. This experiment’s Observation Length was 90 seconds. The Dead Band is the time period that begins when the chamber closes and continues until steady mixing has been established. The recommended length is 10 to 60 seconds, and this experiment’s Dead Band was 30 seconds. The Observation Delay is required when using a single chamber to allow the chamber air to return to ambient conditions before beginning the next observation cycle. To reduce variation between measurements in this experiment, the Observation Delay </w:t>
      </w:r>
      <w:r w:rsidRPr="00C0338A">
        <w:lastRenderedPageBreak/>
        <w:t>was set to zero. The Purge Time was set to 45 seconds to allow the lines to clear of environmental factors such as water vapor that may influence CO2 readings. The Chamber Offset is the distance between the soil surface and the top of the soil collar minus the chamber base plate to the top of the collar. The program requires this input to accurately measure the total system volume based on the 20 centimeter soil collar that is used with the long term chambers. The total system volume is required to find the soil CO2 flux. The measurements were taken every hour every day from August 1, 2010 to December 9, 2010 then every 2 hours December 9, 2010 to March 28, 2011 to reduce power consumption when solar radiation was low then back to every hour from March 29, 2011 to July 31, 2011.</w:t>
      </w:r>
    </w:p>
    <w:p w:rsidR="00F24219" w:rsidRPr="00C0338A" w:rsidRDefault="00F24219" w:rsidP="00265C65">
      <w:pPr>
        <w:spacing w:line="480" w:lineRule="auto"/>
      </w:pPr>
      <w:r w:rsidRPr="003F269C">
        <w:rPr>
          <w:b/>
          <w:i/>
        </w:rPr>
        <w:t>Particle Size</w:t>
      </w:r>
    </w:p>
    <w:p w:rsidR="00F24219" w:rsidRPr="00C0338A" w:rsidRDefault="00F24219" w:rsidP="00265C65">
      <w:pPr>
        <w:spacing w:line="480" w:lineRule="auto"/>
        <w:ind w:firstLine="720"/>
      </w:pPr>
      <w:r w:rsidRPr="00C0338A">
        <w:t xml:space="preserve">The particle size was determined using laser diffractometry. The laser diffraction method (LDM) for determining soil particle size is becoming more widely used due to the speed with which soil samples can be run relative to the traditional sieve-pipette method. Laser diffract size analysis is based on the principle that particles of a given size will diffract light through a given angle, and the angle will increase with decreasing particle size. A beam on monochromatic light (laser λ = 750nm) is passed through a sample cell containing an upward moving suspension. Particle size distributions are key physical properties of soil determining the soils classification and basic hydraulic characteristics. The particle size distribution is usually given by a percentage of the total dry weight of soil. The traditional and longtime accepted techniques for determining the particle size distribution are the sieve-pipette method (SPM) and the hydraulic method </w:t>
      </w:r>
      <w:r w:rsidRPr="00C0338A">
        <w:lastRenderedPageBreak/>
        <w:t>(HM). However, the laser diffraction method (LDM) for determining soil particle size is becoming more widely used due to the speed with which soil samples can be run relative to the traditional sieve-pipette method. Laser diffract size analysis is based on the principle that particles of a given size will diffract light through a given angle, and the angle will increase with decreasing particle size. A beam on monochromatic light (laser λ = 750nm) is passed through a sample cell containing an upward moving suspension. In this experiment we will be using the laser diffraction technique, and therefore it is important to look objectively at both methods to determine where they differ and how to get the most accurate particle size distributions in the most time efficient manner.</w:t>
      </w:r>
    </w:p>
    <w:p w:rsidR="00F24219" w:rsidRPr="00C0338A" w:rsidRDefault="00F24219" w:rsidP="00265C65">
      <w:pPr>
        <w:spacing w:line="480" w:lineRule="auto"/>
        <w:ind w:firstLine="720"/>
      </w:pPr>
      <w:r w:rsidRPr="00C0338A">
        <w:t>Several researchers have studied the difference between the sieve-pipette and the laser diffraction methods. Studies ranging from milled quartz samples</w:t>
      </w:r>
      <w:r>
        <w:t xml:space="preserve"> </w:t>
      </w:r>
      <w:r w:rsidRPr="00C0338A">
        <w:t xml:space="preserve">(Beuselinck et al. 1998) to sediments from the ocean (Ramaswamy &amp; Rao 2006) to soils of all different textural classes (DiSefano et al. 2010, </w:t>
      </w:r>
      <w:r w:rsidR="005C757E" w:rsidRPr="00C0338A">
        <w:t>Bah et al. 2007</w:t>
      </w:r>
      <w:r w:rsidR="005C757E">
        <w:t xml:space="preserve">, </w:t>
      </w:r>
      <w:r w:rsidRPr="00C0338A">
        <w:t xml:space="preserve">Goossens 2008, </w:t>
      </w:r>
      <w:r w:rsidR="005C757E" w:rsidRPr="00C0338A">
        <w:t>Eshel et al. 2004</w:t>
      </w:r>
      <w:r w:rsidR="005C757E">
        <w:t>, Wen et al. 2002</w:t>
      </w:r>
      <w:r w:rsidRPr="00C0338A">
        <w:t xml:space="preserve">) compared the traditional SPM to the LDM.  All the studies found that there are disparities in the results between the SPM and the LDM. Beuselinck </w:t>
      </w:r>
      <w:r w:rsidRPr="003F269C">
        <w:rPr>
          <w:i/>
        </w:rPr>
        <w:t>et al</w:t>
      </w:r>
      <w:r w:rsidRPr="00C0338A">
        <w:t xml:space="preserve">. (1998) concluded that the reason behind the differences is that the two methods are based on different principles. The sieve pipette method measures mass percentages of particles equivalent to those of quartz spheres whereas the laser diffraction measures volume percentages based on an inversion model of diffracted light. Therefore, when there is a big difference between optical grain diameters of particles or the spherical diameters of particles are different or when density variations exist between different classes, differences between the two methods are to be expected. Along the same lines Wen et al. </w:t>
      </w:r>
      <w:r w:rsidRPr="00C0338A">
        <w:lastRenderedPageBreak/>
        <w:t xml:space="preserve">(2002) concluded that deviations in the methods can be explained by three factors: 1) differences in definitions and measurements of particle sizes, 2) variations in densities of constituent grains, and 3) turbulence in flow pattern of suspension. </w:t>
      </w:r>
    </w:p>
    <w:p w:rsidR="00F24219" w:rsidRPr="00C0338A" w:rsidRDefault="00F24219" w:rsidP="00265C65">
      <w:pPr>
        <w:spacing w:line="480" w:lineRule="auto"/>
        <w:ind w:firstLine="720"/>
      </w:pPr>
      <w:r w:rsidRPr="00C0338A">
        <w:t xml:space="preserve">There are discrepancies among scientists on the accuracy of LDM measurements within the sand fraction of the soil. Di Sefano et al. (2010) found that the sand content measured by the SPM can be assumed to be equal to that determined by the LDM whereas Beuselinck (1998) found that the reproducibility of the LDM was worse than the SPM for the sand fraction of soils. One fact that all the studies agree on is that the LDM underestimates the clay fraction of the soil (Eshel et al. 2003, Bah et al. 2009, Ramaswamy &amp; Rao 2004, Beuselinck et al. 1998(June), Beuselinck et al. 1998 (Jan), Loizeau et al. 1994, Konet &amp; Vandenberghe 1997). The studies found that variations in particle geometry proved to be the most important characteristic causing differences in measurements. Wen et al. (2002) concluded that discrepancies between methods vary in extent according to the soil type and specific size fraction. The soil samples with a higher clay fractions showed more variations than milled quartz samples or a course sandy soil because the morphology of soil particle vary greatly causing the laser diffraction and the sieve-pipette method to result in very different answers, but the quartz and larger silts and sand particles showed little discrepancies because of the similar morphology among particles (Beuselinck et al. 1998). The platy clay particles characteristic of illites and smectites have a larger optical diameter than spherical particles which causes the laser diffraction to classify the platy clay particles as silts (Eshel et al. 2003, Bah et al. 2009, Ramaswamy &amp; Rao 2004, Beuselinck et al. 1998(June), Beuselinck et al. 1998 (Jan), </w:t>
      </w:r>
      <w:r w:rsidRPr="00C0338A">
        <w:lastRenderedPageBreak/>
        <w:t xml:space="preserve">Loizeau et al. 1994, Konet &amp; Vandenberghe 1997). This causes an underestimation of the clay fraction and an overestimation of the silt fraction. Also particles under 0.4µm are ignored because they diffract light at all angles leading to another underestimation of clay. Konet and Vandenberghe (1997) found that the non-sphericity of the particles caused a coarsening of the mean diameter of one to two size classes. Ramaswamy and Rao (2004) found that a clay particle defined as 2µm by the SPM most closely fit to a size of 6.2µm determined by the LDM in sediments from the Northern Andaman Sea. Konet and Vandenberghe (1997) found platy forms of the clay particles makes considerable differences (8 size classes) between the pipette and laser measurements (2µm grain size defined by the sieve pipette method corresponds with the 8µm defined by the laser). Loizeau et al. (2004) the underestimation of the clay fraction was determined with an efficiency of detection proportional to the clay content determined by the pipette analysis for the soils in their study. Several scientists suggest using a higher grain size level for the clay fraction or a derived equation, when LDM is utilized to enable workers in the geological and environmental field to compare to the classical SPM (Ramaswamy and Rao 2004, Konet and Vandenberghe 1997, Di Stefano et al. 2010, Beuselinck et al. 1998, Bah et al. 2009, Eshel et al. 2004), however no scientist has derived an universal equation or grain size level increase for clays that applies to all soils. </w:t>
      </w:r>
    </w:p>
    <w:p w:rsidR="00F24219" w:rsidRPr="00C0338A" w:rsidRDefault="00F24219" w:rsidP="00265C65">
      <w:pPr>
        <w:spacing w:line="480" w:lineRule="auto"/>
        <w:ind w:firstLine="720"/>
      </w:pPr>
      <w:r w:rsidRPr="00C0338A">
        <w:t xml:space="preserve">The advantages of the LDM are the time efficiency and reproducibility, only a single analysis is needed to obtain a wide range of particle sizes (0.4 - 900µm), small amounts of sample are needed, detailed information on the particle-size distribution is obtained, and the results are obtained in digital format and can be easily analyzed. </w:t>
      </w:r>
      <w:r w:rsidRPr="00C0338A">
        <w:lastRenderedPageBreak/>
        <w:t>Loizeau et al. (2004) also found that the laser diffraction method produces precise and accurate results in size ranges required for geological and environmental studies when precise measurements of clay content are not needed. Regardless of the discrepancies between the LDM and the SPM scientists who have studied the two methods have generally agreed that the LDM should be included as a standard for particle size analysis in geo-engineering, geo-environmental research, and environmental sciences for its many advantages (Wen et al. 2002, Goossens 2008, Eshel et al. 2004, Di Stefano et al. 2010, Ramaswamy &amp; Rao, 2004).</w:t>
      </w:r>
    </w:p>
    <w:p w:rsidR="00F24219" w:rsidRPr="00C0338A" w:rsidRDefault="00F24219" w:rsidP="00265C65">
      <w:pPr>
        <w:spacing w:line="480" w:lineRule="auto"/>
        <w:rPr>
          <w:i/>
        </w:rPr>
      </w:pPr>
      <w:r w:rsidRPr="00B32E41">
        <w:rPr>
          <w:b/>
          <w:i/>
        </w:rPr>
        <w:t>Soil Chemical Properties</w:t>
      </w:r>
    </w:p>
    <w:p w:rsidR="00F24219" w:rsidRDefault="00F24219" w:rsidP="00265C65">
      <w:pPr>
        <w:spacing w:line="480" w:lineRule="auto"/>
        <w:ind w:firstLine="720"/>
      </w:pPr>
      <w:r w:rsidRPr="00C0338A">
        <w:t>All chemical analyses were done at The University of Tennessee Soil, Plant and Pest Center in Nashville, TN. The reported values for both the CO</w:t>
      </w:r>
      <w:r w:rsidRPr="00C0338A">
        <w:rPr>
          <w:vertAlign w:val="subscript"/>
        </w:rPr>
        <w:t>2</w:t>
      </w:r>
      <w:r w:rsidRPr="00C0338A">
        <w:t xml:space="preserve"> study are pH, cation exchange capacity (CEC), and percent </w:t>
      </w:r>
      <w:r>
        <w:t>SOC</w:t>
      </w:r>
      <w:r w:rsidRPr="00C0338A">
        <w:t xml:space="preserve">. </w:t>
      </w:r>
      <w:r>
        <w:t>The SOC was determined using the same technique discussed in Chapter I of this thesis.</w:t>
      </w:r>
    </w:p>
    <w:p w:rsidR="00F24219" w:rsidRPr="00C0338A" w:rsidRDefault="00F24219" w:rsidP="00265C65">
      <w:pPr>
        <w:spacing w:line="480" w:lineRule="auto"/>
        <w:ind w:firstLine="720"/>
      </w:pPr>
      <w:r w:rsidRPr="00C0338A">
        <w:t xml:space="preserve">Soil pH tells more about the soil than if it is simply acidic or basic and is likely the most informative soil chemical property (Thomas 1996). It gives insight to the availability of nutrients and the toxicity of other elements can be determined due to their known relationship with pH (Thomas 1996). Soil pH was determined using electrometric measurements. The Denver Instruments pH meter was calibrated using 7.00 pH and 4.00 pH buffer solutions (UT Soil, Plant, and Pest Center). To measure the soil pH, 10 mL of deionized water was added 10 grams and allowed to sit for 30 minutes (UT Soil, Plant, and Pest Center). The glass electrode was inserted into the soil solution while swirling </w:t>
      </w:r>
      <w:r w:rsidRPr="00C0338A">
        <w:lastRenderedPageBreak/>
        <w:t>gently and pH was recorded (UT Soil, Plant, and Pest Center). To reduce contamination and inaccuracy, the meter was washed between samples with deionized water.</w:t>
      </w:r>
    </w:p>
    <w:p w:rsidR="00F24219" w:rsidRPr="00C0338A" w:rsidRDefault="00F24219" w:rsidP="00265C65">
      <w:pPr>
        <w:spacing w:line="480" w:lineRule="auto"/>
        <w:ind w:firstLine="720"/>
      </w:pPr>
      <w:r w:rsidRPr="00C0338A">
        <w:t xml:space="preserve">The cation exchange capacity (CEC) was calculated using the formula by Clemson soil testing (UT Soil, Plant and Pest Center). To determine the CEC, calculate the </w:t>
      </w:r>
      <w:r w:rsidR="00894041" w:rsidRPr="00C0338A">
        <w:t>milliequ</w:t>
      </w:r>
      <w:r w:rsidR="00894041">
        <w:t>i</w:t>
      </w:r>
      <w:r w:rsidR="00894041" w:rsidRPr="00C0338A">
        <w:t>valents</w:t>
      </w:r>
      <w:r w:rsidRPr="00C0338A">
        <w:t xml:space="preserve"> of hydrogen, potassium, magnesium, and calcium per 100 grams of soil using the formulas:</w:t>
      </w:r>
    </w:p>
    <w:tbl>
      <w:tblPr>
        <w:tblpPr w:leftFromText="180" w:rightFromText="180" w:vertAnchor="text" w:tblpXSpec="center"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6"/>
      </w:tblGrid>
      <w:tr w:rsidR="00F24219" w:rsidTr="00265C65">
        <w:trPr>
          <w:trHeight w:val="1375"/>
        </w:trPr>
        <w:tc>
          <w:tcPr>
            <w:tcW w:w="5036" w:type="dxa"/>
          </w:tcPr>
          <w:p w:rsidR="00F24219" w:rsidRPr="00B32E41" w:rsidRDefault="00F24219" w:rsidP="00265C65">
            <w:pPr>
              <w:rPr>
                <w:i/>
              </w:rPr>
            </w:pPr>
            <w:r w:rsidRPr="00B32E41">
              <w:rPr>
                <w:i/>
              </w:rPr>
              <w:t>H, meq/100g soil = 8 (8.00-buffer pH)</w:t>
            </w:r>
          </w:p>
          <w:p w:rsidR="00F24219" w:rsidRPr="00B32E41" w:rsidRDefault="00F24219" w:rsidP="00265C65">
            <w:pPr>
              <w:rPr>
                <w:i/>
              </w:rPr>
            </w:pPr>
            <w:r w:rsidRPr="00B32E41">
              <w:rPr>
                <w:i/>
              </w:rPr>
              <w:t>K, meq/100g soil = lbs/acre extracted K ÷ 782</w:t>
            </w:r>
          </w:p>
          <w:p w:rsidR="00F24219" w:rsidRPr="00B32E41" w:rsidRDefault="00F24219" w:rsidP="00265C65">
            <w:pPr>
              <w:rPr>
                <w:i/>
              </w:rPr>
            </w:pPr>
            <w:r w:rsidRPr="00B32E41">
              <w:rPr>
                <w:i/>
              </w:rPr>
              <w:t>Mg, meq/100g soil = lbs/acre extracted Mg ÷ 240</w:t>
            </w:r>
          </w:p>
          <w:p w:rsidR="00F24219" w:rsidRPr="00B32E41" w:rsidRDefault="00F24219" w:rsidP="00265C65">
            <w:pPr>
              <w:rPr>
                <w:i/>
              </w:rPr>
            </w:pPr>
            <w:r w:rsidRPr="00B32E41">
              <w:rPr>
                <w:i/>
              </w:rPr>
              <w:t>Ca, meq/100g soil = lbs/acre extracted Ca ÷ 400</w:t>
            </w:r>
          </w:p>
          <w:p w:rsidR="00F24219" w:rsidRPr="00B32E41" w:rsidRDefault="00F24219" w:rsidP="00265C65">
            <w:pPr>
              <w:rPr>
                <w:i/>
              </w:rPr>
            </w:pPr>
            <w:r w:rsidRPr="00B32E41">
              <w:rPr>
                <w:i/>
              </w:rPr>
              <w:t>Na, meq/100g soil = lbs/acre extracted Na ÷ 460</w:t>
            </w:r>
          </w:p>
          <w:p w:rsidR="00F24219" w:rsidRPr="005567CB" w:rsidRDefault="00F24219" w:rsidP="00265C65">
            <w:pPr>
              <w:jc w:val="center"/>
              <w:rPr>
                <w:i/>
              </w:rPr>
            </w:pPr>
            <w:r w:rsidRPr="00B32E41">
              <w:rPr>
                <w:i/>
              </w:rPr>
              <w:t>Total CEC is the sum of the calculations from these equations.</w:t>
            </w:r>
          </w:p>
        </w:tc>
      </w:tr>
    </w:tbl>
    <w:p w:rsidR="00F24219" w:rsidRPr="00B32E41" w:rsidRDefault="00F24219" w:rsidP="00265C65">
      <w:pPr>
        <w:rPr>
          <w:i/>
        </w:rPr>
      </w:pPr>
    </w:p>
    <w:p w:rsidR="00F24219" w:rsidRDefault="00F24219" w:rsidP="00265C65">
      <w:pPr>
        <w:spacing w:line="480" w:lineRule="auto"/>
      </w:pPr>
      <w:r w:rsidRPr="00C0338A">
        <w:tab/>
      </w:r>
    </w:p>
    <w:p w:rsidR="00F24219" w:rsidRDefault="00F24219" w:rsidP="00265C65">
      <w:pPr>
        <w:spacing w:line="480" w:lineRule="auto"/>
      </w:pPr>
    </w:p>
    <w:p w:rsidR="00F24219" w:rsidRDefault="00F24219" w:rsidP="00265C65">
      <w:pPr>
        <w:spacing w:line="480" w:lineRule="auto"/>
      </w:pPr>
    </w:p>
    <w:p w:rsidR="00F24219" w:rsidRDefault="00F24219" w:rsidP="00265C65">
      <w:pPr>
        <w:spacing w:line="480" w:lineRule="auto"/>
        <w:ind w:firstLine="720"/>
      </w:pPr>
    </w:p>
    <w:p w:rsidR="00F24219" w:rsidRPr="00C0338A" w:rsidRDefault="00F24219" w:rsidP="00265C65">
      <w:pPr>
        <w:spacing w:line="480" w:lineRule="auto"/>
        <w:ind w:firstLine="720"/>
        <w:rPr>
          <w:i/>
        </w:rPr>
      </w:pPr>
      <w:r w:rsidRPr="00C0338A">
        <w:t>The mineral extraction by UT Soil, Plant, and Pest Center was pe</w:t>
      </w:r>
      <w:r>
        <w:t xml:space="preserve">rformed using Perkin-Elmer 5300 Dual View (DV) Inductively Coupled Plasma (ICP). In ICP, ionized Argon (Ar) gas is passed through a quartz torch located inside a copper coil connected to a radio frequency (RF) generator, producing ICP </w:t>
      </w:r>
      <w:r>
        <w:rPr>
          <w:noProof/>
        </w:rPr>
        <w:t>(Sparks et al., 1996)</w:t>
      </w:r>
      <w:r>
        <w:t xml:space="preserve">. The RF generates oscillating magnetic fields allowing electrons and ions to pass through at high acceleration rates </w:t>
      </w:r>
      <w:r>
        <w:rPr>
          <w:noProof/>
        </w:rPr>
        <w:t>(Sparks et al., 1996)</w:t>
      </w:r>
      <w:r>
        <w:t xml:space="preserve">. The collisions and added unionized Ar gas cause further ionization </w:t>
      </w:r>
      <w:r>
        <w:rPr>
          <w:noProof/>
        </w:rPr>
        <w:t>(Sparks et al., 1996)</w:t>
      </w:r>
      <w:r>
        <w:t xml:space="preserve">. The collisions cause heating measured </w:t>
      </w:r>
      <w:r w:rsidR="00894041">
        <w:t>spectroscopoically</w:t>
      </w:r>
      <w:r>
        <w:t xml:space="preserve"> </w:t>
      </w:r>
      <w:r>
        <w:rPr>
          <w:noProof/>
        </w:rPr>
        <w:t>(Sparks et al., 1996)</w:t>
      </w:r>
      <w:r>
        <w:t xml:space="preserve">. The sample is introduced in the innermost channel and vaporized. The mineral contents are then determined by the spectrometer </w:t>
      </w:r>
      <w:r>
        <w:rPr>
          <w:noProof/>
        </w:rPr>
        <w:t>(Sparks et al., 1996)</w:t>
      </w:r>
      <w:r>
        <w:t>.</w:t>
      </w:r>
      <w:r w:rsidRPr="00C0338A">
        <w:t xml:space="preserve"> The extracts and standards were prepared by first creating a Mehlick 1 extracting solution</w:t>
      </w:r>
      <w:r>
        <w:t xml:space="preserve"> by combining 11.2 milliliters sulfuric a</w:t>
      </w:r>
      <w:r w:rsidRPr="00C0338A">
        <w:t>cid (H</w:t>
      </w:r>
      <w:r w:rsidRPr="00C0338A">
        <w:rPr>
          <w:vertAlign w:val="subscript"/>
        </w:rPr>
        <w:t>2</w:t>
      </w:r>
      <w:r w:rsidRPr="00C0338A">
        <w:t>SO</w:t>
      </w:r>
      <w:r w:rsidRPr="00C0338A">
        <w:rPr>
          <w:vertAlign w:val="subscript"/>
        </w:rPr>
        <w:t>4</w:t>
      </w:r>
      <w:r w:rsidRPr="00C0338A">
        <w:t xml:space="preserve">) and </w:t>
      </w:r>
      <w:r w:rsidRPr="00C0338A">
        <w:lastRenderedPageBreak/>
        <w:t>66.4 milliliters of hydrochloric acid (HCl) per 16 liters of deionized water (DI). All of the stock calibration standards were diluted with extracting solution.</w:t>
      </w:r>
    </w:p>
    <w:p w:rsidR="00F24219" w:rsidRPr="00006135" w:rsidRDefault="00F24219" w:rsidP="00265C65">
      <w:pPr>
        <w:spacing w:line="480" w:lineRule="auto"/>
        <w:rPr>
          <w:b/>
        </w:rPr>
      </w:pPr>
      <w:r>
        <w:rPr>
          <w:b/>
        </w:rPr>
        <w:t>Table 2.1</w:t>
      </w:r>
      <w:r w:rsidRPr="00006135">
        <w:rPr>
          <w:b/>
        </w:rPr>
        <w:t xml:space="preserve"> Soil classification and chemical properties at CO</w:t>
      </w:r>
      <w:r w:rsidRPr="00006135">
        <w:rPr>
          <w:b/>
          <w:vertAlign w:val="subscript"/>
        </w:rPr>
        <w:t>2</w:t>
      </w:r>
      <w:r w:rsidRPr="00006135">
        <w:rPr>
          <w:b/>
        </w:rPr>
        <w:t xml:space="preserve"> measurement plots</w:t>
      </w:r>
    </w:p>
    <w:tbl>
      <w:tblPr>
        <w:tblW w:w="9574" w:type="dxa"/>
        <w:tblInd w:w="93" w:type="dxa"/>
        <w:tblLook w:val="04A0" w:firstRow="1" w:lastRow="0" w:firstColumn="1" w:lastColumn="0" w:noHBand="0" w:noVBand="1"/>
      </w:tblPr>
      <w:tblGrid>
        <w:gridCol w:w="1554"/>
        <w:gridCol w:w="798"/>
        <w:gridCol w:w="943"/>
        <w:gridCol w:w="1088"/>
        <w:gridCol w:w="1090"/>
        <w:gridCol w:w="835"/>
        <w:gridCol w:w="987"/>
        <w:gridCol w:w="1139"/>
        <w:gridCol w:w="1140"/>
      </w:tblGrid>
      <w:tr w:rsidR="00F24219" w:rsidTr="00265C65">
        <w:trPr>
          <w:trHeight w:val="402"/>
        </w:trPr>
        <w:tc>
          <w:tcPr>
            <w:tcW w:w="1554" w:type="dxa"/>
            <w:tcBorders>
              <w:top w:val="single" w:sz="4" w:space="0" w:color="auto"/>
              <w:left w:val="single" w:sz="4" w:space="0" w:color="auto"/>
              <w:bottom w:val="nil"/>
              <w:right w:val="nil"/>
            </w:tcBorders>
            <w:shd w:val="clear" w:color="auto" w:fill="auto"/>
            <w:noWrap/>
            <w:vAlign w:val="bottom"/>
            <w:hideMark/>
          </w:tcPr>
          <w:p w:rsidR="00F24219" w:rsidRDefault="00F24219">
            <w:pPr>
              <w:rPr>
                <w:color w:val="000000"/>
              </w:rPr>
            </w:pPr>
            <w:r>
              <w:rPr>
                <w:color w:val="000000"/>
              </w:rPr>
              <w:t> </w:t>
            </w:r>
          </w:p>
        </w:tc>
        <w:tc>
          <w:tcPr>
            <w:tcW w:w="391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4219" w:rsidRDefault="00F24219">
            <w:pPr>
              <w:jc w:val="center"/>
              <w:rPr>
                <w:b/>
                <w:bCs/>
                <w:color w:val="000000"/>
              </w:rPr>
            </w:pPr>
            <w:r>
              <w:rPr>
                <w:b/>
                <w:bCs/>
                <w:color w:val="000000"/>
              </w:rPr>
              <w:t>Jun 1, 2010 - Nov 8, 2010</w:t>
            </w:r>
          </w:p>
        </w:tc>
        <w:tc>
          <w:tcPr>
            <w:tcW w:w="4101" w:type="dxa"/>
            <w:gridSpan w:val="4"/>
            <w:tcBorders>
              <w:top w:val="single" w:sz="4" w:space="0" w:color="auto"/>
              <w:left w:val="nil"/>
              <w:bottom w:val="single" w:sz="4" w:space="0" w:color="auto"/>
              <w:right w:val="single" w:sz="4" w:space="0" w:color="auto"/>
            </w:tcBorders>
            <w:shd w:val="clear" w:color="auto" w:fill="auto"/>
            <w:noWrap/>
            <w:vAlign w:val="bottom"/>
            <w:hideMark/>
          </w:tcPr>
          <w:p w:rsidR="00F24219" w:rsidRDefault="00F24219">
            <w:pPr>
              <w:jc w:val="center"/>
              <w:rPr>
                <w:b/>
                <w:bCs/>
                <w:color w:val="000000"/>
              </w:rPr>
            </w:pPr>
            <w:r>
              <w:rPr>
                <w:b/>
                <w:bCs/>
                <w:color w:val="000000"/>
              </w:rPr>
              <w:t>Nov 8, 2010 - May 31, 2011</w:t>
            </w:r>
          </w:p>
        </w:tc>
      </w:tr>
      <w:tr w:rsidR="00F24219" w:rsidTr="00265C65">
        <w:trPr>
          <w:trHeight w:val="323"/>
        </w:trPr>
        <w:tc>
          <w:tcPr>
            <w:tcW w:w="15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4219" w:rsidRDefault="00F24219">
            <w:pPr>
              <w:jc w:val="center"/>
              <w:rPr>
                <w:b/>
                <w:bCs/>
                <w:color w:val="000000"/>
                <w:sz w:val="22"/>
                <w:szCs w:val="22"/>
              </w:rPr>
            </w:pPr>
            <w:r>
              <w:rPr>
                <w:b/>
                <w:bCs/>
                <w:color w:val="000000"/>
                <w:sz w:val="22"/>
                <w:szCs w:val="22"/>
              </w:rPr>
              <w:t>Depth</w:t>
            </w:r>
          </w:p>
        </w:tc>
        <w:tc>
          <w:tcPr>
            <w:tcW w:w="798"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b/>
                <w:bCs/>
                <w:color w:val="000000"/>
                <w:sz w:val="22"/>
                <w:szCs w:val="22"/>
              </w:rPr>
            </w:pPr>
            <w:r>
              <w:rPr>
                <w:b/>
                <w:bCs/>
                <w:color w:val="000000"/>
                <w:sz w:val="22"/>
                <w:szCs w:val="22"/>
              </w:rPr>
              <w:t>0-5cm</w:t>
            </w:r>
          </w:p>
        </w:tc>
        <w:tc>
          <w:tcPr>
            <w:tcW w:w="943"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b/>
                <w:bCs/>
                <w:color w:val="000000"/>
                <w:sz w:val="22"/>
                <w:szCs w:val="22"/>
              </w:rPr>
            </w:pPr>
            <w:r>
              <w:rPr>
                <w:b/>
                <w:bCs/>
                <w:color w:val="000000"/>
                <w:sz w:val="22"/>
                <w:szCs w:val="22"/>
              </w:rPr>
              <w:t>5-10cm</w:t>
            </w:r>
          </w:p>
        </w:tc>
        <w:tc>
          <w:tcPr>
            <w:tcW w:w="1088"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b/>
                <w:bCs/>
                <w:color w:val="000000"/>
                <w:sz w:val="22"/>
                <w:szCs w:val="22"/>
              </w:rPr>
            </w:pPr>
            <w:r>
              <w:rPr>
                <w:b/>
                <w:bCs/>
                <w:color w:val="000000"/>
                <w:sz w:val="22"/>
                <w:szCs w:val="22"/>
              </w:rPr>
              <w:t>10-15cm</w:t>
            </w:r>
          </w:p>
        </w:tc>
        <w:tc>
          <w:tcPr>
            <w:tcW w:w="1089" w:type="dxa"/>
            <w:tcBorders>
              <w:top w:val="nil"/>
              <w:left w:val="nil"/>
              <w:bottom w:val="single" w:sz="4" w:space="0" w:color="auto"/>
              <w:right w:val="nil"/>
            </w:tcBorders>
            <w:shd w:val="clear" w:color="auto" w:fill="auto"/>
            <w:noWrap/>
            <w:vAlign w:val="bottom"/>
            <w:hideMark/>
          </w:tcPr>
          <w:p w:rsidR="00F24219" w:rsidRDefault="00F24219">
            <w:pPr>
              <w:jc w:val="center"/>
              <w:rPr>
                <w:b/>
                <w:bCs/>
                <w:color w:val="000000"/>
                <w:sz w:val="22"/>
                <w:szCs w:val="22"/>
              </w:rPr>
            </w:pPr>
            <w:r>
              <w:rPr>
                <w:b/>
                <w:bCs/>
                <w:color w:val="000000"/>
                <w:sz w:val="22"/>
                <w:szCs w:val="22"/>
              </w:rPr>
              <w:t>15-30cm</w:t>
            </w:r>
          </w:p>
        </w:tc>
        <w:tc>
          <w:tcPr>
            <w:tcW w:w="835" w:type="dxa"/>
            <w:tcBorders>
              <w:top w:val="nil"/>
              <w:left w:val="double" w:sz="6" w:space="0" w:color="auto"/>
              <w:bottom w:val="single" w:sz="4" w:space="0" w:color="auto"/>
              <w:right w:val="single" w:sz="4" w:space="0" w:color="auto"/>
            </w:tcBorders>
            <w:shd w:val="clear" w:color="auto" w:fill="auto"/>
            <w:noWrap/>
            <w:vAlign w:val="bottom"/>
            <w:hideMark/>
          </w:tcPr>
          <w:p w:rsidR="00F24219" w:rsidRDefault="00F24219">
            <w:pPr>
              <w:jc w:val="center"/>
              <w:rPr>
                <w:b/>
                <w:bCs/>
                <w:color w:val="000000"/>
                <w:sz w:val="22"/>
                <w:szCs w:val="22"/>
              </w:rPr>
            </w:pPr>
            <w:r>
              <w:rPr>
                <w:b/>
                <w:bCs/>
                <w:color w:val="000000"/>
                <w:sz w:val="22"/>
                <w:szCs w:val="22"/>
              </w:rPr>
              <w:t>0-5cm</w:t>
            </w:r>
          </w:p>
        </w:tc>
        <w:tc>
          <w:tcPr>
            <w:tcW w:w="987"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b/>
                <w:bCs/>
                <w:color w:val="000000"/>
                <w:sz w:val="22"/>
                <w:szCs w:val="22"/>
              </w:rPr>
            </w:pPr>
            <w:r>
              <w:rPr>
                <w:b/>
                <w:bCs/>
                <w:color w:val="000000"/>
                <w:sz w:val="22"/>
                <w:szCs w:val="22"/>
              </w:rPr>
              <w:t>5-10cm</w:t>
            </w:r>
          </w:p>
        </w:tc>
        <w:tc>
          <w:tcPr>
            <w:tcW w:w="1139"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b/>
                <w:bCs/>
                <w:color w:val="000000"/>
                <w:sz w:val="22"/>
                <w:szCs w:val="22"/>
              </w:rPr>
            </w:pPr>
            <w:r>
              <w:rPr>
                <w:b/>
                <w:bCs/>
                <w:color w:val="000000"/>
                <w:sz w:val="22"/>
                <w:szCs w:val="22"/>
              </w:rPr>
              <w:t>10-15cm</w:t>
            </w:r>
          </w:p>
        </w:tc>
        <w:tc>
          <w:tcPr>
            <w:tcW w:w="1139" w:type="dxa"/>
            <w:tcBorders>
              <w:top w:val="nil"/>
              <w:left w:val="nil"/>
              <w:bottom w:val="single" w:sz="4" w:space="0" w:color="auto"/>
              <w:right w:val="single" w:sz="4" w:space="0" w:color="auto"/>
            </w:tcBorders>
            <w:shd w:val="clear" w:color="auto" w:fill="auto"/>
            <w:noWrap/>
            <w:vAlign w:val="bottom"/>
            <w:hideMark/>
          </w:tcPr>
          <w:p w:rsidR="00F24219" w:rsidRDefault="00F24219">
            <w:pPr>
              <w:jc w:val="center"/>
              <w:rPr>
                <w:b/>
                <w:bCs/>
                <w:color w:val="000000"/>
                <w:sz w:val="22"/>
                <w:szCs w:val="22"/>
              </w:rPr>
            </w:pPr>
            <w:r>
              <w:rPr>
                <w:b/>
                <w:bCs/>
                <w:color w:val="000000"/>
                <w:sz w:val="22"/>
                <w:szCs w:val="22"/>
              </w:rPr>
              <w:t>15-30cm</w:t>
            </w:r>
          </w:p>
        </w:tc>
      </w:tr>
      <w:tr w:rsidR="00F24219" w:rsidTr="00265C65">
        <w:trPr>
          <w:trHeight w:val="693"/>
        </w:trPr>
        <w:tc>
          <w:tcPr>
            <w:tcW w:w="1554" w:type="dxa"/>
            <w:tcBorders>
              <w:top w:val="nil"/>
              <w:left w:val="single" w:sz="4" w:space="0" w:color="auto"/>
              <w:bottom w:val="single" w:sz="4" w:space="0" w:color="auto"/>
              <w:right w:val="single" w:sz="4" w:space="0" w:color="auto"/>
            </w:tcBorders>
            <w:shd w:val="clear" w:color="auto" w:fill="auto"/>
            <w:vAlign w:val="center"/>
            <w:hideMark/>
          </w:tcPr>
          <w:p w:rsidR="00F24219" w:rsidRDefault="00F24219">
            <w:pPr>
              <w:jc w:val="center"/>
              <w:rPr>
                <w:b/>
                <w:bCs/>
                <w:color w:val="000000"/>
                <w:sz w:val="22"/>
                <w:szCs w:val="22"/>
              </w:rPr>
            </w:pPr>
            <w:r>
              <w:rPr>
                <w:b/>
                <w:bCs/>
                <w:color w:val="000000"/>
                <w:sz w:val="22"/>
                <w:szCs w:val="22"/>
              </w:rPr>
              <w:t>Soil Classification</w:t>
            </w:r>
          </w:p>
        </w:tc>
        <w:tc>
          <w:tcPr>
            <w:tcW w:w="3919" w:type="dxa"/>
            <w:gridSpan w:val="4"/>
            <w:tcBorders>
              <w:top w:val="single" w:sz="4" w:space="0" w:color="auto"/>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Loam</w:t>
            </w:r>
          </w:p>
        </w:tc>
        <w:tc>
          <w:tcPr>
            <w:tcW w:w="4101" w:type="dxa"/>
            <w:gridSpan w:val="4"/>
            <w:tcBorders>
              <w:top w:val="single" w:sz="4" w:space="0" w:color="auto"/>
              <w:left w:val="double" w:sz="6" w:space="0" w:color="auto"/>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sandy clay</w:t>
            </w:r>
          </w:p>
        </w:tc>
      </w:tr>
      <w:tr w:rsidR="00F24219" w:rsidTr="00265C65">
        <w:trPr>
          <w:trHeight w:val="323"/>
        </w:trPr>
        <w:tc>
          <w:tcPr>
            <w:tcW w:w="1554" w:type="dxa"/>
            <w:tcBorders>
              <w:top w:val="nil"/>
              <w:left w:val="single" w:sz="4" w:space="0" w:color="auto"/>
              <w:bottom w:val="single" w:sz="4" w:space="0" w:color="auto"/>
              <w:right w:val="single" w:sz="4" w:space="0" w:color="auto"/>
            </w:tcBorders>
            <w:shd w:val="clear" w:color="auto" w:fill="auto"/>
            <w:noWrap/>
            <w:vAlign w:val="center"/>
            <w:hideMark/>
          </w:tcPr>
          <w:p w:rsidR="00F24219" w:rsidRDefault="00F24219">
            <w:pPr>
              <w:jc w:val="center"/>
              <w:rPr>
                <w:b/>
                <w:bCs/>
                <w:color w:val="000000"/>
                <w:sz w:val="22"/>
                <w:szCs w:val="22"/>
              </w:rPr>
            </w:pPr>
            <w:r>
              <w:rPr>
                <w:b/>
                <w:bCs/>
                <w:color w:val="000000"/>
                <w:sz w:val="22"/>
                <w:szCs w:val="22"/>
              </w:rPr>
              <w:t>pH</w:t>
            </w:r>
          </w:p>
        </w:tc>
        <w:tc>
          <w:tcPr>
            <w:tcW w:w="798"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5.61</w:t>
            </w:r>
          </w:p>
        </w:tc>
        <w:tc>
          <w:tcPr>
            <w:tcW w:w="943"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5.46</w:t>
            </w:r>
          </w:p>
        </w:tc>
        <w:tc>
          <w:tcPr>
            <w:tcW w:w="1088"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5.52</w:t>
            </w:r>
          </w:p>
        </w:tc>
        <w:tc>
          <w:tcPr>
            <w:tcW w:w="1089" w:type="dxa"/>
            <w:tcBorders>
              <w:top w:val="nil"/>
              <w:left w:val="nil"/>
              <w:bottom w:val="single" w:sz="4" w:space="0" w:color="auto"/>
              <w:right w:val="nil"/>
            </w:tcBorders>
            <w:shd w:val="clear" w:color="000000" w:fill="D9D9D9"/>
            <w:noWrap/>
            <w:vAlign w:val="center"/>
            <w:hideMark/>
          </w:tcPr>
          <w:p w:rsidR="00F24219" w:rsidRDefault="00F24219">
            <w:pPr>
              <w:jc w:val="center"/>
              <w:rPr>
                <w:color w:val="000000"/>
                <w:sz w:val="22"/>
                <w:szCs w:val="22"/>
              </w:rPr>
            </w:pPr>
            <w:r>
              <w:rPr>
                <w:color w:val="000000"/>
                <w:sz w:val="22"/>
                <w:szCs w:val="22"/>
              </w:rPr>
              <w:t>5.02</w:t>
            </w:r>
          </w:p>
        </w:tc>
        <w:tc>
          <w:tcPr>
            <w:tcW w:w="835" w:type="dxa"/>
            <w:tcBorders>
              <w:top w:val="nil"/>
              <w:left w:val="double" w:sz="6" w:space="0" w:color="auto"/>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5.535</w:t>
            </w:r>
          </w:p>
        </w:tc>
        <w:tc>
          <w:tcPr>
            <w:tcW w:w="987"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5.715</w:t>
            </w:r>
          </w:p>
        </w:tc>
        <w:tc>
          <w:tcPr>
            <w:tcW w:w="1139"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6.15</w:t>
            </w:r>
          </w:p>
        </w:tc>
        <w:tc>
          <w:tcPr>
            <w:tcW w:w="1139"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6.375</w:t>
            </w:r>
          </w:p>
        </w:tc>
      </w:tr>
      <w:tr w:rsidR="00F24219" w:rsidTr="00265C65">
        <w:trPr>
          <w:trHeight w:val="693"/>
        </w:trPr>
        <w:tc>
          <w:tcPr>
            <w:tcW w:w="1554" w:type="dxa"/>
            <w:tcBorders>
              <w:top w:val="nil"/>
              <w:left w:val="single" w:sz="4" w:space="0" w:color="auto"/>
              <w:bottom w:val="single" w:sz="4" w:space="0" w:color="auto"/>
              <w:right w:val="single" w:sz="4" w:space="0" w:color="auto"/>
            </w:tcBorders>
            <w:shd w:val="clear" w:color="auto" w:fill="auto"/>
            <w:vAlign w:val="center"/>
            <w:hideMark/>
          </w:tcPr>
          <w:p w:rsidR="00F24219" w:rsidRDefault="00F24219">
            <w:pPr>
              <w:jc w:val="center"/>
              <w:rPr>
                <w:b/>
                <w:bCs/>
                <w:color w:val="000000"/>
                <w:sz w:val="22"/>
                <w:szCs w:val="22"/>
              </w:rPr>
            </w:pPr>
            <w:r>
              <w:rPr>
                <w:b/>
                <w:bCs/>
                <w:color w:val="000000"/>
                <w:sz w:val="22"/>
                <w:szCs w:val="22"/>
              </w:rPr>
              <w:t>CEC (meq/100g)</w:t>
            </w:r>
          </w:p>
        </w:tc>
        <w:tc>
          <w:tcPr>
            <w:tcW w:w="798"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10.20</w:t>
            </w:r>
          </w:p>
        </w:tc>
        <w:tc>
          <w:tcPr>
            <w:tcW w:w="943"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9.36</w:t>
            </w:r>
          </w:p>
        </w:tc>
        <w:tc>
          <w:tcPr>
            <w:tcW w:w="1088"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8.96</w:t>
            </w:r>
          </w:p>
        </w:tc>
        <w:tc>
          <w:tcPr>
            <w:tcW w:w="1089" w:type="dxa"/>
            <w:tcBorders>
              <w:top w:val="nil"/>
              <w:left w:val="nil"/>
              <w:bottom w:val="single" w:sz="4" w:space="0" w:color="auto"/>
              <w:right w:val="nil"/>
            </w:tcBorders>
            <w:shd w:val="clear" w:color="000000" w:fill="D9D9D9"/>
            <w:noWrap/>
            <w:vAlign w:val="center"/>
            <w:hideMark/>
          </w:tcPr>
          <w:p w:rsidR="00F24219" w:rsidRDefault="00F24219">
            <w:pPr>
              <w:jc w:val="center"/>
              <w:rPr>
                <w:color w:val="000000"/>
                <w:sz w:val="22"/>
                <w:szCs w:val="22"/>
              </w:rPr>
            </w:pPr>
            <w:r>
              <w:rPr>
                <w:color w:val="000000"/>
                <w:sz w:val="22"/>
                <w:szCs w:val="22"/>
              </w:rPr>
              <w:t>8.95</w:t>
            </w:r>
          </w:p>
        </w:tc>
        <w:tc>
          <w:tcPr>
            <w:tcW w:w="835" w:type="dxa"/>
            <w:tcBorders>
              <w:top w:val="nil"/>
              <w:left w:val="double" w:sz="6" w:space="0" w:color="auto"/>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7.85</w:t>
            </w:r>
          </w:p>
        </w:tc>
        <w:tc>
          <w:tcPr>
            <w:tcW w:w="987"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7.57</w:t>
            </w:r>
          </w:p>
        </w:tc>
        <w:tc>
          <w:tcPr>
            <w:tcW w:w="1139"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8.85</w:t>
            </w:r>
          </w:p>
        </w:tc>
        <w:tc>
          <w:tcPr>
            <w:tcW w:w="1139"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8.75</w:t>
            </w:r>
          </w:p>
        </w:tc>
      </w:tr>
      <w:tr w:rsidR="00F24219" w:rsidTr="00265C65">
        <w:trPr>
          <w:trHeight w:val="678"/>
        </w:trPr>
        <w:tc>
          <w:tcPr>
            <w:tcW w:w="1554" w:type="dxa"/>
            <w:tcBorders>
              <w:top w:val="nil"/>
              <w:left w:val="single" w:sz="4" w:space="0" w:color="auto"/>
              <w:bottom w:val="single" w:sz="4" w:space="0" w:color="auto"/>
              <w:right w:val="single" w:sz="4" w:space="0" w:color="auto"/>
            </w:tcBorders>
            <w:shd w:val="clear" w:color="auto" w:fill="auto"/>
            <w:vAlign w:val="center"/>
            <w:hideMark/>
          </w:tcPr>
          <w:p w:rsidR="00F24219" w:rsidRDefault="00F24219">
            <w:pPr>
              <w:jc w:val="center"/>
              <w:rPr>
                <w:b/>
                <w:bCs/>
                <w:color w:val="000000"/>
                <w:sz w:val="22"/>
                <w:szCs w:val="22"/>
              </w:rPr>
            </w:pPr>
            <w:r>
              <w:rPr>
                <w:b/>
                <w:bCs/>
                <w:color w:val="000000"/>
                <w:sz w:val="22"/>
                <w:szCs w:val="22"/>
              </w:rPr>
              <w:t>% Organic Carbon</w:t>
            </w:r>
          </w:p>
        </w:tc>
        <w:tc>
          <w:tcPr>
            <w:tcW w:w="798"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1.45</w:t>
            </w:r>
          </w:p>
        </w:tc>
        <w:tc>
          <w:tcPr>
            <w:tcW w:w="943"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1.21</w:t>
            </w:r>
          </w:p>
        </w:tc>
        <w:tc>
          <w:tcPr>
            <w:tcW w:w="1088"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1.03</w:t>
            </w:r>
          </w:p>
        </w:tc>
        <w:tc>
          <w:tcPr>
            <w:tcW w:w="1089" w:type="dxa"/>
            <w:tcBorders>
              <w:top w:val="nil"/>
              <w:left w:val="nil"/>
              <w:bottom w:val="single" w:sz="4" w:space="0" w:color="auto"/>
              <w:right w:val="double" w:sz="6"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0.75</w:t>
            </w:r>
          </w:p>
        </w:tc>
        <w:tc>
          <w:tcPr>
            <w:tcW w:w="835"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1.19</w:t>
            </w:r>
          </w:p>
        </w:tc>
        <w:tc>
          <w:tcPr>
            <w:tcW w:w="987"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0.81</w:t>
            </w:r>
          </w:p>
        </w:tc>
        <w:tc>
          <w:tcPr>
            <w:tcW w:w="1139"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0.53</w:t>
            </w:r>
          </w:p>
        </w:tc>
        <w:tc>
          <w:tcPr>
            <w:tcW w:w="1139" w:type="dxa"/>
            <w:tcBorders>
              <w:top w:val="nil"/>
              <w:left w:val="nil"/>
              <w:bottom w:val="single" w:sz="4" w:space="0" w:color="auto"/>
              <w:right w:val="single" w:sz="4" w:space="0" w:color="auto"/>
            </w:tcBorders>
            <w:shd w:val="clear" w:color="000000" w:fill="D9D9D9"/>
            <w:noWrap/>
            <w:vAlign w:val="center"/>
            <w:hideMark/>
          </w:tcPr>
          <w:p w:rsidR="00F24219" w:rsidRDefault="00F24219">
            <w:pPr>
              <w:jc w:val="center"/>
              <w:rPr>
                <w:color w:val="000000"/>
                <w:sz w:val="22"/>
                <w:szCs w:val="22"/>
              </w:rPr>
            </w:pPr>
            <w:r>
              <w:rPr>
                <w:color w:val="000000"/>
                <w:sz w:val="22"/>
                <w:szCs w:val="22"/>
              </w:rPr>
              <w:t>0.47</w:t>
            </w:r>
          </w:p>
        </w:tc>
      </w:tr>
    </w:tbl>
    <w:p w:rsidR="00F24219" w:rsidRDefault="00F24219" w:rsidP="00265C65">
      <w:pPr>
        <w:pStyle w:val="Heading2"/>
        <w:jc w:val="left"/>
        <w:rPr>
          <w:rFonts w:ascii="Times New Roman" w:hAnsi="Times New Roman" w:cs="Times New Roman"/>
          <w:i/>
          <w:sz w:val="24"/>
        </w:rPr>
      </w:pPr>
      <w:r>
        <w:rPr>
          <w:rFonts w:ascii="Times New Roman" w:hAnsi="Times New Roman" w:cs="Times New Roman"/>
          <w:i/>
          <w:sz w:val="24"/>
        </w:rPr>
        <w:t>Calculating Total Greenhouse Gas Production</w:t>
      </w:r>
    </w:p>
    <w:p w:rsidR="00F24219" w:rsidRDefault="00F24219" w:rsidP="00265C65">
      <w:pPr>
        <w:spacing w:line="480" w:lineRule="auto"/>
      </w:pPr>
      <w:r>
        <w:tab/>
        <w:t>Annual CO</w:t>
      </w:r>
      <w:r>
        <w:rPr>
          <w:vertAlign w:val="subscript"/>
        </w:rPr>
        <w:t>2</w:t>
      </w:r>
      <w:r>
        <w:t xml:space="preserve"> was determined for the study switchgrass plots. Nitrogen fertilizer was applied according to the University of Tennessee biofuels initiative (Chapter 1 -Table 1.1) in the form of granular urea at a rate of 146 kg ha</w:t>
      </w:r>
      <w:r>
        <w:rPr>
          <w:vertAlign w:val="superscript"/>
        </w:rPr>
        <w:t>-1</w:t>
      </w:r>
      <w:r>
        <w:t xml:space="preserve"> year</w:t>
      </w:r>
      <w:r>
        <w:rPr>
          <w:vertAlign w:val="superscript"/>
        </w:rPr>
        <w:t>-1</w:t>
      </w:r>
      <w:r>
        <w:t>to meet the nitrogen requirements of 67 kg N ha</w:t>
      </w:r>
      <w:r>
        <w:rPr>
          <w:vertAlign w:val="superscript"/>
        </w:rPr>
        <w:t>-1</w:t>
      </w:r>
      <w:r>
        <w:t xml:space="preserve"> year</w:t>
      </w:r>
      <w:r>
        <w:rPr>
          <w:vertAlign w:val="superscript"/>
        </w:rPr>
        <w:t>-1</w:t>
      </w:r>
      <w:r>
        <w:t>. The IPCC equation for urea greenhouse gas production was used (Table 2.2).</w:t>
      </w:r>
    </w:p>
    <w:p w:rsidR="00F24219" w:rsidRPr="000E30E6" w:rsidRDefault="00F24219" w:rsidP="00265C65">
      <w:pPr>
        <w:pStyle w:val="Heading2"/>
        <w:rPr>
          <w:rFonts w:ascii="Times New Roman" w:hAnsi="Times New Roman" w:cs="Times New Roman"/>
        </w:rPr>
      </w:pPr>
      <w:r w:rsidRPr="00C0338A">
        <w:rPr>
          <w:rFonts w:ascii="Times New Roman" w:hAnsi="Times New Roman" w:cs="Times New Roman"/>
        </w:rPr>
        <w:t>Results and Discussion</w:t>
      </w:r>
    </w:p>
    <w:p w:rsidR="00020B82" w:rsidRDefault="00020B82" w:rsidP="00C827BA">
      <w:pPr>
        <w:pStyle w:val="Heading3"/>
        <w:spacing w:line="480" w:lineRule="auto"/>
        <w:rPr>
          <w:rFonts w:ascii="Times New Roman" w:hAnsi="Times New Roman" w:cs="Times New Roman"/>
          <w:b w:val="0"/>
          <w:i w:val="0"/>
        </w:rPr>
      </w:pPr>
      <w:r>
        <w:rPr>
          <w:rFonts w:ascii="Times New Roman" w:hAnsi="Times New Roman" w:cs="Times New Roman"/>
          <w:b w:val="0"/>
          <w:i w:val="0"/>
        </w:rPr>
        <w:tab/>
        <w:t>Soil CO</w:t>
      </w:r>
      <w:r>
        <w:rPr>
          <w:rFonts w:ascii="Times New Roman" w:hAnsi="Times New Roman" w:cs="Times New Roman"/>
          <w:b w:val="0"/>
          <w:i w:val="0"/>
          <w:vertAlign w:val="subscript"/>
        </w:rPr>
        <w:t>2</w:t>
      </w:r>
      <w:r>
        <w:rPr>
          <w:rFonts w:ascii="Times New Roman" w:hAnsi="Times New Roman" w:cs="Times New Roman"/>
          <w:b w:val="0"/>
          <w:i w:val="0"/>
        </w:rPr>
        <w:t xml:space="preserve"> flux followed the hypothesis that the warmest months would experience the highest flux rates and the coldest months would experience the lowest flux rates. The data also showed that </w:t>
      </w:r>
      <w:r w:rsidR="00894041">
        <w:rPr>
          <w:rFonts w:ascii="Times New Roman" w:hAnsi="Times New Roman" w:cs="Times New Roman"/>
          <w:b w:val="0"/>
          <w:i w:val="0"/>
        </w:rPr>
        <w:t>differences between days with relatively similar soil temperatures were</w:t>
      </w:r>
      <w:r>
        <w:rPr>
          <w:rFonts w:ascii="Times New Roman" w:hAnsi="Times New Roman" w:cs="Times New Roman"/>
          <w:b w:val="0"/>
          <w:i w:val="0"/>
        </w:rPr>
        <w:t xml:space="preserve"> a result of soil moisture. </w:t>
      </w:r>
      <w:r w:rsidR="00C827BA">
        <w:rPr>
          <w:rFonts w:ascii="Times New Roman" w:hAnsi="Times New Roman" w:cs="Times New Roman"/>
          <w:b w:val="0"/>
          <w:i w:val="0"/>
        </w:rPr>
        <w:t xml:space="preserve">Largely lacking in current research is a complete year of data collection. In the warmer southern United States, where switchgrass has shown </w:t>
      </w:r>
      <w:r w:rsidR="00C827BA">
        <w:rPr>
          <w:rFonts w:ascii="Times New Roman" w:hAnsi="Times New Roman" w:cs="Times New Roman"/>
          <w:b w:val="0"/>
          <w:i w:val="0"/>
        </w:rPr>
        <w:lastRenderedPageBreak/>
        <w:t>significant promise as a biofuel feedstock, there is a significant contribution of CO</w:t>
      </w:r>
      <w:r w:rsidR="00C827BA">
        <w:rPr>
          <w:rFonts w:ascii="Times New Roman" w:hAnsi="Times New Roman" w:cs="Times New Roman"/>
          <w:b w:val="0"/>
          <w:i w:val="0"/>
          <w:vertAlign w:val="subscript"/>
        </w:rPr>
        <w:t>2</w:t>
      </w:r>
      <w:r w:rsidR="00C827BA">
        <w:rPr>
          <w:rFonts w:ascii="Times New Roman" w:hAnsi="Times New Roman" w:cs="Times New Roman"/>
          <w:b w:val="0"/>
          <w:i w:val="0"/>
        </w:rPr>
        <w:t xml:space="preserve"> from soil in the winter months. </w:t>
      </w:r>
    </w:p>
    <w:p w:rsidR="008955D4" w:rsidRDefault="008955D4" w:rsidP="008955D4">
      <w:pPr>
        <w:spacing w:line="480" w:lineRule="auto"/>
      </w:pPr>
      <w:r>
        <w:tab/>
        <w:t>General observations of soil temperature showed that CO</w:t>
      </w:r>
      <w:r>
        <w:rPr>
          <w:vertAlign w:val="subscript"/>
        </w:rPr>
        <w:t>2</w:t>
      </w:r>
      <w:r>
        <w:t xml:space="preserve"> flux begins to increase between 10 to 15</w:t>
      </w:r>
      <w:r>
        <w:rPr>
          <w:vertAlign w:val="superscript"/>
        </w:rPr>
        <w:t>o</w:t>
      </w:r>
      <w:r>
        <w:t>C and then levels off at 25 to 30</w:t>
      </w:r>
      <w:r>
        <w:rPr>
          <w:vertAlign w:val="superscript"/>
        </w:rPr>
        <w:t>o</w:t>
      </w:r>
      <w:r>
        <w:t>C</w:t>
      </w:r>
      <w:r>
        <w:rPr>
          <w:vertAlign w:val="superscript"/>
        </w:rPr>
        <w:t xml:space="preserve"> </w:t>
      </w:r>
      <w:r>
        <w:t xml:space="preserve">. Soil moisture does not produce as descriptive </w:t>
      </w:r>
      <w:r w:rsidR="00894041">
        <w:t>results;</w:t>
      </w:r>
      <w:r>
        <w:t xml:space="preserve"> however there is generally lower CO</w:t>
      </w:r>
      <w:r>
        <w:rPr>
          <w:vertAlign w:val="subscript"/>
        </w:rPr>
        <w:t>2</w:t>
      </w:r>
      <w:r>
        <w:t xml:space="preserve"> flux when soil moisture is below 5%. </w:t>
      </w:r>
    </w:p>
    <w:p w:rsidR="0092313B" w:rsidRPr="0092313B" w:rsidRDefault="0092313B" w:rsidP="008955D4">
      <w:pPr>
        <w:spacing w:line="480" w:lineRule="auto"/>
      </w:pPr>
      <w:r>
        <w:tab/>
        <w:t>Combining SOC results from Chapter 1 and the soil CO</w:t>
      </w:r>
      <w:r>
        <w:rPr>
          <w:vertAlign w:val="subscript"/>
        </w:rPr>
        <w:t>2</w:t>
      </w:r>
      <w:r>
        <w:t xml:space="preserve"> flux results from this chapter became exceedingly difficult. The details of the problems associated with the combination will be discussed in detail further on in the results section.</w:t>
      </w:r>
    </w:p>
    <w:p w:rsidR="00F24219" w:rsidRDefault="00F24219" w:rsidP="00265C65">
      <w:pPr>
        <w:pStyle w:val="Heading3"/>
        <w:rPr>
          <w:rFonts w:ascii="Times New Roman" w:hAnsi="Times New Roman" w:cs="Times New Roman"/>
        </w:rPr>
      </w:pPr>
      <w:r>
        <w:rPr>
          <w:rFonts w:ascii="Times New Roman" w:hAnsi="Times New Roman" w:cs="Times New Roman"/>
        </w:rPr>
        <w:t>Temperature and Moisture</w:t>
      </w:r>
    </w:p>
    <w:p w:rsidR="00F24219" w:rsidRPr="000E30E6" w:rsidRDefault="00F24219" w:rsidP="00265C65"/>
    <w:p w:rsidR="00742E98" w:rsidRDefault="00F24219" w:rsidP="00265C65">
      <w:pPr>
        <w:spacing w:line="480" w:lineRule="auto"/>
      </w:pPr>
      <w:r>
        <w:tab/>
      </w:r>
      <w:r w:rsidR="00742E98">
        <w:t>Studies show that temperature effects CO</w:t>
      </w:r>
      <w:r w:rsidR="00742E98">
        <w:rPr>
          <w:vertAlign w:val="subscript"/>
        </w:rPr>
        <w:t>2</w:t>
      </w:r>
      <w:r w:rsidR="00742E98">
        <w:t xml:space="preserve"> flux rates (Lloyd and Taylor, 1994, Bauer et al., 2008, Dornbush and Raich, 2006). Lloyd and Taylor (1994) eloquently stated that the temperature sensitivity of soil respiration is described by a relationship where </w:t>
      </w:r>
      <w:r w:rsidR="008955D4">
        <w:t xml:space="preserve">microbial </w:t>
      </w:r>
      <w:r w:rsidR="00742E98">
        <w:t xml:space="preserve">activation energy increases with decreasing temperature. </w:t>
      </w:r>
    </w:p>
    <w:p w:rsidR="00742E98" w:rsidRPr="00D83FC5" w:rsidRDefault="00742E98" w:rsidP="00742E98">
      <w:pPr>
        <w:spacing w:line="480" w:lineRule="auto"/>
        <w:ind w:firstLine="720"/>
      </w:pPr>
      <w:r>
        <w:t xml:space="preserve"> </w:t>
      </w:r>
      <w:r w:rsidR="00F24219">
        <w:t>Linear and polynomial regression analysis was done to compare CO</w:t>
      </w:r>
      <w:r w:rsidR="00F24219">
        <w:rPr>
          <w:vertAlign w:val="subscript"/>
        </w:rPr>
        <w:t>2</w:t>
      </w:r>
      <w:r w:rsidR="00F24219">
        <w:t xml:space="preserve"> flux with temperature and moisture (SAS, Inc. Cary, NC). Of all the regression models, the linear model for cover and bare was the most statistically important in explaining variance. However, the cubic model was better able to explain variation (Figure 2.1). A cubic regression model for CO</w:t>
      </w:r>
      <w:r w:rsidR="00F24219">
        <w:rPr>
          <w:vertAlign w:val="subscript"/>
        </w:rPr>
        <w:t>2</w:t>
      </w:r>
      <w:r w:rsidR="00F24219">
        <w:t xml:space="preserve"> flux under switchgrass crowns (cover) based on temperature explained 75% of the variation (P&lt;.0001). The same model was used for soil between crowns (bare) and explained 68.8% of the variation (P&lt;.0001). </w:t>
      </w:r>
      <w:r w:rsidR="00D83FC5">
        <w:t xml:space="preserve">Bauer et al. (2008) used six soil carbon decomposition models to determine the sensitivity of soil respiration to </w:t>
      </w:r>
      <w:r w:rsidR="00D83FC5">
        <w:lastRenderedPageBreak/>
        <w:t>temperature and moisture. They found that only up to 41% of the variation in CO</w:t>
      </w:r>
      <w:r w:rsidR="00D83FC5">
        <w:rPr>
          <w:vertAlign w:val="subscript"/>
        </w:rPr>
        <w:t>2</w:t>
      </w:r>
      <w:r w:rsidR="00D83FC5">
        <w:t xml:space="preserve"> flux could be explained by temperature (Bauer et al., 2008). They also found that under field conditions the sensitivity of CO</w:t>
      </w:r>
      <w:r w:rsidR="00D83FC5">
        <w:rPr>
          <w:vertAlign w:val="subscript"/>
        </w:rPr>
        <w:t>2</w:t>
      </w:r>
      <w:r w:rsidR="00D83FC5">
        <w:t xml:space="preserve"> flux to temperature was 6 to 7 times higher than soil moisture (Bauer et al., 2008). Dornbush and Rai</w:t>
      </w:r>
      <w:r w:rsidR="00B263C8">
        <w:t xml:space="preserve">ch (2006) found similar results to this study with 89% of a variation in soil respiration were explained by soil temperature. </w:t>
      </w:r>
    </w:p>
    <w:p w:rsidR="00F24219" w:rsidRDefault="00F24219" w:rsidP="00742E98">
      <w:pPr>
        <w:spacing w:line="480" w:lineRule="auto"/>
        <w:ind w:firstLine="720"/>
      </w:pPr>
      <w:r>
        <w:t>Contributions from moisture were small for both cover and bare explaining only 6% and 9% respectively (P&lt;.0001).</w:t>
      </w:r>
      <w:r w:rsidR="00983ADB">
        <w:t xml:space="preserve"> Bauer et al. (2008) found similar results with moisture only explaining 2% of variation in CO</w:t>
      </w:r>
      <w:r w:rsidR="00983ADB">
        <w:rPr>
          <w:vertAlign w:val="subscript"/>
        </w:rPr>
        <w:t>2</w:t>
      </w:r>
      <w:r w:rsidR="00983ADB">
        <w:t xml:space="preserve"> flux. </w:t>
      </w:r>
      <w:r>
        <w:t xml:space="preserve"> However, the addition of moisture with temperature in a cubic polynomial regression model increased the model’s ability to explain variance for both cover and bare to 82.7% and 81.5% respectively (P&lt;.0001). </w:t>
      </w:r>
      <w:r w:rsidR="00983ADB">
        <w:t xml:space="preserve">Bauer et al. (2008) found that combining soil temperature and moisture also increased their model’s ability to explain variance. </w:t>
      </w:r>
      <w:r>
        <w:t>These results support the hypothesis that temperature and moisture drive CO</w:t>
      </w:r>
      <w:r>
        <w:rPr>
          <w:vertAlign w:val="subscript"/>
        </w:rPr>
        <w:t>2</w:t>
      </w:r>
      <w:r>
        <w:t xml:space="preserve"> flux due to the relationship of these factors with microbial activity. </w:t>
      </w:r>
    </w:p>
    <w:p w:rsidR="00983ADB" w:rsidRPr="00AE7CE0" w:rsidRDefault="00983ADB" w:rsidP="00742E98">
      <w:pPr>
        <w:spacing w:line="480" w:lineRule="auto"/>
        <w:ind w:firstLine="720"/>
      </w:pPr>
      <w:r>
        <w:t>The differences between this study and the previous studies that have looked at soil temperature and soil moisture effects on CO</w:t>
      </w:r>
      <w:r>
        <w:rPr>
          <w:vertAlign w:val="subscript"/>
        </w:rPr>
        <w:t>2</w:t>
      </w:r>
      <w:r>
        <w:t xml:space="preserve"> flux are that previous research is largely limited to the growing season and one daily measurement or even one weekly measureme</w:t>
      </w:r>
      <w:r w:rsidR="00AE7CE0">
        <w:t>nt. Measuring hourly variations through the entire year, we were able to observe the overall annual CO</w:t>
      </w:r>
      <w:r w:rsidR="00AE7CE0">
        <w:rPr>
          <w:vertAlign w:val="subscript"/>
        </w:rPr>
        <w:t>2</w:t>
      </w:r>
      <w:r w:rsidR="00AE7CE0">
        <w:t xml:space="preserve"> flux from this system and how soil temperature and soil moisture contribute.</w:t>
      </w:r>
    </w:p>
    <w:p w:rsidR="00F24219" w:rsidRPr="00BF4D4B" w:rsidRDefault="00243C89" w:rsidP="00265C65">
      <w:pPr>
        <w:spacing w:line="480" w:lineRule="auto"/>
      </w:pPr>
      <w:r>
        <w:rPr>
          <w:noProof/>
        </w:rPr>
        <w:lastRenderedPageBreak/>
        <w:pict>
          <v:shape id="_x0000_i1031" type="#_x0000_t75" style="width:6in;height:253.6pt;visibility:visible" o:gfxdata="UEsDBBQABgAIAAAAIQAiM03VQAEAAGcDAAATAAAAW0NvbnRlbnRfVHlwZXNdLnhtbKSTzW7CMBCE&#10;75X6DpavVWzgUFUVgUNDj21V0QewnA2JiH/kNQHevhsTDqBSkLgkSuyZ+TRrT+c707IOAjbO5nws&#10;RpyB1a5s7CrnP8v37IUzjMqWqnUWcr4H5PPZ48N0ufeAjNQWc17H6F+lRF2DUSicB0srlQtGRfoM&#10;K+mVXqsVyMlo9Cy1sxFszGLvwWfTAiq1aSNb7Oj3gSRAi5y9HTb2WTlX3reNVpFIZWfLs5RsSBCk&#10;THuwbjw+EQaXfyb0K5cDBt0nVROaEtiXCvFDGcKQZUAJE1c4Lf736CENZq6qGg2iCLhIqiPTJW9d&#10;UxbK9BrfEHHa9hBXOr0x1LEog9rSME0rkuG18EgTBJmeR777GU7srhEMwEg9J/L7488qwFrRsbuK&#10;4bY2QHdD/ycjLkj2Dd3RXaZrMvsF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ABJ84D9QEAAM8EAAAZAAAAZHJzL2RyYXdpbmdzL2RyYXdpbmcxLnhtbKRUyZLT&#10;MBD9FZUO3BhLzjYxcapYCi7UkJrABzSKHLvQhqRJnPl6WpbNDMUtuchyq5en97q1EdVTkH7fgpOB&#10;9FqZUImatjG6qiiCaKWGcGedNHjWWK8h4q8/FgcP584ctSpKxpaFaMFHut2Ig6+8VPvuWb43orV+&#10;ynnw12b9lCuNyRtvdS7Tb9kdLzkrN0Wq2mfrBa1sycvRetnm05ewaF/Cy/V8sf4vnM/4epWtU/gU&#10;FBzRILytKSVR9lF15hfuc0Zz2rudz3vxcNp50h1qWlJiQMuafkf/D7YnnBZ/fVIAiT2aazrYh6u8&#10;ThSGlFD1jdcjl3AFkxo6gzChsk1DsNiqnK0Zo+SCAPl8xmcJFFQIkYiEhc3uy3JBiUgO89VywZJD&#10;kXEkT+dD/CLtzZhISlRTL0VqH6jg9DXEXGoqMUqYmUhSJ8IOKA1UP/GLDOa+vZoXcpI+fsOlUfZc&#10;U6E6R8nZg6tp+P0EXlLio/poVU0HGqBSIe7jRclbKw+ku1uzJCaw73BBLhSYY02leftjT0l4Ri05&#10;Cp1OFcTOkHhxsgGRGrLTOPMP8kwerQZDieuiaD+D7hSqzu9RfZzqIFGe8doi3BCOzYP4EpC43ZE3&#10;Kr4jOKqM8dRWcWguPMW9GwWfZB5mIkzWf16X5PnqAdv+AQAA//8DAFBLAwQUAAYACAAAACEAc96X&#10;VwcBAAA2AgAADgAAAGRycy9lMm9Eb2MueG1snJHNTgMxDITvSLxD5DvNtodCV5vtparEiQs8gEmc&#10;TaTdJHJSFt6e0B9UTki9jT3Sp/G4235Oo/ggzj4GBctFA4KCjsaHQcHb6/7hCUQuGAyOMZCCL8qw&#10;7e/vujm1tIoujoZYVEjI7ZwUuFJSK2XWjibMi5goVNNGnrDUkQdpGOdKn0a5apq1nCObxFFTznW7&#10;O5nQH/nWki4v1mYqYlSwbjZrEOUi+CLeFWya5SPIvsN2YEzO63MkvCHRhD7UAL+oHRYUB/Y3oLRD&#10;LpWl26M6h9I3k86Aevn/PUdrvaZd1IeJQjmVzTRiqZ/OzqcMgltvFPCzWf50J/9cfD1Xff3u/hsA&#10;AP//AwBQSwMEFAAGAAgAAAAhAKsWzUa5AAAAIgEAABkAAABkcnMvX3JlbHMvZTJvRG9jLnhtbC5y&#10;ZWxzhI/NCsIwEITvgu8Q9m7TehCRJr2I0KvUB1jS7Q+2SchGsW9v0IuC4HF2mG92yuoxT+JOgUdn&#10;FRRZDoKsce1oewWX5rTZg+CItsXJWVKwEEOl16vyTBPGFOJh9CwSxbKCIUZ/kJLNQDNy5jzZ5HQu&#10;zBiTDL30aK7Yk9zm+U6GTwboL6aoWwWhbgsQzeJT83+267rR0NGZ20w2/qiQZsAQExBDT1HBS/L7&#10;WmTpU5C6lF/L9BMAAP//AwBQSwMEFAAGAAgAAAAhAF4NhactAQAAlgIAACAAAABkcnMvY2hhcnRz&#10;L19yZWxzL2NoYXJ0MS54bWwucmVsc6ySQUsDMRCF74L/IeTuZrtCkdJtD61KD1LQ7W1BpsnsbjSb&#10;hEzU7b83FqoWKl56S3jkzfdeZjofesPeMZB2tuSjLOcMrXRK27bkm+ru6oYzimAVGGex5DskPp9d&#10;Xkwf0UBMj6jTnlhysVTyLkY/EYJkhz1Q5jzapDQu9BDTNbTCg3yFFkWR52MRfnvw2ZEnW6mSh5W6&#10;5qza+TT5f2/XNFri0sm3Hm08MULIDkLcEIanDnxKwioILcaSZ5lQAT5SajocRllC5+I0VXFOKmdw&#10;vX1BGX94Gm0wFSkWk/oLl+r7ALt6GZzfuqGuOiRNdeUimMW6WEKELRA+j4s8GwwNB58Hp1Jxt0PE&#10;YOHPLKNzZonp53GdFipohQeOfb97RRzp3xWLo22afQIAAP//AwBQSwMEFAAGAAgAAAAhAF/oNCDd&#10;AAAABQEAAA8AAABkcnMvZG93bnJldi54bWxMj8FOwzAQRO9I/IO1SNyo06JAm8apqooeEOKQQu9O&#10;vE2ixuvI3raBr8dwKZeVRjOaeZuvRtuLM/rQOVIwnSQgkGpnOmoUfH5sH+YgAmsyuneECr4wwKq4&#10;vcl1ZtyFSjzvuBGxhEKmFbTMQyZlqFu0OkzcgBS9g/NWc5S+kcbrSyy3vZwlyZO0uqO40OoBNy3W&#10;x93JKpi/v3BZ+u7wtpX72T7dpN/V+lWp+7txvQTBOPI1DL/4ER2KyFS5E5kgegXxEf670Vs8Pi9A&#10;VArSNJmCLHL5n774AQAA//8DAFBLAwQUAAYACAAAACEAu/cw81hSAADZSgEAFQAAAGRycy9jaGFy&#10;dHMvY2hhcnQxLnhtbKSd25Idx42u73fEfgcOQ7deXHWuxTA1YXOsmQs5ZsLyzH2re0nqUB+o7qYs&#10;ztPv788sIIv0RuaaccnRJpuJygOQSOAHEvX7f/7t/u7Vr+en59vHh3evu8Px9avzw/Xjze3Dj+9e&#10;/+dfv/nd+vrV88vVw83V3ePD+d3rT+fn1//89f/9P7+/fnv909XTy3cfrq7Pr3jJw/Pb63evf3p5&#10;+fD2zZvn65/O91fPh8cP5wf+7YfHp/urF/769OObm6erv/Hy+7s3/fE4v0kveb294Op/8YL7q9sH&#10;o3+6hP7xhx9ur8//8nj98f788JJH8XS+u3phBZ5/uv3w/PprJndz9XLuTsfx1a9Xd+9eH1+/0S/v&#10;rh5+zL84P/zuP7/Lv3x6/Phwc755//j0wDLu2t9fv/3D3cv56YFXvX98eKG3bZ73F63U/dXTzx8/&#10;/O768f4Dg/v+9u725VMaLgPk3e9/emQer/5y/uXj7dP5+d3r6260heCPf7cU97fXT4/Pjz+8HHjj&#10;m7wKxg29dnmzvuk3fjDZbnz7/PLp7pwn1B17zfaN95uG8M3V3d33V9c/a212jb1p+XcRfrkYorq+&#10;e/rz1Yd///Xp1fc/du9e3710r1+9/Mafbn7mT9//2Ot3vX7Hn25+5k9X19csJC22P9hv+Pf8G28z&#10;2G8Ga8Oi5DYsVP7DZL+Z7Dez/WZ+/eqnu9uHn1lI/d/rVz883v1b/oX9KQtAEmFN5urjy+Nfb1/u&#10;zv9yvju/nG92snD99sPd48sfns5Xanh39enx40sSqefrqxdk5L32UlrG/PfvytLT5fnPiML5KXf3&#10;69XTp/ePd4+fyRrrf34S/e3Nb591+/h0c3767Dcvv6ndr1+/f2Tb//6N/qif+dfPH/6D11y9vXt4&#10;9bd3r/t1Wiak7ertw+M3t3d3kgD9WyLITa/fSkxz38+f7r9/RJtox9zcXt0/PtzkIT/f/vcmR9P2&#10;i62b58e72xu9WX0kpXF+f7cNFzFIXd99vP/z47aW05FHr2AUH+///Ycfcmf+a0bnb0lj/awDDZwG&#10;jT7zJHetvpwyi1Xm/PJ0frgRi7So/pe/fvqwTfjD492nPOcdJ4b8m5vb5w9/+e6Xbb5d+eWffsnz&#10;2n7lr/32exbKxEd/ur96+Hh1920SJ/194/3vjod+Xdb5OByXfjlOx3VY89s/5Revh1O/Dl3XT8tx&#10;XMfjMPzpd3nXfvlOJpulVa9/+Hj/zf0LG0Hq/P3jDefBv57Reld3HBKPH5+uz9+yU843m8KUVNny&#10;pKHvf5GG+19XaUK89y/nH/SbH77+7qfz+aX/p6/ef9W/5cc4DpLO9I80e3/FyZIa+hi+3oaQmpXf&#10;8rIPjPEjSjcJ5DimCeq3r9gkGqLe8+vXx8PpeOr68eTPXHbFh7QpjUQCKRKOyXlZpqhZ7826eZ14&#10;O++P2g7eth/HxYfAHyKK0SmGsTt1M88StdXmzQMexmFaBz1R27m0nZYFkam0XbztuC7DtHRjf9LW&#10;PIbzXJ1iOu6WujLPU6EYhj6Np8/rE82gM5Z2h2UYP+slJCksPQ39cMn6d4W9p2U95VUN31/4ezqt&#10;I/twOW6dhCTG4P6AgdQnDi/1xe2Mz/2hhyFZKBprZezuD8jdupf/cGDG9f4wnTJDhiENrA9JjO0i&#10;GbNMhQLYGcf7w3w6Tqel7/suzSLckL1x/H9AYhzfkWD98ISy2xvH+8PSHcf6luuN4zQe56Hvp5W5&#10;6FmjVeoLx5f1CDf6+bg2SArHl3Xp8lPnRV84vnbTvFN48cCM48Ph2A/zrpd4rYzjkCybxmls2974&#10;Phz6bhin9F+afqgDB+O7SOa5TwZAnYmD8R2SaUR9ozzHBonxfTiM3ZLksQ9FfTC+03hexjz1OkcG&#10;4zsknNJ19TwYx2m8bruvsbCDcVwky14fhhwfCsen+bSTkVh6MS3yITMc4IRODdR1g32F4/NyvEjr&#10;joXjM5q6x67BstETcmQsHF+GTVHngYXTx0awubABi1TVejG+j6jrhc3If2saWKjoRuP7eOhWjDOd&#10;n1mRjpGKGI3742E8LnttHZ79o3Efkm7ctFZjxYz742Gal9Oc/kusjHsx7o+HeRhOY9ctc5a0UGmP&#10;xv3xsMyYRqLIrAxXbDLuj4d1nredkuYSrthk3B8PzEBnCU+0vJPxfTpgrSWG9KHymYzj06HDyE7D&#10;7+ocn4zj02E+Hk/phG5I72Qcnw4n9HVSDll6Q15MxvH5cMTey0+d45NxfD50w4Ip16MUE8dD9k3G&#10;cUgwFHebJDwUJuP4fBjmKfOicbLPxvEZdTodF5TRkAcWbt7ZOD4fUCr7gYVyNRvfZy1ytnobizwb&#10;9yE59RdxfzbuL+x3OpnWtc9HTyi9s3F/OaDm1knbNwtMTGLcXw5jP2N06Klv3tm4vxymbljl7net&#10;gRn3IUFD9oueRi/G/eVwmk7zsOpJJCErF+P+ejiui1wcm34olotxf8UGRq+s8wnnVk/I/cW4v7Ji&#10;I66a6+Fwiy3G/ZXD7phnn6cf92Lcx+k+zvsVC9VRAl3kt0ECIyHqlsyXePrGfZF0Q+I+qoYndFMX&#10;4/7p0GGmpsb5R0xi3IdkHubTqCfRxKw07p8w1Y6ZokGyGvchGYa93RIK/2rcPx0GWJ9OlHCtVuM7&#10;jU/ddjSkWYRMXI3vJxk541CsqZjE+H46nJbPFHh4sqy26yFZxznvx+jMWo3jNObMyrsqzSKU3tU4&#10;3h0Px3Gz1cL3G6/VeMrOW8OuW43XkMDrJOuhYJyMy2rcd9mkjQZzMv6qMZBK2qphY+OvGs/4tqE8&#10;n4yttOzZNsnFSWsYnmUnY6tIOJTSE47EGErjAZRNT2MNT8ZWkUxL3Sk47Ri6rFjsvh/j8e/Yiq2a&#10;TpY5aeNQLE87tq5YOmCGHMZ6wl5oZfDNUSZbXtlombqjsxdojTNStlo2EMJBKSKxgVuC4+ZBMwkl&#10;vzs6pztEc2q1diZ3B8CB7PTXF4mXlvHgn7R6cDZ3h6Ff0CihkHZH5zJt5wGfgYMqXktncAe00ycz&#10;IFSF7NIy6okFTBhN+O6CsHUHQgNwKh51t+PpPJ8AQ8A3G1JTsDUgvGkA/qq8f8fRFf1X2eYdkbFN&#10;VvpD160Sr9gZ6BxO62iN7VkZg3ORlrJqZKfHq+d8BKfrM0yXTZR4H3XOTdGs2Q+Ie3Bugm4tx6wP&#10;wtaOnjFPDOxZ0FZrPL1zFYDnuM0h7sH3KK3RT4JFGvqvcwCtg+bUrcA0Yyztjp3RuufAkfw2e/Cd&#10;CjACOBceUZ1jZrx9msGm0H0bXBHP2bkMILKMixDc5qo6l4cDKh+nkifuwbk8HE7daSAKMMZ60rEy&#10;5nDCq08iFL7bYbJOeEaOL8RadXD+0hpUpq6ZHCLj3d00NDSko2OpdVVBOjZG036Y0hRbQuDgmGim&#10;obUszlRarwjaoINQT8wmB8bUw0qIKdYjg3N0PBC52Fnv8esdEeP1I/Z7cRErNL57QXjWzSAJZcHR&#10;MHoAdMOhwhNpTHp0rQy6g4+gqcSnjyNh9LBwBCYjMB6P71tgoG6DWOPWrpvVeqnbl924Y/A6zElT&#10;xZp89P0KunRcsvS0VmbH41OPtVa1Vxzx6oQyzdlJCefqYBet5dLUT3FHu2g9GbDfGL2DXqIBGK5r&#10;Ece7aA1EgttH+KdhPzngBc3SrRetqSNe0JyAMGp7zKGuDnhsVew7Xk5nLxjXMvTCLFqmi2NcvL7H&#10;Zy9HXXy8OMglmiljtK2jwlEu0SwnLLDEOX7E295hLmgG7OuMT4uuQuMbGZqOBXOEoELjZhY04zFB&#10;Pa11c6SLsRFlqdnBs+/oGetzTdqipeYd4uL15EPUY3c4i2Yn0noi5HPB2T37voZm7lLANj4xHdnS&#10;eBDzinHpiJaanoADHAmJJcohLWiWPFts7/SE0u6YFjSwWZtoE6mY04tzegFJQD0p5tzqx9U3NBPx&#10;N6F6iaYyH2c52CnOaoF1K2NzVQ54Okop+MLFa+CMX9ghGXBt7cTFGQ9Nv6UohD04qNWBnE6Tr3Ft&#10;DzqqJRrOsFhjOaRFS+JPu2hBbBg6pgXNCloTD33H7HWe8skbt96xmVhYtkvi1jsGn07zRZ52gbGA&#10;h4/5KGrpgdUZDM2JUIeOyCTmsSAVOEs09c1a0KxV+EJO22hsiAJqgVkfsShdKEJkuDu5xb0K6bxo&#10;4xWUC5ohYx+tjVdgLmjIHSI8sMaidHKe0xoXKTG9NXvnPPD7nM2zFhcL3rUSscjJMa1tetpxft5M&#10;zNiyK1gXCP9yio0EDGE7K1bsFZxt514oUX3BuaAZ82Aac+4LzgXNmrO4mjR+eK8HxaOTd1OX9v7o&#10;u1whBPLuCsYd7V7sHFuDEzsRcbSTIzYs+qPzXUGEMSUrhedlX7AvxQ+yMZFPp8oqO8eh6dcaitQX&#10;/ItgALsreevhfAv+RevlWDZsnIXQFxzsdBiJ5JRFimdQcLATuEOlnfOZuASjL1ot1CB9wcKgKQxj&#10;USv97Pg8I07lGK70s+Pz0menvKFxCXMVeVqmpEVaZgULuqNB9wgvyhhNaFYgSIWGzJi6N9MXnOx0&#10;wI8nrjiODWMH+HrXw2ncRWfiVfY8s46QzpZn1tDTfUHLFGbKp22TxnZ6r8hLwyYGWdhmotY4KRUL&#10;vXe8TG0JSqWAR7ibeuM2rcn8yts6/ayskXFbNBvq3+SFcRsagtZz2YGx9DpqBg1G/T5fLpyPY2ei&#10;GbdUwbqBi9lYVlc5xQnFiXuw/d4T8yCLrTiZ4dncO44mGhyUEkuPV9kBNWi6bs46OnGmsmK236Eh&#10;/6AOqPWeaEbrgeh2NhbSz3j2znvFTPYsqczeeQ8NWVYXoGTkZhhPoAHESisWjsrTzDQTYiIgmyR1&#10;6YnX15E10az7fKAKzY735EsVFVzrx3c68RolfYZGPohOmfQW7d2A9FiNeooZ0yD4uBOTyjR803eH&#10;uZ9JUzrNsVA50EYPpIAk9yAbfBWaHcsFPV3gxGO6ldmDjiTfNDZKHG5jVBe09i1O600rZgMuXlmH&#10;29QDKYJlg1Rodswmwyhr34YgOuhGP2T77VzlSj+7jU5iXcOAc9itJ599yCdCywzwFDPRcE+lOPDx&#10;Rnf8DRrgqnTytPpx/E00U/Y9G+4EGV8mKdAo0URIaFrlWCIdf1M/a8OBBm0sPeBlpKm0DH5PMaMH&#10;bOYartQ74qa2n6XXxKvr0Fui2UFRcfCsd+hNNONw0WHlAFyiyVli29EQKmAH4EQz4XuzZK31chhO&#10;NHN1uRyGS003ec9jCofkMJxo1knx+tYFGTIGdmwnqHfJOe0wHP1wtqVwbKy2PK1MrfHp67bG4tuc&#10;1hPRH3I+tgtK8bxduYumet4sfphzA6WDYZpwa1lds0PDgl7icjvuxqTHHOOO00TIASpM4CjPWiSc&#10;rqNuvBvPbhNU/V+sPR11SzRbPK2hP1bX7PQzcItIT4vGz3NoRrQO3I5Fw5PJNCryOpJspPlUZrJj&#10;NonAiYMt7ekwnPohrbkugg7AqTXHUzXohDwU3s3KIoqNHUfeePFM8Lw88XQdeRMNtw8ksK3pOvKW&#10;aIi+E5xrHUqOvIlmqJlsjrqpJZZUWp9QWD2xTK23nNrWhnO8DRruW8xKyclx7/iwc7xNNFnrN4XV&#10;UTfR1DJ5WLzCZNLX8ulY3wpEvArNStJuImrRuNHWY+JdxG0S/Hb9kK1eTPTQHEZpFxokqrimsVVP&#10;TH1Hw9+SPkjzqfSz0+Z4wPWthKK3HsjB2bJqGgoHMHpHw2a9AD9kjQoNVt4lMV9ikXuacI9zu3nX&#10;Dkmp7CQszNIW86FY27EiHzrnNplHIFdJIWRFEu3BwbG3XtlKebohFj14HhqtyT1KFn3DsMFsKDMZ&#10;SFfSqBpaCve70KALLzG3SUIsNNN4kbMBMrejOSmY55o3XDHH3liDed5nBYQaaHDsDRpQxF1cJd4f&#10;jr2JZgPMY8446kbrFbMrGV7143LwTDVoTgCUF83edzo04ATSXC0JKBiccrK4kQdDs1iGZxsJqMYZ&#10;aPDHk4aMeeK8J4+r4/x0F6iyvs57pVstO48udDo4NWxUE07NZxe6w7EVDE40c3LkG6ccS7rrhyhr&#10;UqUNfeq5bP0Eqp/jfa19VpA4cmg6LuVdsG4FiYNm5AjW09AyntrG2GZutiRXokXjEjCRr51nktch&#10;5qknuNEPF8KTMZfHFkuaZ7qJBs+oppULDqc0nJzx1ZL+gsZBAzpxyY4paBwpNaSslSfWMZ7n1kOj&#10;XZluHKVFDmXTs92gGahQIPY35+MagPQYkEmd9U0aPwPIk+EmWHWNne8kmYxk+PnOjHlYQDndtNtq&#10;UDTkyy99MvdF4ZBxJrVaTyxfBZSDBtw+LVi4ugWUI42FvHexPq9UPBPPhGNUXOa7iCMFmtOlwe2O&#10;ezwqt+9IejmSiA7TW/wroBw0RJaTk9RaK+c5NAM7C6KWPirQnBJyrC6FGFlZMdf9JOQcq/cWSMQ1&#10;vUpbkrgvkfcCyZG8QzpYMUbiMRVITjRr6qfhZXEulrGxo2reIlcu9m2J+2oTNvhRADmSg7iPmAbV&#10;ovG9Dg13N7VesQ1SIDm1btw3GQoYx/VQM9hCqS0wHIlHsOESLVpgOGhGig9dIIEFhiNtiUz2YhDG&#10;VkHB46AhDJR2RziTgsSR5LRwQV9TSXyIdXtB4kSz7pyyCs1un8O4XR5TLLcFj9M111pG6lDAOFKF&#10;uKNblFtloVy1Q8MBdYnqKagciTwnxE9PQ2w9D65XUg62s64BNGgKKgcNqucSE6Vgc6LhGo9bavER&#10;UhA6aKiT4qdbXF+JGIVtd1KAiJrVBaxgc7ReueMSx9iIC5Y3cw2cpmmZ+FGZgSt20n+Q9gIqxMLo&#10;CXJwZAHdFhNbR2FB5kSTWd86qAo+R8oQ2qrkw8RjKygdKUML3om0XFqGL2io+lUKfuW/pCJh/PG3&#10;rW7Yp0r9sD+8/eoP0gr/eOUw9jICPecCalYKzFyTY6R5DH0YyMDCByViS62L9EQUdiKNupxLjQ+u&#10;IWTx+GJhSgkzE9SB83WYuJjM/1IXoc5xLUXOHWgTCRsodz2hAJrIMg/qjXGjY7SQUTQPE9hBmROo&#10;KtLAG4JkimrA9ybZYsBsb9QUMCtkFMYoP0/3/fWEMzdbZGLmCqoRz8irG56wDjQN+TKinPxcUCHU&#10;uY45DfK9yTIdT2tDfTr0xBUGgrayEeP7MsbwUZVjNGOhQnpCEXHEibXlPqAgoaGVku8sB6SiuBR3&#10;Vbi+lJ6I5Y46jekWHkICTaII+eGg04ADTU2bI9lr8TU/4zeZUSOeFlcLwJz0hHLrYJPWSluPy9pZ&#10;3YZr5VjTjByiMEdCOrmXUEYcaprgHolh3BjcSvnEJLbPJ1IayCYjLWPD1GMS5ztbSvfDwAHy8sYR&#10;HdvpA3lhA4lhmFetuTjfVUKDi8MEtFoqy/e6fCEMkxmUKhISB5kmwXJMe9SdMj2hkPTG9+mo+AO5&#10;aM0qMKWaGPE+zBHuJmy1M0JRcZwJjTVRiADHKZQRx5dY14VL5zN5L9GEHVdi7+GHqzLUVnIs5LTD&#10;Sotca4VcTlyk0RMqBUeVRgwQEljJpNsq5cQDc07jMJHtMrCnMhQbcsIxpUGRXbJ2VYQrDSxeVlPr&#10;qFzSJikTA4iX+B0PzPiNUkD8cCJImElPPDBT7DPpbUes9QW2RBxxRKlDxHWBCHisEc9yQIljmUvs&#10;pyN+dUO1OZ7EDscTgOljF8YpHEhCSCh2wvV+dHR6Qhl0HAnVlixnWNHQ6Z7dxd4jMjKuzKJxkbkk&#10;d5GDjHYmjIY+0BNy3C9RcvxhV6QibfnkCPWUY0nsvXVkIkC2cWPjtSaOTXUEEMvsC4fkGNLIhmJf&#10;QEXmQHoiIXEgSScTSBIR240kHJjjSOI48BYn7ZarHg/MdDocoSIBEWVKxYZD2mlzzPkeLbVpklBI&#10;HESS4YZPwwWTWKv5PcoRj5dyHZxhRPD0xFO23c2+UMBAFVcbgJ6ndc267QsCSjmoLFHhhnUIaSFo&#10;rUgkVSGy3IYbyhEkafMVr5eoUag9HDrigOHK/Ugxq7GhEBw5WtHqDJ8Yt9V0jdjnANIi34rhSDjS&#10;8sYDc46rsB68E1nafeFaeV4XRhgWz4KGJmFST0xi5/eKPuw5PXCr8+6ISZzv1MpbVKAGyU1zCaXX&#10;0aSFm9jggAj6VjMsNPgcTFoTBIOdcNwMypDvjiUxl6OCcjjuDYPPoaSTykbNhBionRUx0ZGkE6mS&#10;J93x6rc9Eh7NDiTBBkp8ohMosRe+3ziOXBGzmbj1DdSoJx6SneMn1SJaqF9EjkwiiYfkHMfLpIIZ&#10;VQAoMaYnJnGOwz5QPRzTPK7KwOwcR+uu2F/4KRtYE0/fdPtEwgUHAew4hY0dPlrTrSAYJ4WrJ9xQ&#10;jh6hFlR0krglwJOeUIU6eNTJ7VAlKQpcRuxz1AgtgoeJAFYcOQeNUGs9QQRqCLRq4zh2BMjCmnLz&#10;j//CwRiXT0q6xfcBZMl7NNw+jhnNqUwf56TsIz2hYDhkRB1ITE8ECag4dxMOzLiMWQTASHwaUCH1&#10;Egq5A0Y4opQ/UpluDlg9MYmDLxjpVMTGbcBkTU80MM/u4iAQ8DKtXIxJvYRC6MldCyUa8GZWcs4y&#10;PhCumOd2UY+KkspCeWKJ9fQuDBBSFxcSdzevL9S0nuOFKsBMx3fAtm+sle1ucBfOsxVcIW+LyvLa&#10;7uawAFXldOIYCBfWOT7i7y5EWsiEqA+Jdd9wUvBaznDyzuZtr4Ys35UQwwaj3i8cxOWv8nxXQuyI&#10;aiPYhFIIJ7IrIYaK4orEggkWCgeg4TYHjB38HjBAszvDLVhKiK34MhgVSl/IBlK40zu/ToltoVAF&#10;6FkmOYaqaldQTJ7pCQ4iuS2eONNnHGuVNOfaf4um8B4UQsW9Me8bNI66LUIJ4DzmaDZFw12FMre1&#10;Rndx3tDPttgVGoNhiEziRXGoydmuy4unfEkHY5GpukAsLw69kVJCFA1uYo1G26QUHVtZXj4TgNLa&#10;MPsKjan5DonkKqAKdjcQG6otb2t1InxGErigsaxOYxnzZC+gBdxHrrRSxrXFR+P9qsmTHkdF6Xye&#10;hOct0Ivte84t3AlCPJX96NgbyfWkRSPE29zj2A51TrceUKaqfUN1CEAGPZVRmaeGsYF0YYniPyea&#10;eMU82QuNIs6oVFrI+nLDcsGXotIMgrjBHjGNsR5r9zSRWjdRwTZJbyzyDsCRq8OCUXOTPOA0kVit&#10;OgLXreAfHNioi6xfKjTGenKcQLEwlrH5G/04Bocdm0S5g5vh7B2Fw2PjaDxRUKNZoMfROGBKlXMA&#10;yYGovuEdjkMho1LQd4QD00xiJe54HDseq4ibHDzxTMyEJ0LLVUBlWDePrYLFYUUo/MEGzuZdrIz8&#10;viXNCS/RC3fv41G5sudeGMXpFxzJWNg9pwsx1yXkFPxurGxB4nCnwPKxA0lv1BOvlUNx3CbHHhce&#10;tT3x2ByLk3nDEU4FszWet4NxpM2q3gyuS8tvQbZNpSCLoAHk9bUifWQBmaJDFsH7WGI+R5GekCeO&#10;x6F/D9xqJApSq6xmal6tdRxSRb2yss5volDYy3iRU6wQHVPjgkySJbyLcNiOpnEnmNQFdAE3ahtT&#10;dTiN41UxRF0RbZ03JS0LaxnlAUjdXNJSpkx48IAHzWkQz8SZdsJDR1KpOtqymhxYg+XAZOB2U6w5&#10;PB8LCFgVklA1G+YTc84xNVn82H7Ul68xwzQzq6OTBqsjBsvBkDYpxUzAKQKZtrhsrGccUOOMlBnO&#10;BZAtih3PwRE1mTGETdFmW1XxCo0dygyLnXrJ7TQUnu06EDJ9ZQaDZHOLQ6Y7qEYfJJQqfBr7OmSx&#10;bD2gZ1TCQTk3LSfEM7PwnQl60A+AWjwe4yDHED2kKrKx9nNMjMi1DKqe7JyWgeigmIxc9MyEddE6&#10;Jx0bk1xJmWEitDZsAcfQzOzvlAoSznt305GjeFIoe413kmdWoWrIFcKDgNcNpeMpVljfSmfmrmAz&#10;du8l9HHUAPjAGlQVv67HPcWKmojofqUXbQkwsRL1FCsqJeB6KtlvSw6Jd4hjZGREYu/gpauiXX1s&#10;DpLhopNSAuRl51+lHzOpqcsOPshhVglk4P3bHuRc4sMeYImVU8xxMrYpDhdst5SpynhsDzIOgny4&#10;nZYnVqHx03IG/kk4VlMzOPrFealiTuyRbORWQAFPmCL8plCz8KJGFJVQga3YigY6Ejgnu7JhKfn9&#10;RlntaCBsHhZPT7wGjoCRdUsQiBRiaieE+9HBL05McAfgr5orXHAvZJFTUOBoCwhw+AvnJt3oJ/iT&#10;93CsHQv+xfpyYURpqC3d5Xcc8TcBNjABpo33sV71O47UtcfYYAtP8SceMeyMg4zqyHd2FD2ocwOh&#10;sJOECAggCNUJzNyNeFKqi6Ec0GAcvtt+jx3iUl2MswqbA3RVLoie0P7j0NzGxnVpvC990yWGoktd&#10;Mc4fxVPxPFo6stQVA7zFqhF4sqnv0CfEhdhGJWuFevOs8rZiobyU6mIA9lgEst6xiqo6klCnzZ4v&#10;NBDk1pcrKj0Y71FDGhVwOoGNeg+eEoYgIsUpNzb7RjFPHGwCUQfOwgycNjA6Hlu5Xyitp7wRngbv&#10;PdMLASaWmS8xtWhMu7K7kq5glTNrKmPzVZZdS1JHXjP9DOW/pHwhl8RqqFpIaCU9IY1DTiO5svpa&#10;a1bHzCjUlKW2FzpP7kn62kzqJtQYpOVsUoPyUwKiMjzTssXf5ym1vcgLAQbnAeRJ/cTr5sATe0z5&#10;tam+TuqoMp/i2FAaGSOcBMx4wWybEcUmszUdllmVV2hMAFgGYgAEN3X5tcEYEwBcUW7/KMbe3Die&#10;+wVUo8AEuT2oDj3xgjnwpPmQvYZXELtExIQ2NhK7Ag4DzcZ7Tz3EYunAE3mwxLzkd7TQUz4rY0om&#10;3YjvMZJauVO7Ql+IMna+Los1jAtU69aPjF7OV2UG5aMp5qbDT5wwyrDgBvqWrltZA5MAKtVzYALY&#10;4RuGMuYXC0HAlYKPPjs2zHe8B+MMGDWF4YCom5mYDkLJfCczQYnyuZ94IzsIpeNMkUWOw5YsOwhF&#10;HY4M9yAEjU3pUBQJ0RxNDAyNniQtRCj4gvS2BpRrUYYNenM7BCo0JgFIJoqJwhmk2DQk2qEocqkw&#10;NCq7q2SELQRvlVELHNqaue18gXDoPMzdIZascrEQqVdWIqZCwwXDhzBZIfbDnAGDW1AwRqvtFExY&#10;PDAlC7WUseNYBGFxX9AZ+jKdnlgZFxwLOFHZHOjYRuya4LaNDZdd5RpI0Mg8jPdYyQ/j9kBtPKbv&#10;EXUOVUlh/Okcbnb7SMjMEOBlRVJifeIQFj6KwPxLjnrPC+N2O7udOwbEukN94kAWBRjk3pklXUlv&#10;K3W+2EaqvqCPZbTOEgeyZIJyb5NiKVuSbOjal2pfnFYAtTJBtifmnQNZ0toSj3jmvruBr4B17d38&#10;f0xjHJdRzLSxcuLgFQO2vSSzG/QqVjWe1MXxhmdOYJcIfGM7OIKFLsMMwIIkgaxFY1sVAAO0hCPK&#10;hDDedo5gYW9LcMkG2Byu+ChwBIs4cIpx6pPS4bI6ggUWz0xwl3GcWjMx9vFm3S4j73rDGCozMfbh&#10;k5P6r7TBLSmsQmPbFiNCFfeI72+JBxUaYzwmA2oaNWUQWyy4jmORRcbXK5Sh0soip36zCxieDSkw&#10;oA0tCXAciw1FLiQIYPzBND7ns3WAJYeWBjAiCabBGIexuBJF2I4AFrB12lzx5B3MAsbCDSLYh6/W&#10;ojEBIATCgilprRUSYH1MB4uG69BQtawnz/4S2EJcg/828KAyHxcAtrPAbllcofg79KWzkHgt55qp&#10;o5DGoS9MTNiYGBOfIw56ySrhawliY9b08RZ20AuJJ+yM6TOSp6mnQmO2OWFRkpJRSqQAN/joABja&#10;NGWbqHZ4i8Z4L5UEqC4HqDIq4/pAnI3EXLDbLT011vQOfZGMnSrlkHSUFXJllY3rss5SWjIGYNot&#10;Me8dAMMb1SdGFGZr2JhoX5Nidhhury5qNDwTEtxNVWCj4WVh0aM+9ITzKUW7dNrpq+dc8AiVeCnX&#10;xTVIgbHUWW0B8aVcF2kwyhpCZFpfWWZdbSbsRyJCqJgWZFKKdkkhE7kWYBDyvpTroq8EsBBWyLwP&#10;+YgEGk8IuoESpKVtrK/ncyloj48tXGazv6J9j2299aNwh+5J66Jw6ic8jkoJLyKOHHskV3JFor7D&#10;Sgkv7X599EVfCGrRmK1N0iN+mRya7X5ZvG4FaJPvwIGDwRDLmENs5F2Q8LrzyMLdX0p4EXqjkgLV&#10;aAC/WitmOxmdpyxLSkBvjkYsNQViY5W58E14aIx54uCaQgrYqqrm0fB7sYJN8gldLBys4KuVHsqO&#10;1xd2cfu5gdiQSC/exf1DpEvVClrBiFK8i2NeVfDBI1rnI7d0tpkQuBC4jLEXhyzx1W3e7EcFa1BE&#10;jUQrnDHrQdnUhGnR3g3Ac/CELuLYaDDSWOfN9w1PevweG9tJelXf5Oak0BNzxnE1hR/1ZR+SGpo0&#10;xnvMKfYJhzCltUItUXA1sDh0BO7W9lHGWNs7rkYOORm/Orm263aVmdiOZ1eli6vEBxsIA1/Z2VYM&#10;rBPjmDA9oYWGXDquRkPGxgdzTQIq83EJIHmAm2fcqd0uE1fm4/teQWvgHupbNoIeIFwmAQTJBiLJ&#10;FHxtneCOrgEnU1wcl4qvCCXtGusXR9cIESgpAMNVd6x44jUo6Br6khMZP327XVXpx2w4cFVqcREs&#10;w8Fv9WNyIGidU5xwOkunJ15rT/SS3UdMho+kNndOQdfQTwqY8bWR0Knmpr1zBuwHF0YXL1urbBKA&#10;+gYPWZTIlKUzPsMcZ0MXyqViuZaGBcua2tgWZq/qK5h+4X52hA20BbkEJ+R0bfCkIGxopnQNkcu2&#10;DZ44wgaAp2s9ALkEJdMTj814T3AUlINpoALi1rb7EXdhxHRgvnFMY/pf6QQCyLESYo3sOJusfTYW&#10;MJJybngq62tcx+vm8glfZiUUk6Yd2xWOs5EnpqI7i7zvRBOPbYe24beQgEGQpLW3PG0MUSeqROiW&#10;FOjGfArahnTptFBB1UQTS7HfxCQzgFXmnk8zYx570nQ5MobLTs48qTt6KmtgEkASAlYMRVBUMbpB&#10;YxJAijWZkuTmyUdu0NjuJ0cSXYGPnFegJgeO2JGAgqWsQiIbwhxrGYfuJJ34bljJceASx2BbMbQ3&#10;+56MIIFdemJJ87Qz7v6xk7HIrIpUzM0daKcL5+TTAOS3+jHND/iERsbe505jQ9IcuuPlBPEZmCUo&#10;xqeSp6CRDEzEC9Wfzwoiv6EOKCloihRyF5mCMC1d7ilokhqVteFifyNZAMvP9DJWEKlIAKRbzCeW&#10;aIfu0AJoQPQOmyCtW2yhOXSHgkU6wWM4rhJ/4n4KdMfFeIal7JLM01jfOoLHlSSKQChZZLNOKv2Y&#10;HBBfIu4rzDOOeuN+m0Rz9ks5AcfEmtbvasqK0W1Z9mXrfHXUrkc7c1GIo7KPJd/xOhBhsDcQAmy4&#10;UK48VY3FxM8lXGKeXrwfd3gdpyR33BVNbPCu4HXYCGSBIo2t+kSoEl9ZIGFdEsIfSXIV762C2hFN&#10;ViIF2zFblvEaeMIaRx6yiJ9kdWHiVXbUTvte+0ThjdYamOYHQUfzK3qtas88lbGZ5id+gkeqcLpV&#10;Ow556tgdd+SEDnL81XqwHc8tRDQL8kuCVEPrOWqHi5/8K+6rNmaCkG/c5BjCxqA9d96jORDM8dYp&#10;OswMtoIQIe85Sjcaks5AUsFIUiEs1jfUQ9gfRkM+ge6KkxjRwJOwuo0mpV3qQt6Gc1bGZrwHeyXP&#10;RTU8txTiUOfjtFo/Slkk15pTLIeFQrlEUxkNnhWiz83jDbmprIFJABdHsJawl7ARklxWxmZeH/oC&#10;GdO9lq3MWtyP432obUVTSI7bkrBC+cfW3+YDEKNIgqzZrAMq/bgccB8V+wrzyr7AEsqb39/EgGPd&#10;8GItDymWUU+sYydz9qMDMZ/rOwef3/gDTsp2Jiv8FNpWeCDWGnsM5YfK3G6uVGZvEkAiOKOihIBV&#10;UazQmATgvOOVjJg+rcwVxrGNDb+aVYb9wPdJauJ+HPUjM0g3vknB2iS6QmMSQKROPi8VBQA+9VRo&#10;TAJky5PwwJegt1ysLyStUknSKkg+3z8+vvz06teru3evj6r0CM3z+enr3/v/3d78lv+5y4UgH59u&#10;zk+f/eblNzX/9es/Xj2diwjm3z5/+A9edvX27uHV3969FuQoEbl6+/D4ze3dnfrTv+VuU9Prt/dX&#10;Tz9vI/h0//3jXe7r+ZePvD4P4fn2v8/5t+P2i62X58e72xu9WF08X/90vj+/v9sG+/2PaQL091kr&#10;df7Fr74gfPnt/0P45bBZtjLul6fzw83d7cNZ6+J/+eunD9uoPzzeffq7xRzyb25unz/85btfPl9h&#10;/fJPv3y+6NbHt98z2+u3d1efHj++6E/3Vw8fr+6+9b9v7KNSim56EU8B+CRCRu4My3/99lN+Lf/M&#10;x6jRDahhISn8Rf+e5rV/H78oXVGn9Jv7l1c/PD7dX728f7w5v3v9r+eH89PV3etXz48fn67P394+&#10;/Hy+KbLlq5GGzcv8FxqL1TflvankqaqYfvfT+fzS/9NX77/q3/IDra9B/ePVTTE08wL8XWVTNPFn&#10;3wKJVZhtXoW3ALmK8H9InLA3234FFVCaCwh3nDRvJ7Zif5vPkNROnLdi5zX4JGorJ01HIzH9rLb5&#10;i9pxoW3TzrQF9CQ5gid6r2ll6TCO/ws++2Y6mXPCEjwb8zSNDIWQzpKzGPpHfiSrMIYZlrmXaCJ+&#10;IuNd6GbW7glJCnvZXqmsb7xQfhLzfj42Dj5gNbTiWRiDOe65B5Q43DBh/RzGs4AhWSgaEzd2y7DC&#10;4L+gYLRXVNBHyjJDWniXF1QQifJ0a0LlZzDWAagLhWDIQE+zCG0KP4L/ByS2iXckreQs4zj3n9Kd&#10;b+VZReLhUTddlsJ2V+Wp7Nd/cVpfv3V9UTgORK2SsnabJyaxnU0vFI/IT7IjQqvdA29KGiHWbDHQ&#10;isPmcTfhqFwBSk/qJcQESthNyRmZ4Q1op0TdQAPBxNN/den1oBv5dWhABwNrcKDxHRIC4Kp/t5UW&#10;DOdSAm8KHyV5jFNCS8SNyr3E89LU6xzxCgqEPyiTXt8dHmlTrGTbfY2F9UCbSDYIPK9rKFelfAI5&#10;Iiqz4k9MYqpd6ehkPOppDcx0OySWwbt1FG2rEmRDObCrUlmw+vKWGJsuaGdFnQcWzsVDbEBTONrp&#10;/flHuK08f50MDqqb4aDgqCea8PT09HWcTS7hpbh8drViF9X2O3gTaTU7xoSKqITXkN7Lbld5jI3o&#10;Nw4gXqClVsW9GPdVvpHEd93rzlITKm2PsJEeiqedKPIBF66YB9hIxgDDzTslLXK4Yh5lU1R+27sh&#10;Ez28hiuPJ58NmkgUPa4GHgWkrAlvd5zi8ZuGJ3UY3Dad0A3w2vPW9f0oKriUbRXywoswAH5i7+Un&#10;rVI8cbPkiBIBxOsG4hYjDNnnaeyQYCjuNkmoSD26RrE23VDX0zjZPbhG6J4gbC58kHREuHk9tpa8&#10;5P3AQr54aE1lvancLAslq4hwkT2yBgmfUrqE+x5Y4/MF5DukbLoMk4fS6+UYiJAxKl2e36qQxSRm&#10;0QGvka0OvMqTViyei3Ffl7S5tZUEv76tPKgGCRqSlB+eRi+m7VPBRfKBU8KeaEJWemBNJU7zt+C2&#10;6Ydi6XE1LtLq9gkA3paHE3Lfw2oJKMRVw4/JejhcMU+F5xIlVUXT7PP0415s71NtgVyK3YqFu9Jj&#10;apCo+o3qimWBiadv3BcJhRTF/Aaw5BE1MH/M1MT3/CP0bD2gpjABUQ/uKGxpCDErjfuqYMpN+wtI&#10;PJwGiXKwyhMKv0fTVOCW2uio5Eo9T7PnaUwaSVJHjZRQz4MH78Z03n3AKeS7h9KoprZ8psBD18/j&#10;aSrABiKTJDI6hjyQRuOEPisNNvEvlF6PpnGjG/Q5HxDh++1kV2MCmzqBGnadx9IggddJ1kPB8CCa&#10;Gqfb5XQQDcajZ2oMpJK2atjY+KvGAnJDefZgGS3BwbKLk9YwPMs8ViYS8qnSE47EzDYak4GdnsYa&#10;ltIOkKjstJ7w/abAeT9XIPOGbIx/x1Zs1XSyNLL8PEBGL8o85MZXK6xEqw1QFw3XVJPzGE1jV9QU&#10;aI0zshgI4V7ZFTUVHEcUhjMylPxdUVNQuSPh9npr09nKycepTJ8mzGoonoPzGhrd+an3YPpa92qI&#10;0FIeJn6zc5m2pP5W1QIFh23lQef0eROdBPG7TT0zDu5SZNwvbF0QNlqT5oj8xG3N4ebNRJOVs9ms&#10;qOgVIaDhjkrti57k2ZZ5kthX2+bcYbW2upVNhFNPPHLnJK2xPStzdC7SUvpXdnr8XuejqphmmK6F&#10;7DmCpotkHAhJH8Q9ODdBtzgB03Ebtnb0jHdjYF/yJUMUta0kmBDxe+HP8a7zahAqoId+uuDTfGSD&#10;7HrgHiAwzRie+3jCpTURuJ0FH2sOT1hnVKrwGx5RJD+Wt5MZSHK7wxXxqjqXhW4oIVLbSk94phCD&#10;Kf2g8nEqeeIenMsqgaJrJoTFw9aOlTHbFNaVCMWtnb/CM3J8IeavI2TEs0n5rRss1F2xWQJ8AOrX&#10;NaSjY7ybmwg1BenYGE3JcE67sHHMctaXwTQ/UY9vvGutagjc8Ek8rTDVqztoVNQgjM0Q0sXL65Vy&#10;l3R2Q2YcEeP1VJvQYjblzCExaMClk20Ry4KjYbQGdMOhwhNpjWrHY65xJkckPn0cCaMH0vl4e01/&#10;epI5rfNXsmuS7PhXas2dr6rcO/Sl1lxGSgBuuEv8az60JiuNfFxe3lqZHY/JycpfLg57cMSLexVg&#10;DNlJiVv7rp2SS1Ofq6NdvJva0JdYvWxXk1BoAIbTQRSPx7VyuiuP20f4p2E/OeDFqLjTetGaOuIF&#10;zQkIo7bHPJWc2yD1r9DirNlkwbiUEAhm0cg6xykpNOSc7466+HhxkIshsYG1g5tb2FEu0Sz6MHfW&#10;Q7XjxWEuaMjn3PBp0cWHjONcosGoZGm3jio0znZoyPgS1NNaN0e66IcoS03Ne9VRmuIZJW3RUvOl&#10;6ij3bLj1yApX7BVHt+hBVSRl37TObk8ZF41uoEsPhzvDkS21RswrxqUjWmrKVwgK6B9LlENa0JDz&#10;rdlumZyxgeCYFjSwWZuoyWnPFFciJ/GuNOvGBndUKyV/En/zsVXm46c02CnOKuLRHpuf1YCnFPXY&#10;RUtitviOJ0FT9xflvKWeYmn3THHmQ+5A44BxUIvWHO++xrU96KiWaMCnY0fEM8NpSfxJR10LrEHF&#10;msYiTQ60JlwcR7J4OddiKPFcO6UdxFLrfMxV9oOjWLTW7clLPO0CYwEPkw2n2bb0gKeGU5mKIrEZ&#10;6m8wuMBZoqlv1oJm6bYpYRRJd2NDFFALzJoS2GXjxb6pp4SrwhbY+CUbr6Bcuj2bsY9GejdOlwkH&#10;NOQOER6IL9lzjWvXGhcpGaOt2fvWBn7XlbYLuOjJ4MwetCLr2gYXvYYpNPNmYsY2b8G61JoPSkW7&#10;AkO4zHkhha5kIYQqo1QuZSwqua9ZNyS3VC4VzZqzuJo0vrV1a27DJerrVOqX0g/o8x7jjtfA+U5F&#10;GdSma+fYsCj1S1XullixNkp4XnLdw1Y5fQEtzSH/qKyyK3NoKIwBZ+IZuNlGMIBPB0uk4tEU/IvW&#10;XHcpWjzcsVxwKzNQHYWySPEMCg5GWe+50s75TFyC0Sf4Iy1PZTy+s5W7b8epiCr97PhMeSb0p9FV&#10;+vH9zf0QimIkNZ3GVulnx20Ksu9MhNB8YUHL+qLWYWLzkgzB50JDZkzdm6Fy0641gMsERUO3l9qp&#10;qjNEfWY9DVMYSLL0w+2AbL0lLRoaSKV2Kv2QjpiXrEVjEsAnUmTvyQ6LZd7RMrXGSalY6Hxac5uB&#10;2hKUkhkS6log0NKazK8kG/lHLCGOlNFDv6H+TV4Yt6EhaM3Hw9rS66gZNBj1+3y5UJd40VTRKCdE&#10;LGzwwhE00ZBNIZKYF46gqcIOWWwS3NZZ4DhaqsozZ2439qEDatCkK8qSkEQT73cH1KAh/yDv93it&#10;nPfENIhuZ2Mh/YxpbKfTA1VHdg5RrB0cWRMN0f20vo3ZO7ImGkCs+v5wTC215sMWVC7L8hVLsSNr&#10;oqEwQfIZW6MyXQ8N0e2igit62/E1aPQl+spB6OCamm6pulm0YuXjEJtokHQtVcNrIjfDNr0u21FJ&#10;TR+9CVnuQBs98O60pVqC6Pll0JBtTdSp6ctxjpdRkb2XdG+8DT23jB4uaG1qXa03rdhaWYfbREOK&#10;YNkgMTe8OqpoLEW0IVQOukFDrt/OVa7040oemuyAVFSWw25cYcXHSSdCAyolZdq4AU2qpuTqIZQU&#10;x99UeHk7eVr9OP4mGupIXaIcHH8TjRJNZNc0VKPjb6LhEweJJpyJI2+0xstIS9ZS8p5ilmiqrir3&#10;jsvqUgfTl5Y/xGNynjOmYa95Yzlx6E1j4o70JYeVA3CJZqvWk0cYj82Pd/rRB71YstZ6OQynfvgY&#10;agytUIxyt1wb0tWyOByG0+up7HzBBRkyBnb9ENRLp05j+zoMRz+cbfkcCRfKATi1xqev2xpepEGt&#10;KbRNrkur6Ba5bWUO3AqunTeeSsbrAekuAUyAu8vrdbH3EpfbcTf1k2PcFW3liButOcqztgoX1FE3&#10;tbZbuUla413hqFuiQVj9iU9BB+BEw5XhNKyGznEYTjTUYxe34xPNYTi1Jq8jyUZrJjtmkwh8CRhD&#10;MeTCQRDNhgg6AKdRcTwlFzLkhkNwtKakWG1PO/KmpnanvDFdR95Eoyo37NCWsePIW6JRyRLqITf2&#10;tCNvokHVxtiFo25qiSWV1idenp0K59zKT0O1Ot5GD9y40CdztrJrsbA63iaarPWbB6SjbqKpZfKw&#10;eEWASF/Lp2N9K5QSq7yd0oGZqEXjRptoLuJ2KbGqfigiWkz00BMohVahQaKKaxpb9aXQqmj4W9IH&#10;damCb2Xd8IDrW6mUWOWTdRyol62Yb21o2Ky7HNlIJkuhVX20FBshDasxE8fgEk24O0pxVbVDUio7&#10;iRCRrY6+eLmztuPcoFJUlfcD92QRqe8n6oju+lEZL7EuXJ1yrZOvUQMdStgbhg1mQ+mBunRpVA0t&#10;VYqqMhPMwZ0TEBqEJCGWfqi1stuHsaw76kY/4IGXIMxE1Uo/87zPCgg1UCmtSj+giLu4Sjw2x95E&#10;swHmMWc8R43WfDowO/D186OUVoVGlXIu2R8Fe4MGnOASCSgYnHKyuJEHQ7NYhkbJrsAqNPjjiZ2h&#10;XBYMjswsiq4XF6iyvm666cN41ODNQ9LPsJ+CwVGznOqQhaRC49a6aPhul865TBj347sfGlUw8yee&#10;T0HiqLBCOPcCa4CrDCbL5NDwMb1L1q0gcdDwuad0bLfm4zqA7BtK4Fy0Bm7MUSlzs2vyMlTWwHUA&#10;2TfkvKSO0thiSSt4nO61VV0EMkhsvZSGkzO+WvqvoHHQgE5csmMKGqcK4dk+y3OPdYxf++TDC730&#10;crpxlCYfyllB40iPoUKBtH9zPu6skx5DcTUdGE0a5z95MtwEq518BY4jyYRvHBbXPuZhAeV0026r&#10;QdGQyQLKQaNwCJVHGihpKavKGnPJKkMt4eoWUI40FvLexfq8UvFMPBOOHrjMdxFHCjSnS4PbHfd4&#10;VL7nVbGPRHSY3uJfAeWgIbKsfdU6wz0Tji/C8U2kSxJYuF1i+wsa+7xbY/8WaI6EnGP13gKJuOX9&#10;+pzNJfJeIDnVBiWFyU+KmIsFkhMN9Rq1SdIGjnVXgeRI3sFiqHiLXLko8+DNO2u48v4d3ykGuYMJ&#10;KzS+1xkTdzfTPELJ8mw4OA4r69nU1DUsc6DAQuOELzAciUew4RIt6nlw+iahPkiL2LaktsBwpC2R&#10;yV5g7viEL3gcNISB0u4IV6kgccpG4oK+ppJkI9btBYlLGUw7p6xCs+M3jLsk9od7aDzRNVcK4sXO&#10;TAHjSBWiZmxRbpWFcpbr27JZu7VUT0HlSPuhbFp6GlupoHJKysF21jWABk1B5aBRMe8LzLSCzYmG&#10;azxuqcVbqiB00KTK3Pmc4mcoMgWhIwWIqFldwAo2R2u+DlU7bAsmRyqPvvfhpmZlBn6YQ4O0F1Ah&#10;FkZPkONTgQvotrjYOgoLMieazPqWtBR8jpQhtFXJh4nHVlC69N3Wncv/BQ1Vv6gL9v6Ksm6pLpkV&#10;CeP3VjfMqtrZP+3rh/3x7Vd/FIv/8cph7GUEeg6qh0ViZH6IPmTPPVGqKmx1r8JNbl4InyZDmXPp&#10;UKUi0hP1YeeSvp1D8gee2FYeNhRu0zjUrFTVJ9LUW1aYiR+johoyJxn1p+ujMrVDVUQurwvBjEvI&#10;mwfBeDi3+frBBi/Gn0Ewm4KKziyRvpfTEm0HjCifCBC+MAVKo+oJHXzP2SIrgzx20hOtwGm4UR1C&#10;wo5WLJFPumwOa4i6+w1GvrWiz7Hpk2d5y8UkfszgRjOZlfh560qOcZC5kGLEd4+t0HRoUZVKX7rC&#10;xhnL/Y0vdmepXuVIkOpYq74ZU8glEUIpLEAQ15b5cD0JZebdR6LuOBCVpllZ1U5ufVrLryrKuE87&#10;EDsvfL/tPqlMviiGCozFw+EfyqsS9qEShNVBid9vjGOVkEG+C0jKdf2QdPCHj1dw5YZa39yTDsdv&#10;XFYeNdfVKK671eUIuezpV3yACBt35HYXwHB1Xzjyw34FxOF6I0GZNItwK3l1L12Bx/0hqy+ehSM+&#10;er+uqeAsRTP2bCvpDiwIBQRbn1IwJk+67q9C7crUTk/Yi+nYiV6QHyVw5vJO8cCM1eRUEInnngpY&#10;dKMX08vUbaZ+/v8j79x22ziSMPwqhK6yF0bkg2JKsA3Y8joI1omNyMnF3o3IscU1RQrDUSLl6ff7&#10;e7qqKdvVLSB7txMgkCUO+1DVdfirugqUhwSOxitGcHWypLkTfn6zi4hJZkxNAaMIkPhmeLm9SBIt&#10;NXQR448a6sjxGl0kIVMZ7ziW4w66zDHjad8JQJ+toXBjHT+hJxdxKJU5eRreDPZ8JkryKwpF2kPc&#10;idsTmWBSNbxKzevq+1+AE4HmuvB12FK+BTchmUk1ejimkwyIl2zqTrA0aaTkBRyFMsCTmNTtACMc&#10;6ubupuH3F9CENFUMCKLL3BrXE4oNx0yQxOwq9/oo+1+XAQ6ZcFSRAAxBVkVjFD9E4Gt0a2deuRlV&#10;PDE7RFAcux37qdkny1GTI9wdFeOmyvqkTkN55qAJDVwwJaTp87EIlbZjJlTWVvclqjK0GvEU6EQF&#10;bbgQnGwK7XJIfUdOqBev3o4KfISrcMiEouK0SqMrHkmukQz05CJ6MNCyRkW+cy5zePo8x0gU54qp&#10;5NN0vOP5m3QiqomWQPQfN21TMx/VqArzUfe44yXbUSIconAaFSniW/MOTCBqOHU6FkAHesJdcqSB&#10;/uEcJWwUs1BCjnWgASeB/le6FIya1xM6CZ7xA8fSYBHJSRXgNLFwYx1mwFpRpi3GRz7jIcc63PAY&#10;FB2dB8UfxlMywqk8OTdSSXfP9l/IHgUyID9KjUwoEdOQhI4Y0AQJ+4aqgSw/LTy8Xu6AAbeDZWQy&#10;uaPQJnWkAF5iOsiBZk8PBwrUv+yYcigU85/KdIV75WgBDWLJ38avILGqTj5PzYHi3KwCJLPWaiGr&#10;u/9PsyQus9MEwezTkHvd/afmBUXzUfUg9I2J2YGirSYcSzyLsGYkQ9ztp4chTIu6BKNO3x+uwhNu&#10;4FtMLsQZW9x4xaw1eoWAmacu2g0m8XQbtldXsnBxqfWqJzwdnndDtxRMwtRFOs0rbnnkiTTklBFp&#10;OJJ3n7Mbwx0z4YY2h3Vp7nGUGx6FJ53dyYgiJEGNg79C+vpiSu0luRnUHqFiSe6aE3Jxqb0k+UAE&#10;SC80jENQFJubYELZqs3+5pjn+R11VkRKkOAox6xGHDY2v6P+0BQF4Eo5kSQ9IaeVmkn0o9IJU4/Y&#10;kPxUNrNZyQtCtxE3m+gfU8ZBCKE7oONAZdyq11N5xzAkumvMMYIwZ0hgbLxjLg597GBmPE0cg/TE&#10;q/c8E7hGsCoY42F4kMFO8ur5qMpCE3D5ofLdzsVkSiTlRlS2tQbfX+wlOsph56NU9MQc6fgAuoGj&#10;n/q2xrPybA/CSzRwUpuEyodNqHBADqEDNiIRET2Vd4zZaT4raw9Lhtw5PZUlOLMT0IHJJLhah9eT&#10;PbCz8A3ojQsMmMaJ2cr9fjR7qhAGwN1ixeL449MKqFPT1jROqFEwszKjHMlRAEJSka7GOw4AgDKS&#10;xEmNMZLPEuljhnQgQM174EZ1K20deL92RbdeLj7MMRxbcEwpX4RgoREZLtJRpmnMB57yQc9icEEC&#10;wMphSk8k95mRHbBDLHkhAfR3jz9txxFkTygiy2f9emIOKNWMAEJIisZmy9hB5R07yE9xyOTpCuxP&#10;C4kFpSd7CGFS3ZFj9ZPTE9psxLZs9Ug9tKsEZby/nu6Bw6NaNpT4yAov5hdHHiAH/I8pIvLXaeLp&#10;Hg/BgbgWzqaFFHGYAldd/h4qtaJMHKeYAwwqyYU6AC1JsQdXqO7jIbdAQ1Ob1uW2oYcEZvFiaAfT&#10;MD0wZO0dlZ2jThTxtngExx2osgiTkz4mm76+oQ48aEOpTg/gOo/J7JgDlod8GFpWWL5CSAYHHeAg&#10;8AA6JWKct2ZlYpvya6TogG0QcEsMGx8Mz9bA8sC0AwaKERoQmb2NRUwpuBCfbccaZDUSXUNRVfSH&#10;wwyC99CViM7jCtFMOkMrxDM3s7D5G0t1iAHkUOXeqRidPcn4tDnSgOjDceM0w60h0TwtA/hGFZ2o&#10;exXjEiAReTeRXuqR91SdfuPvduKCMNB4kvvy8c1DOj8bpRBehwh/vLVY0nkyBnWgFJfCSECj6IkZ&#10;p6Rk4Azq6q9eaTBoSbIgjnAMpImvMum6eBzHMmTsIHoBHStHzdMrHhIvYv8V9Iup66AHvhkXFZlN&#10;RoYq63bUA2CBdVNqAvipsVcOe2BCat3qgduyWRz34LMYR6m/eMwdDnlgaOMDAHjgsbRmZaKVKqvo&#10;XuxtZX7oqVDDRSud5lAM3JKfPJo4I4FdNV6EU4D5CdTEPbOxNPzTeFp0AsCSjNftIAmZj+ws59PS&#10;P+M1OFYi64nZI0IqCshhElrQY54R1MGuC0+pIyQcOVQPfbU5p409dYgkBTZw+NRXPB7BqEbISGXM&#10;yQdqOtYOj5BGoyJZAD1YKnpiWebZEcBDRCsoyw7ak96JqeEwiebGPXLK7uTu8/EZ9MtMacfASAT8&#10;p3FiCjq2Qh1MjFlaimCdhTvm15iYjlJvMDieVL7b5SyuGGJTrVFbMsohFehBlBrwSQEVPZVxXJcC&#10;WTEj1e+O+coRGBQKAB8nFky6IW3LVSZkAuEE+eAtqe5XmfgstSEJzWXmilcCe9uJpW8xClJ1khsm&#10;WiklRChFpd4wEbA9qjtWSgmRB6CybYKUGpTB+MtzA7gjbRcBQUwz4pRSRIjolvIgqI+OiEtP/I5r&#10;WpAuDH6M4HnoVZbyQWRdK7kJi5ZqCHoq79iJBwdl3eQcEciN5+MSGuCR06e4W3MNLqGx+TmytA1v&#10;cRd8mHdWHEmfB9lTaSEVTvELRNJpZFogUmLwhUXaCNh4eF9cx4vLCqNW7NPCm444IgZnh2eQ1FB7&#10;B8RVnWapDD/tVcwjnjBCLQQBSCQ7zUOJWEr14NkKmD8E9m/xuYNBjwgu09NG7UAmyRvzSMkWIYwB&#10;cIwlmU3/yjtOQcUPQfVAaSdmj1fvuSMPj7FKYBPSJRvSGtlmuwycBASFoZ4txco4Rnv8McWjSMmM&#10;O6fvFe7BRgTcUOf3lgQqOBJSiwGUKBnKX+pw2RrmpC5heXvjmMoa7FTprMMmMArVUurSxBEkPAeS&#10;i9DUlfL3oJd5VhgmhOCIc6EX0iGMed6xo2QLpEhlK90cJrdxBAiC52D0NhxLfHp/h0ppukpLGb7W&#10;3IzqmBq6LyT0LEQqKORgNAHKJVzCGJWT6KgR4CRWX8pBbp0qzyIh/QLJC+5vt7hiqjtqhC6Ar451&#10;tyrmK8eLCOkCtXJyqf+Vdik+t44aoQkUU0sZvq13ylkHcyG8jpmV1xJqEkeNqFRFs5DUlCmmRsGN&#10;0FJEILCx4owVAhTGHVhM8BMOZFOOOG7EXBSqVS5ni4IOH1ExAn9luoPY4MI9+AjOxQogQhDT268G&#10;kWqt9mjI3Zz7FNq8QI/GufiQeF500o691EcONqGbwAlS36Z4Pg42UUqOO2QSIHGaFP6S0UHeBM64&#10;AtMhR3iNHhIe8c32KgiGfgSWqq0VDscyBHiex+ehIEwAtbhB3CPhZNdlpuNMxLKwczmlk1VYs6kc&#10;bQK0YFYklarCnZ7K6k2ek7ilm2PAJM2ieAVzwl+GdsmGaZzVgjnN8U8xkLld0EAYUEi2y0hOMjGI&#10;8zyOz2pBnojnEZrFsWuBqmiLPAKGOu+kKlPNWTntsTDAqXGMWrkbyBob54kSXTAX7MpZTBnHotCA&#10;ZEIl7dxIc8TCtx3DK6RkCJ0XspUV607Hr6jSqHMbHpQCWomNqXOrlN/406bGwcN0tZKM3GyGxiLE&#10;oSt6ViJuYWOoHo/gx1ymdByRoJWP7T48DvR/H43nSBW2MIESxA06LJ6K0xfLTie1/mmz0BWuxe5S&#10;vYjY9/H7P/ANNgfXHlT3t36qHZ3CQgHhJdZZ20hHp+SDCv9C3KQBYvwLqC/vKaAtbYXxMjjRjVk5&#10;RiW9pXYq9VkZebknJWyYDzfTpx2pIolT3TSSdRNSrdz9eZqqH5DJM0EJFW/PcS1QFHyfwkoVGeu5&#10;P6CG4PqqStTKcS5VeSjAL0QMxye3joyPj6NbeJkEBIXS5R6F8el3dEu2uTJGkBct/MHRLTJZkEy6&#10;R5rtu8o4JstF+2Mca9WEbegMx7ggjDDNdAzTO7Fm9twhWS5gbqTCNn1TR7qQlsQ3U62FRqo31ppL&#10;WqVaSW02EYmCd4GYK5tNSnA6aCGP3sW7IKpcrtY7ptO5co3eVP4U2WN6Qvpgctp6flCYbapbVj/P&#10;pYgPiCgIrBJoonU8PnT66/YVqafMqZFvXIr34GQRJpV/Q2S1sQ6T9YoZ0D0XUdniZ9jK9IN8D0w5&#10;8Wa8Eqc8cokr8/jwMfJayvYQN1cgNl38S2sIfSFSa4wWpGmQpVHoV3nHaI53zeUDJXw+DlU53mIe&#10;gQAd9RUIR5AzVOeqUrwHhxeLVFdNWnjaXhEf4cHIcHLAGxxfiviQVck4U1+btGPhqd8v4kNAnTwd&#10;UInmOEZ1YV40NZN4aaA+pZQPOf+gPkqdyFI5NFNKKR/YHTyDREv+C7nLkTjFT5V2gDUR2rwI0UxH&#10;RClrwDwmRNY4tY7EkcqHd46JiAnbOFUFidNNcuKih0qs1RNLFE/oklWhWjHktEwsFmowWnbYScRS&#10;I00umTppnJjzCxJ3KEmMYFE4NT3hLvs9rvtET9AIdh6VnQLIQm/emIIFg8O6IwEBYAKN0tgrP/Gc&#10;EwjCQYm9c1xxm48qjGuTyGsP1+roG8INRwT3xrJpK++YdUd1DCxC3SKOiVbAN0Q76B5+f+ymEdrz&#10;ySuBQg0jYh4qeBsaAF0pty7WMZ6lpfgL3gO3ADkO9Z0veJvyWUm5IMxVWapb7hqBsIVu9LRGMNom&#10;bB3En+RMDE09Mc0KhadSnJQmyiZ5+I6jbkgMeEjmBZkP9XEcdQPZxMamyxbka6zHc7XQ/0go+l+g&#10;+FvjGNGlBem8TBYPwf86ZRx7IxGGPFXQDDr2tcYpMl3trpQtlH2GeK8dgUN6ktWNnDKYvfKO8QFx&#10;APZgTmA0x55jXnYETr4JiyHhvpXhR56AHRbJQ7hTZQIb+1ZwOHk16CfCWC36OBqnCAj3auQINaxM&#10;Yjg2Ny534ZYS4c7BsngPHJkTKICFDgthoOuJ5XvB57hFRYqrSo7Hkqsgc9ix6E/UYSv/A0LklSCO&#10;qDyDqsJRa+2ycwARdUQeWeDxPSdOo40A6kx6AyISdZie8Dz7fTOywLgro6htvLEFkktoC86cBEB9&#10;AIfk0gBIGGoUNd8xolO9EkMgdTuKSeeQnEBMbpcwK6776InNpQLJYdIo0qBuvw0W8cQw3GbqCeCW&#10;IjPCjS1gHEA1yh0vIRe5iQ1mB+MURCcZghhOnCTIKbWjgTEOZKMeRy1zyWE4pByAChnAvNTYq4LI&#10;sW5YFoHSHMeTyRQAoYUdcG8MpWOC20o4TmROwORE1/TEBpAnk+HgkZqiixWthBkIYAdELg8WKZnp&#10;MbfvgXPcPBMkhgBJexWL7JJMNkcF6Yjr0p2emH+9drbAHhwKYJg8TMwpDteRpqEkEA0Qi6sC1ClT&#10;nqQGsn4mJySelcN1zIZrOyyjregdrhPMj4JTr+uWUVrgOgxZtAjMlXHB+Gx5Yhn7hLWp1syIaz0x&#10;NR20S8EmOF+XDBrULNDdvaEurOTMY6gQwS/oOoZqzM3EvGQkmZTK7Yhp7ylp5I2QsIgKNR6rrN5U&#10;PFYEYA0hTLtPFfNyAe2Qkbr9QuC6RU0H7eAyBSfx3ac4Y4UynpKGK4bZhmyRI5CeULo6aMfVOEIQ&#10;bDOcll6JDXcH7ZAvpOooY2MenxmH6zguaAgkeCXQSPAkU13fTYEdkDpdleCJudiBuid4NFiRAELp&#10;nlT1HZP5pDxjppAARQ5taxyjvUB0wsUYHa2iK1jNeT1pHK5EknEcglWYpbZ6AeKgrpgeE8+H8hsH&#10;199RnQnOsF2mC2mCX5bfwbhB6s3Rv7ngWCjHSP61dwiiAmUA18f9DLlvb58WeKp0RPKa0umtrMRo&#10;D2IBXEPqJkl8Eedi9uYRuI8hDQz94hI7lP20+fBpJJduoDX4Cr72d9Roj0Rg/M20hnhnHapDy6FN&#10;kdoT/Sp6C4WQxyFqJdcJAyeDreEZJCjm7wBtYcvz7jS3mIJeLQm9oGAILiqZxHoq6zGqkziDRYFV&#10;yGDpnITyDr80zw2phSlMuhn3YUM6etIc14YBkXTjOI5TYgfYd2OjEmYiBt5yZynyZO+o4oSaz4HZ&#10;pnVX9spoD76A5cwg6lCpJ9QNlIR0miDpFGWjNVO4bgfp4EXdMQcwxynRE/O8g3SwLslAukGWOTJe&#10;iYMy4Hq64YE7EwOaJEjlNeCYgEgQlLftjVfiEANKFyieSydqavSNlVQK0lkhut3ldjtezP7o1s8P&#10;DlUwjnd2/fDi2eJk+fZ8vdMPu4vtn2/7T/1m+a/+du+j019+79Zf/e60G3/pLvuvfn/WD9/8/ft+&#10;WPSb8avPv7o+P1/3Z6u/9r+KGfrUupufltNbyG2Sgzj8U9W7u38AtsJxyqtbdOPYD6cX3TBqdSz9&#10;5Y1+uPvK3nftFt16tfmkz2yHFfPsxtV2Mw17udr83N1MY152N9MvgfwYa3HCH/eWpJ0t37Ts1/24&#10;vyxN4P12N71wPn3BuBrX1BJcnIxphsNqcfHiWXdyvl3evh8YojtZ78az8Xbdp39c6TdX76Fed7Ls&#10;P/6aPvO9/yr9fng/zNbd5tPzg37z4LczjdOdjC/Otqv17EN/edUP3Xg99LPvZqezfzzjZTaJ//Ou&#10;vijxxzQNljPNat3dbq/HtODtH/3AP+8u2hdB0cM3l+Ps43a47MbT7bJ/fvBjv2HA9cFst72GBd6u&#10;Np/75fODh3n/uv9shw+rxeefu+Hz9KWMlP+22nz5t812009/HHkH7vXt3PQ344ft9LfFsN3tXmZK&#10;iWucORYn6W99pkF3PW7/3Q/7r73qxz/73km/hM/1pWyFc5H/cJed9gbZY4L7sRNy0Nd8d2v3vqrO&#10;T+v8BdrQH4fVEn7ud4lkTp1vsdhs2I7PDx4Q0NBzMIO8/PtiO/yl7/vfcd9pN5xzol6vtjerZT97&#10;s76+mX33+dPpu0cPTr+/6GbL7vb/gxf3pM7f5kW48mq9HV8OfScRsk4SvPzkh2OYeGP6+z8343Cr&#10;D62W+YhkWbbPX+l48vVfvPLFP/0bHk8D3OcbGqKkrEEr+321e7dZZ2mTRcZytbt6hXz7vHuZj/Gn&#10;7moaX2rstXTaO9gYoX33KC1MH4w3kwC9v5BNJwGdsJmNt1f9x26BYPuwukSO/NL/Oft1e9ltDmZX&#10;q3Fx8aa7XK1vkW/zg5kG3PUcp3S4u5PF7m+8jmyeBP4kpqcVoLDfd0OHGvhS4rsonxa7OEE+9sOm&#10;W7/uxm42QPznB8NPy8nmlRz87WrZ3dFWUH//HXHMNXbD2UV3xbr9GxLp+Wza3bMrtubFfwUAAAD/&#10;/wMAUEsDBBQABgAIAAAAIQAjbAUngAYAAFQbAAAcAAAAZHJzL3RoZW1lL3RoZW1lT3ZlcnJpZGUx&#10;LnhtbOxZTW8bRRi+I/EfRntvYyd2Gkd1qtixG0jTRrFb1ON4d7w7zezOamac1DfUHpGQEAVxoBI3&#10;Dgio1Epcyq8JFEGR+hd4Z2Z3vROvSdJGUEF9SLyzz7zf7zMfvnrtfszQIRGS8qTt1S/XPEQSnwc0&#10;Cdve7WH/0pqHpMJJgBlPSNubEuld23j/vat4XUUkJrdgrqABQSAnkeu47UVKpetLS9KH11he5ilJ&#10;4N2YixgreBThUiDwEciP2dJyrba6FGOaeBsg0GdioGcRlOAYdN0aj6lPzKvgoK4Rciq7TKBDzNoe&#10;iAj40ZDcVx5iWCp40fZq5uMtbVxdwuvZJKYWzC3N65tPNi+bEBwsG50iHBVK6/1G68pWId8AmJrH&#10;9Xq9bq9eyDMA7PskyWwpy2z01+qdXGYJZL/Oy+7WmrWGiy/JX5mzudXpdJqtzBYr1IDs18Ycfq22&#10;2thcdvAGZPHNOXyjs9ntrjp4A7L41Tl8/0prteHiDShiNDmYQ+uE9vuZ9AIy5my7Er4G8LVaBp+h&#10;oBqK6tIqxjxRi2otxve46ANAAxlWNEFqmpIx9qEmuzgeCYq1ArxOcOmNHfLl3JDWhaQvaKra3ocp&#10;TrwS5NXz7189f4qOHzw7fvDT8cOHxw9+tIKcWds4CcuzXn772Z+PP0Z/PP3m5aMvqvGyjP/1h09+&#10;+fnzaiC0z8y9F18++e3Zkxdfffr7d48q4JsCj8rwIY2JRDfJEdrnMThmouJaTkbifDOGEablGZtJ&#10;KHGCtZYK+T0VOeibU8yy7Dh2dIgbwTsC6KMKeH1yzzF4EImJohWad6LYAe5yzjpcVEZhR+sqhXk4&#10;ScJq5WJSxu1jfFilu4sTJ7+9SQq8mZel43g3Io6ZewwnCockIQrpd/yAkArv7lLqxHWX+oJLPlbo&#10;LkUdTCtDMqQjp5pmk7ZpDHmZVvkM+XZis3sHdTir8nqLHLpI6ArMKowfEuaE8TqeKBxXiRzimJUD&#10;fgOrqMrIwVT4ZVxPKsh0SBhHvYBIWTXnlgB/S0nfwcBYlWnfZdPYRQpFD6pk3sCcl5Fb/KAb4Tit&#10;wg5oEpWxH8gDKFGM9riqgu9yt0P0M+QBJwvTfYcSJ92ns8FtGjomzQpEv5mIilxeJ9yp38GUjTEx&#10;VAOk7nB1TJO/I25GgbmthosjbqDKF18/rrD7baXsTVi9qnpm+wRRL8KdpOcuFwF9+9l5C0+SPQIN&#10;Mb9EvSPnd+Ts/efJeVE/Xzwlz1gYCFrvRexG22y744W77jFlbKCmjNyQZuMtYe0J+jCo55nDJClO&#10;YWkEX3UngwIHFwps5iDB1UdURYMIp7Bpr3taSCgz0aFEKZdwWDTDlbI1Hjb+yh41m/oQYplDYrXL&#10;Azu8oofzs0YhxlgVSqvRKlrRAs6qbOVKJhR8ex1ldW3UmbXVjWmGFB1thcs6xOZQDiEvXIPBIpqw&#10;qUGwFYIor8JxXquGww5mJNBxtznK02JicpEpkhGGqwdzHdDUfs/nqG6SlNfKnCPaD5sjfXA8JWol&#10;bS0t9g20nSVJZXWNBery7L1JlvIKnmUJpJ1sR5aUm5Ml6KjttZrLTQ/5OG17Yzgnw9c4haxLvY/E&#10;LIT7JF8JW/anNrMujbLDuWNuE9Th6sPGfc5hhwdSIdUWlpEtDfMqKwGWaE3W/uUmhPWiHKhgo7NZ&#10;sbIGxfCvWQFxdFNLxmPiq3KySyM6dvYxo1I+UUQMouAIjdhE7GNIvy5V8CegEq47DCPoB7ib09E2&#10;r1xyzpqufCNmcHYcszTCGd3qFs072cINIRU2mKeSeeBbpe3GufO7Ylr+glwpl/H/zBW9nsDtw0qg&#10;M+DDRa/ASHdK2+NCRRxYKI2o3xewcTDcAdUC97vwGooK7qDNf0EO9X/bc1aGaWs4RKp9GiJBYT1S&#10;kSBkD2jJVN8pwurZ2mVFskyQqaiSuTK1Zo/IIWFDzYGrem33UASlbtgkowGDO1l/7nPWQaNQb3LK&#10;/eYwWbH22h74p3c+tpnBKZeHzYYmj39hYrE9mK2qdr6Znq+9ZUf0i9k2q5F3hbsUtLK2f00TzrnU&#10;Wsaa83i5mRsHWZz3GAaLDVEKd0hI/4H1jwqf2V8w9II65PvArQh+vNDCoGygqi/ZjQfSBGkHR7Bx&#10;soO2mLQoG9ps66Sjli/WF7zTLfSeCLa27Cz5Pmewi82Zq87pxYsMdhZhJ9Z2bGGoIbMnWxSGxvlB&#10;xiTG+SVs4y8AAAD//wMAUEsBAi0AFAAGAAgAAAAhACIzTdVAAQAAZwMAABMAAAAAAAAAAAAAAAAA&#10;AAAAAFtDb250ZW50X1R5cGVzXS54bWxQSwECLQAUAAYACAAAACEAOP0h/9YAAACUAQAACwAAAAAA&#10;AAAAAAAAAABxAQAAX3JlbHMvLnJlbHNQSwECLQAUAAYACAAAACEAASfOA/UBAADPBAAAGQAAAAAA&#10;AAAAAAAAAABwAgAAZHJzL2RyYXdpbmdzL2RyYXdpbmcxLnhtbFBLAQItABQABgAIAAAAIQBz3pdX&#10;BwEAADYCAAAOAAAAAAAAAAAAAAAAAJwEAABkcnMvZTJvRG9jLnhtbFBLAQItABQABgAIAAAAIQCr&#10;Fs1GuQAAACIBAAAZAAAAAAAAAAAAAAAAAM8FAABkcnMvX3JlbHMvZTJvRG9jLnhtbC5yZWxzUEsB&#10;Ai0AFAAGAAgAAAAhAF4NhactAQAAlgIAACAAAAAAAAAAAAAAAAAAvwYAAGRycy9jaGFydHMvX3Jl&#10;bHMvY2hhcnQxLnhtbC5yZWxzUEsBAi0AFAAGAAgAAAAhAF/oNCDdAAAABQEAAA8AAAAAAAAAAAAA&#10;AAAAKggAAGRycy9kb3ducmV2LnhtbFBLAQItABQABgAIAAAAIQC79zDzWFIAANlKAQAVAAAAAAAA&#10;AAAAAAAAADQJAABkcnMvY2hhcnRzL2NoYXJ0MS54bWxQSwECLQAUAAYACAAAACEAI2wFJ4AGAABU&#10;GwAAHAAAAAAAAAAAAAAAAAC/WwAAZHJzL3RoZW1lL3RoZW1lT3ZlcnJpZGUxLnhtbFBLBQYAAAAA&#10;CQAJAFwCAAB5YgAAAAA=&#10;">
            <v:imagedata r:id="rId27" o:title=""/>
            <o:lock v:ext="edit" aspectratio="f"/>
          </v:shape>
        </w:pict>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rPr>
      </w:pPr>
      <w:r>
        <w:rPr>
          <w:b/>
          <w:bCs/>
          <w:iCs/>
        </w:rPr>
        <w:t>Figure 2.3 CO</w:t>
      </w:r>
      <w:r>
        <w:rPr>
          <w:b/>
          <w:bCs/>
          <w:iCs/>
          <w:vertAlign w:val="subscript"/>
        </w:rPr>
        <w:t>2</w:t>
      </w:r>
      <w:r>
        <w:rPr>
          <w:b/>
          <w:bCs/>
          <w:iCs/>
        </w:rPr>
        <w:t xml:space="preserve"> flux relationship to soil temperature</w:t>
      </w:r>
    </w:p>
    <w:p w:rsidR="00F24219"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rPr>
      </w:pPr>
    </w:p>
    <w:p w:rsidR="00F24219" w:rsidRPr="006F186C"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rPr>
      </w:pPr>
      <w:r w:rsidRPr="003C74A3">
        <w:rPr>
          <w:b/>
          <w:i/>
        </w:rPr>
        <w:t>Seasonal</w:t>
      </w:r>
      <w:r w:rsidRPr="003C74A3">
        <w:rPr>
          <w:b/>
        </w:rPr>
        <w:t xml:space="preserve"> </w:t>
      </w:r>
      <w:r w:rsidR="00F940EA">
        <w:rPr>
          <w:b/>
          <w:i/>
        </w:rPr>
        <w:t>and Daily</w:t>
      </w:r>
      <w:r w:rsidR="006F186C">
        <w:rPr>
          <w:b/>
          <w:i/>
        </w:rPr>
        <w:t>CO</w:t>
      </w:r>
      <w:r w:rsidR="006F186C">
        <w:rPr>
          <w:b/>
          <w:i/>
          <w:vertAlign w:val="subscript"/>
        </w:rPr>
        <w:t>2</w:t>
      </w:r>
      <w:r w:rsidR="006F186C">
        <w:rPr>
          <w:b/>
          <w:i/>
        </w:rPr>
        <w:t xml:space="preserve"> Flux</w:t>
      </w:r>
    </w:p>
    <w:p w:rsidR="00F24219" w:rsidRPr="003C74A3" w:rsidRDefault="00F24219" w:rsidP="00265C6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i/>
        </w:rPr>
      </w:pPr>
    </w:p>
    <w:p w:rsidR="00DE14AB" w:rsidRDefault="00F24219" w:rsidP="00265C65">
      <w:pPr>
        <w:spacing w:line="480" w:lineRule="auto"/>
      </w:pPr>
      <w:r>
        <w:rPr>
          <w:i/>
        </w:rPr>
        <w:tab/>
      </w:r>
      <w:r>
        <w:t>The lowest flux months were winter months December, January, and February. The highest flux months were June, July, and August. Overall annual flux was calculated by totaling the daily</w:t>
      </w:r>
      <w:r w:rsidR="00CE59BF">
        <w:t xml:space="preserve"> averages. This is an</w:t>
      </w:r>
      <w:r>
        <w:t xml:space="preserve"> estimate seeing as how the daily flux is averaged over a 24 hour period, however it is much more accurate and descriptive than studies to date that look only at growing season and weekly flux measurements versus this study’s hourly annual flux measurements.</w:t>
      </w:r>
    </w:p>
    <w:p w:rsidR="006F186C" w:rsidRDefault="00DE14AB" w:rsidP="00265C65">
      <w:pPr>
        <w:spacing w:line="480" w:lineRule="auto"/>
      </w:pPr>
      <w:r>
        <w:rPr>
          <w:noProof/>
        </w:rPr>
        <w:lastRenderedPageBreak/>
        <w:drawing>
          <wp:inline distT="0" distB="0" distL="0" distR="0" wp14:anchorId="4881DFCD" wp14:editId="213CBADC">
            <wp:extent cx="5203031" cy="2903935"/>
            <wp:effectExtent l="0" t="0" r="17145" b="107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E14AB" w:rsidRDefault="009538DC" w:rsidP="00265C65">
      <w:pPr>
        <w:spacing w:line="480" w:lineRule="auto"/>
      </w:pPr>
      <w:r>
        <w:rPr>
          <w:b/>
        </w:rPr>
        <w:t>Figure 2.4</w:t>
      </w:r>
      <w:r w:rsidR="006F186C">
        <w:rPr>
          <w:b/>
        </w:rPr>
        <w:t xml:space="preserve"> CO</w:t>
      </w:r>
      <w:r w:rsidR="006F186C">
        <w:rPr>
          <w:b/>
          <w:vertAlign w:val="subscript"/>
        </w:rPr>
        <w:t>2</w:t>
      </w:r>
      <w:r w:rsidR="006F186C">
        <w:rPr>
          <w:b/>
        </w:rPr>
        <w:t xml:space="preserve"> flux by season</w:t>
      </w:r>
      <w:r w:rsidR="00F24219">
        <w:t xml:space="preserve"> </w:t>
      </w:r>
    </w:p>
    <w:p w:rsidR="00F24219" w:rsidRDefault="00F24219" w:rsidP="00265C65">
      <w:pPr>
        <w:pStyle w:val="Heading2"/>
        <w:spacing w:line="480" w:lineRule="auto"/>
        <w:jc w:val="left"/>
        <w:rPr>
          <w:rFonts w:ascii="Times New Roman" w:hAnsi="Times New Roman" w:cs="Times New Roman"/>
          <w:b w:val="0"/>
          <w:sz w:val="24"/>
        </w:rPr>
      </w:pPr>
      <w:r>
        <w:rPr>
          <w:rFonts w:ascii="Times New Roman" w:hAnsi="Times New Roman" w:cs="Times New Roman"/>
          <w:b w:val="0"/>
          <w:sz w:val="24"/>
        </w:rPr>
        <w:tab/>
        <w:t>Daily CO</w:t>
      </w:r>
      <w:r>
        <w:rPr>
          <w:rFonts w:ascii="Times New Roman" w:hAnsi="Times New Roman" w:cs="Times New Roman"/>
          <w:b w:val="0"/>
          <w:sz w:val="24"/>
          <w:vertAlign w:val="subscript"/>
        </w:rPr>
        <w:t>2</w:t>
      </w:r>
      <w:r>
        <w:rPr>
          <w:rFonts w:ascii="Times New Roman" w:hAnsi="Times New Roman" w:cs="Times New Roman"/>
          <w:b w:val="0"/>
          <w:sz w:val="24"/>
        </w:rPr>
        <w:t xml:space="preserve"> flux peaked between 12:00 and 15:00. Daily CO</w:t>
      </w:r>
      <w:r>
        <w:rPr>
          <w:rFonts w:ascii="Times New Roman" w:hAnsi="Times New Roman" w:cs="Times New Roman"/>
          <w:b w:val="0"/>
          <w:sz w:val="24"/>
          <w:vertAlign w:val="subscript"/>
        </w:rPr>
        <w:t>2</w:t>
      </w:r>
      <w:r>
        <w:rPr>
          <w:rFonts w:ascii="Times New Roman" w:hAnsi="Times New Roman" w:cs="Times New Roman"/>
          <w:b w:val="0"/>
          <w:sz w:val="24"/>
        </w:rPr>
        <w:t xml:space="preserve"> flux exhibited greater variation in the summer than in the winter</w:t>
      </w:r>
      <w:r w:rsidR="00CE59BF">
        <w:rPr>
          <w:rFonts w:ascii="Times New Roman" w:hAnsi="Times New Roman" w:cs="Times New Roman"/>
          <w:b w:val="0"/>
          <w:sz w:val="24"/>
        </w:rPr>
        <w:t xml:space="preserve"> due to the more dramatic soil temperature changes in the summer than the winter</w:t>
      </w:r>
      <w:r>
        <w:rPr>
          <w:rFonts w:ascii="Times New Roman" w:hAnsi="Times New Roman" w:cs="Times New Roman"/>
          <w:b w:val="0"/>
          <w:sz w:val="24"/>
        </w:rPr>
        <w:t>. Daily CO</w:t>
      </w:r>
      <w:r>
        <w:rPr>
          <w:rFonts w:ascii="Times New Roman" w:hAnsi="Times New Roman" w:cs="Times New Roman"/>
          <w:b w:val="0"/>
          <w:sz w:val="24"/>
          <w:vertAlign w:val="subscript"/>
        </w:rPr>
        <w:t>2</w:t>
      </w:r>
      <w:r>
        <w:rPr>
          <w:rFonts w:ascii="Times New Roman" w:hAnsi="Times New Roman" w:cs="Times New Roman"/>
          <w:b w:val="0"/>
          <w:sz w:val="24"/>
        </w:rPr>
        <w:t xml:space="preserve"> flux also exhibited greater disparity between bare and cover in the summer with very little disparity present in the winter months (Figure 2.2). The results are attributed to the relationship of soil respiration to soil temperature are discussed above. The higher CO</w:t>
      </w:r>
      <w:r>
        <w:rPr>
          <w:rFonts w:ascii="Times New Roman" w:hAnsi="Times New Roman" w:cs="Times New Roman"/>
          <w:b w:val="0"/>
          <w:sz w:val="24"/>
          <w:vertAlign w:val="subscript"/>
        </w:rPr>
        <w:t>2</w:t>
      </w:r>
      <w:r>
        <w:rPr>
          <w:rFonts w:ascii="Times New Roman" w:hAnsi="Times New Roman" w:cs="Times New Roman"/>
          <w:b w:val="0"/>
          <w:sz w:val="24"/>
        </w:rPr>
        <w:t xml:space="preserve"> flux rates from cover sites can be explained by respiration from roots below the crowns and the ample supply of organic carbon from roots and above ground biomass inputs to soil microbial populations near the surface. </w:t>
      </w:r>
    </w:p>
    <w:p w:rsidR="00CE59BF" w:rsidRPr="00CE59BF" w:rsidRDefault="00CE59BF" w:rsidP="004F4C4B">
      <w:pPr>
        <w:spacing w:line="480" w:lineRule="auto"/>
      </w:pPr>
      <w:r>
        <w:tab/>
        <w:t>Grahammer et al. (1990) measured daily soil respiration to compare the day with the night. They made 20 observations over 18 days finding that soil respiration measured as CO</w:t>
      </w:r>
      <w:r>
        <w:rPr>
          <w:vertAlign w:val="subscript"/>
        </w:rPr>
        <w:t>2</w:t>
      </w:r>
      <w:r>
        <w:t xml:space="preserve"> flux was roughly 20% higher in the night than in the day (Grahammer et al., </w:t>
      </w:r>
      <w:r>
        <w:lastRenderedPageBreak/>
        <w:t xml:space="preserve">1990). </w:t>
      </w:r>
      <w:r w:rsidR="007D5C68">
        <w:t>They also found that diurnal variability was reduced under wetter conditions (Grahammer et al., 1990). The reduced variability was due to the reduced diurnal variability in soil temperature</w:t>
      </w:r>
      <w:r w:rsidR="004F4C4B">
        <w:t xml:space="preserve"> as well as the increase in night microbial activity with increase in soil moisture</w:t>
      </w:r>
      <w:r w:rsidR="007D5C68">
        <w:t xml:space="preserve"> (Grahammer et al., 1990). </w:t>
      </w:r>
      <w:r w:rsidR="00CD3D79">
        <w:t xml:space="preserve">Our </w:t>
      </w:r>
      <w:r w:rsidR="00894041">
        <w:t>measurements</w:t>
      </w:r>
      <w:r w:rsidR="00CD3D79">
        <w:t xml:space="preserve"> showed similar patterns. The daily diurnal variability in this study can be explained by the soil temperature differences from night to day.</w:t>
      </w:r>
      <w:r w:rsidR="004F4C4B">
        <w:t xml:space="preserve"> Our study was able to observe the daily variation of soil respiration in every season. Figure 2.5 was created to observe the diurnal variation from flowering in early fall through winter of 2010.</w:t>
      </w:r>
    </w:p>
    <w:p w:rsidR="00F24219" w:rsidRDefault="00243C89" w:rsidP="00265C65">
      <w:pPr>
        <w:rPr>
          <w:noProof/>
        </w:rPr>
      </w:pPr>
      <w:r>
        <w:rPr>
          <w:noProof/>
        </w:rPr>
        <w:pict>
          <v:shape id="_x0000_i1032" type="#_x0000_t75" style="width:452.4pt;height:261.1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zbgj8L&#10;AQAANgIAAA4AAABkcnMvZTJvRG9jLnhtbJyRwU7DMBBE70j8g7V36qSCqI3q9FIhceICH7DY68RS&#10;Yltrl8DfY9qAygmpt9kd6Wl2drf/mEbxTpxc8ArqVQWCvA7G+V7B68vj3QZEyugNjsGTgk9KsO9u&#10;b3ZzbGkdhjAaYlEgPrVzVDDkHFspkx5owrQKkXwxbeAJcxm5l4ZxLvRplOuqauQc2EQOmlIq28PZ&#10;hO7Et5Z0frY2URajgqbaNiDyj2AF9/W2BvFWNtvNA8huh23PGAenl0h4RaIJnS8BflEHzCiO7K5A&#10;6QE5F5ZuT2oJpa8mLYBy+f89B2udpkPQx4l8PpfNNGIun06DiwkEt84o4CdTf3cn/1x8ORd9+e7u&#10;CwAA//8DAFBLAwQUAAYACAAAACEALQBw0xoBAAAFAgAAIAAAAGRycy9jaGFydHMvX3JlbHMvY2hh&#10;cnQxLnhtbC5yZWxzrJFBS8NAEIXvgv8hzN1skoNI6abQNpYeNFDag5DLmEzStZvdsDtK8u9dlYKF&#10;ghcvA8Njvnkzb74Yex19kPPKGglpnEBEpraNMp2Ew/7x7gEiz2ga1NaQhIk8LPLbm/mONHIY8kc1&#10;+ChQjJdwZB5mQvj6SD362A5kgtJa1yOH1nViwPqEHYksSe6F+82A/IIZbRsJbttkEO2nIWz+m23b&#10;VtW0tvV7T4avrBBWU/n6RjUHKLqOWEKrNAXLYjWrDj78odo4nKo1+RPboVpuy+K52G1eqqWyZMh1&#10;0xoZq71l1Ksyi0ftxzPsyTbBZzEyOYMaxPWD0v88iMOjqQz5OdXQ2YeEOBbfyk8962kcwviyJS7C&#10;yz8B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CzVgvJ3AAAAAUBAAAPAAAAZHJzL2Rv&#10;d25yZXYueG1sTI/BasMwEETvhfyD2EJvjZyGBMe1HEzAkB56qJMPUKytZWqtjKXEbr++217ay8Iw&#10;w8zbfD+7XtxwDJ0nBatlAgKp8aajVsH5VD2mIELUZHTvCRV8YoB9sbjLdWb8RG94q2MruIRCphXY&#10;GIdMytBYdDos/YDE3rsfnY4sx1aaUU9c7nr5lCRb6XRHvGD1gAeLzUd9dQqOVJVVlxy/fD29+Ndt&#10;CENpG6Ue7ufyGUTEOf6F4Qef0aFgpou/kgmiV8CPxN/LXppuViAuCjbr9Q5kkcv/9MU3AAAA//8D&#10;AFBLAwQUAAYACAAAACEAMZ1awQAXAADedAAAFQAAAGRycy9jaGFydHMvY2hhcnQxLnhtbOyd33Pb&#10;RpLH36/q/gcuax/2HgxhBr9Vkbcc+Zx1XbJ2Ynsf9uUKImGJJ5LQgpQt56/fTwOYAUm7EV0iZbMp&#10;qlKORGIwP7pn5tvd35756s93q+XkQ9VsFvX6bGqCcDqp1rN6vlhfnk3fvX3xJJ9ONttyPS+X9bo6&#10;m36qNtM/P/3P//hqdjq7Kpvtm5tyVk14yXpzOjubXm23N6cnJ5vZVbUqN0F9U6357n3drMotfzaX&#10;J/Om/MjLV8sTG4bpSfuSaf+C8me8YFUu1q58c5/y9fv3i1n1vJ7drqr1tmtFUy3LLSOwuVrcbKZP&#10;6dy83FamCOPJh3J5Ng2nJ/Lhslxfdh9U6yfv3nQfNvXtel7Nz+tmzTDuPL+anT5bbqtmzavO6/WW&#10;2vp+ru41Uquyub69eTKrVzc07mKxXGw/tc2lgbz7/KqmH5Mfqn/cLppqczadmdgNBL9+NhSrxayp&#10;N/X7bcAbT7pRcNKQ12Yn+Ynt5UFnTXy62X5aVl2HTGiltye+3rYJL8rl8qKcXcvY7DzsHx2+l4KH&#10;gyGlZsvmu/Lm1YdmcnFpzqbLrZlOtnf8Nr/mt4tLK59Z+Yzf5tf8Vs5mDCRP9L+4T/i++8Q/E7lP&#10;IvcMg9I9w0B1vyTuk8R9krpP0unkarlYXzOQ8r/p5H29/Ev3gfutU4BWhaUz5e22frvYLqvn1bLa&#10;VvN+6Lqnbpb19llTlfLgsvxU325bldrMyi06ci5zqR3G7u83w9BTZfUdqlA13Ys+lM2n83pZ7+ka&#10;4181Un4xv9tRwdlp3cyrZu+T7Z089+Hpec20nzy7vZzY0IRfnchn8m/3/ebmNe8rT5frycezqc2T&#10;LEHtytN1/WKxXIoqyHdtge7R2anoa9eIzafVRc2yIlNnvihX9XretX2z+LFXqKz/oK8GDd/Kiyc3&#10;zWZ7Nr2Zbbvq3l+eL9t2tCtKxR/dW9EReQGN8E9cKI+iWP2j/RMUctV1PZR/N/VyMZcWtH/I8vWl&#10;ynaeOuw/IzcMwN3fSl40O13frn6o3stv75/+5dW7H/73zTd/+OPXf0zCU/7NIhnu9lueOy+ptH2y&#10;XSzP63n19Op0tWqfGT7iVTfbc5acbTcQNu4G8mY7QfSyUnXS3RHoTatY7gHTPxAHJt39KYr/fmIH&#10;LdgvZPtCeRDt/YRmpFDkmhIYm2hvjoeHdluTpkWhFRHNEGUNAxvmu80JjVYkHYqoLcmGZ4rdoclC&#10;dVhyX2S3GVFki1xrSTEUydSmGC/FIN5tSjrSFuMEGwZxsjssI40xTq5hoLdlEGOy35gi1TrJRuRE&#10;tNeUKApjtcwg1lRXFzNIcl9d0pHWDJLNDhRGb80g2hExDcLM9lRmpDF2EO2ukNAffWjsINpcb40d&#10;hLnfmLHWDMIt9iV12BpWqmGR6v5oVzZ+dYvdp7FF72W76L28x6IXBmG7eHWgsV0H77voRVkc5DYP&#10;Q1NkaZQnRl0Q3IhGWRbEKbtbVmRhzH/qPHCjK3WEeZ7GYVrkYWwidZ1yYxvlURAVYRIWGUtDmBi1&#10;hJs2UofJIt5tmL2J1VcgN2mizAZ5bG2e038US12y3PyJkixII5tkBmhXhDZvN6MOAeyv/W72RGkS&#10;ZGmSxIlJZchCdY1zcyfK0iBJM5uaKI3jvFCrcPNIqrA2inh9EeVFkamLhZtFUZEFNklsEYd5auI8&#10;1Is4kSMyNCyzJgwZK9RE7YdfHmPkQc9Rk9TGGYuIOrzGCT3O8sDwExUIw0asO2pfnNSTMAnyAiFG&#10;CCUp0kzVE+PEHhdFECapyXMj+hJbXeGd4BmjgJGKwwQtSy16oDbMSZ6Hg9wkaRwVhckym//0shkb&#10;1CuxzEA6k7K06HuFE34cFgFzN7eFjZnBzBatYX4NjXIbMGBpykSM0zCP1e77JbSd8FES5zZLTBTH&#10;sV7LMOMLakHfU5OlhjmmtssJP2KMbZ6xpOc2Lhi4gwEbWUzdIrpZ1fX2age4U6aH+IdIv4W3e0i/&#10;/8Qh/a/LpnokoP9l+P7j4vLv5SUYYAeeHwE8sB1Mf9+97Ajgu6HqzBq3ejGv1B3aLVc8sweARkCz&#10;26nCA7tmBDO75YoiOhY7AnhtjTwCeFV/f9sA/vsWwH9/TwD/cxE84C+IASVRVkQgX2N13NCbmDYW&#10;PJ4kCd7kBGwS6RjAl7AtmgNtFkVchDoudfu5jUxQZAIwM1BgnulgzmE5MFyAjZDxvElyweXahHBQ&#10;TkpYK7APxIQ5qIMstxZamwUGAB8xYGkGBlIhplsZrUkCsY0yui196TxQXwL9bmG0pghSBtVGBdAX&#10;e0FFvm5dpK8BjgJr8iQuQFmpqu9+kbTWUASQnUdYocB+tRLv5LAR8LoQIyEKE3RFN3g8iLdpxpJt&#10;Upvh1jfAvwNQJo61brPxIB6kGxQJlh5wPImwkzQheoeHzaIAawejqrBIMzEqvPQYPgoxDwGxJmR4&#10;i8TGqqr4tRN1CiJDwwpLRyKmi9owL/rMBCaOUiYW4BpArpbwok9lIy3oiaH/+OP0qehln7ErYr8Y&#10;MUWKJMtV2XsIDz4O0gIJJgXzt0h1qXgIb+M0QI7MdIteSk1aX/yKikURUINJRSr4UEYMBT/n0WMm&#10;cJqzqmC9Y/js1/KwGL4Nmexh+P4Th+E7b/2bCh19eHf9l1E8Tvje6e997L8rEJ/F4oXvzMyjF753&#10;qe+5m49e+H5U9h3fIwaF36COXni2010LzridKAyOXvj9obFuzwlBG3tRgYf3wsui9/Iei5544X82&#10;iE9TnOoWPBOnEdEHHWg5RJ4AAsKMDRq3KTDAHuy1AzRzPrkOZ4EV8f0CAsF0+7vzUMKNLWAswMGf&#10;mzAuQA5xqtbhMXwCkgXrg2ZS8X3qaNljeJzqPB6CmgE0OGdVW8Rj+Bg/KZDUiM++AP+ouMxNHxzQ&#10;QYYPm07naQakU0cX5s4QQzmbflPBTymXbshjGyRAIhybJqL+UIVqxehrkFxkCoaoBWKZbh+A9sea&#10;k8YBJlwWM8pIdcTOYIUde0+RMp4AVqIzuJ2B4ppeYBeMvCdilAlx4O3GDs2wZlS5YCyMvQd7gHgJ&#10;gYM0xMxBK9T2wEnRxRWBrAsbxhEmMRqJDqvvgcky9h4iLFhYeYwZG0HrULUHY2P0PXGA5W1bbz0q&#10;pL8mG30NJqzNCClgwvCukRCRGdVmVDAg/sGEyHEaZCwL6vCMq3NBQCHCbkFWvClKVfXBgBkbHmOC&#10;iAWNdcCGSN6o7cGqGXkPS0Ig61tG4IEoj9GdAoOpQ0zEsCBK8AkNLnRShN92LLEqTKJQnAgGWZgD&#10;+/thTZ2oI6zsEJP6T/ZNnVezR7R0hLn0K3N+jtaG96+4DTY8oCAdOT8drelobexbDg4sEbje/xlx&#10;STm4dLQ2BArvGmJ+2X90a4NgAdbG9/ewNnpsKpv2gF3uHSrFrQeXhX0WABCGmAa6B7VHv2ymuLUL&#10;XM7QUiwbtFrCGRwmwbFbFBAtcJ7jCLcqIHQGBz7jIMQWyCJ82vBz9FCGWw/xaQYpXvkUKxBWR6qH&#10;MpzBgV82yIlDRhgDEFmiXDVq3Bwy4m+FVUSgRShMWagCSTeDcBbj1IXKADywuM/1Es5zbBIr9AeC&#10;qFAg8uwz+sNgnDnHsUkMcDIrCGKYIoWFpfbDBw2k6wKsM0YsRC4jVqZj/sBbAvwik7CQIS4yHbV6&#10;sWcJjmPCURIDwKLViZ0+aGDAbAA2PPN5QcjI6ADMRw1MAQBDjChZzjBglanw1UmetgRQeYgWYZrG&#10;mNp6ES96yEKoryyhQHfYMioo9b4aU8QBmhsLlkzBxJmKh8HnMl8/PGWSwPcNhSeWEmoi2KD2xUs/&#10;xzSHTUcniLHQf3Vu+bABWsIEjmCKAnCxmvVafNjAgHJ5PmZ0LRY3815rmMfScKqYXpj+Odw6bMpC&#10;VRi/qEotQpUqaBuBrOIwmvOwWDr5DEv3dHCHpVvqz6NCaUel75n7y8vzq2p2jTL8Xrk/RS5hA1wC&#10;7W4lSj8QY/e2ryN7/0uRZbeAEVw8IGOrC4VbwI7knz0g5yPbR/b+AcT1mxHoX9/k3PbDQ3t8sTG+&#10;vOMdQ4jdT/k49NQPGMdvQJTRW+P3HFD5fgxON3L8pvMrIHlZ9b6/z6r3SwIHeKLxbVvIzDF0iwRG&#10;r7ZFe0hnIxyIhOlBpjleet2f6RGdxdMMZhQkj4MPhKbV4YG8gf0N4R10itMUso0KTj2Qt/jgBJXx&#10;A0XjHpEDMqQk1YcshNgkIdBfrcMthiAycZ/gDMbRDTzVTRgP5C0LKBEQCBOtX1uPsngsB18Ingl4&#10;GbQE+olVyOTmkrQqzAiyMK6w3hOdkzQAeaGKw69gYGEzgRt1JLsr9QzeDzwe+kOYRdeTQewZ1KcI&#10;oWMxgMz1lIoByEdYGISXaBeg2UD70jRlAPJYV0BfjCsiMwZjSQWMnv6DqoPKJShVwP/J4xFU7kUP&#10;VQyuFOgUghmqMkKx8rKPWCOohFHDJIEmp3bFyx4mniE7QLi0cPGTEcvHC59KyNwg7sXUZRhGJqNb&#10;R5EI611C4kLO9AIuqwaGX0aZWFAEhfHHfEnVjvgFFWOXMB6MrxBDHwvrHuspqksVMuUjzAUc8Puj&#10;9bAYPv0Mw/eo3mH4jvrz1/rDIzB/dhJ1t82C9PZl1TXnvpm6H+fP188Xv2uyPykfLeLvZuaRKXRk&#10;Ch26VP1eButnD7wdmUJuzzr67g+Vxm9Qv0nE/xKsz7LH/3562fuF3nvSHuHnwrIFm8Ej0Wk2Hv6F&#10;KQm1MY5PvL5s7DqZ2aM/cgvhx0N6IB0P1rTux/SgP8TrDSEHEjfYHOevCsg96A+JZ+akLpK0S2Yt&#10;1Kd91DBYhM4FQuYtnmIez8kUJEFY77mbRdB0xOtLSi0toiK9VQ744YyOgZcwR0LGdyyhwgE/fNFg&#10;ahAs0RH46HiLtX443FdALSc+AHkH4g621Qi2drivgPMOMIPtjnuVivSggmdUQs0gQEwYhawCSPLY&#10;fFq7vGME7zUhCAApNB78/rCm1CKD3DFgQb2S60E0aYwg4wUP2QMtCck7J4U3z0ZsHi95A0MulExi&#10;bEQc34nupfCih+IiHmhSBRBPHuvBocF7L6wYsaoK1AVnm27weYcJiccBYRtc3tBoCOHoA+aED64W&#10;plQSY7RKzqs6TwbfPSWIPglTB9aYJMdoUhkwv2SIhBiu2DqSK5CqhqhfVfEhkBEfErLBdsEcUS0x&#10;70UhVBNAjGIICKcA/g/NqoeF/f0BODs0mN4QcLC/dd0/Durv+f47p9lAhrnHmTfdkT+/MnHmCL8B&#10;3C41ya05R+rMzqAc4be2gPqMsSP8/veC3+JqB37zv8eG39BFxecKc5bMQPxp6v7t0DeMCALbJB/i&#10;fRVmqw53HPrmjJ1QsgFC4KRQbhLVw+tQGHWQCAHGox5y9uDiahruFkTSG4WmL2ST3OJB1xNCHQaT&#10;Mzrg5tAHEuoALpGKdRwE4xQYhgivIEgPWi/OZK1VDn2TCCG+ZiIA4q6ErKD2w6FvSkCD4fgTDsHB&#10;s0uqglaHA2CcmYMnnDwFwCpRaQCiVsKvk9Aa4CeQOirkBgreI+FWTiTCRSvk4IKzYPCKq7U4saNZ&#10;9BimFNnJoHBSmtUiTu45+RM4nKEnyflNiEct4eROCawawj9Q4yW9Vbe6vMcdQ6K1GuHAkPtNX/Su&#10;OMnnaBfgUzKBs5xkgMMDXYYN2oPvAl8QPHuIUygwdHs9zjSA7xDPNo2iEgMBLNaPujBO+K1BiFiY&#10;I7BOOPxJnVoefqP3aG8IEUyoRnCO9CJuyssagbbAAYKTRmRDV2MPv8lQ5jwtSbEn00ZyOlSt9Pib&#10;WlBHiFPC35d0/oOl6GHxd/6Z271H5A5/d27359Xscd3uN8vbzU+43P8FbHUTp63PO22V4+jzPvq8&#10;D/GT30yOPu9D9onbNY6g+1Bp/PbwW/V5y7KHz7sLK48te/f0efepTc58d+7PGPo5jkI5uo4NGPii&#10;A52eVsuZF3i9cHrKEYw4zXSU5+BXJKfWQXmAVwy5Qmi1Gphy6EuOhMzIeSThkTxZ7AG1VQ59ySk3&#10;YE+wKkdl4MxUwaoD3cKPICcNKkIiWbIjBAk3iRgqYv1QaLAgABTAVa0bDnTDPid1D+wMbUGyinUa&#10;ggPdMArAKfScoQVRsflpdTjcRatwFYqHHNc9HH99cP06iQQBaPj7bSLO9bHUVIe7ONoIbjNsDWqA&#10;FUWWpNYu7/KGQcXpMGJ0kHGKH1uViKe5UCKlRVCihVWBHNUB9jQXVAubTM405cweIfjrRZzgYZPg&#10;tAY6E4mABjd27OSu5JE35kaMREZsQI+5odJY0s2B6SGDLG5vdbyc6BlimVAYaOgLh9GMUO+97Ol9&#10;2yJiVUQkjH6eq8fcyB6GFjaN4G3m8YiX3Mk+xUrByiLFAayekSGgWil+UZVayKHGd01vUIFDcszD&#10;AujiMwDdQ2oHoFsH9uPg5y8fWLPlGoflYvM75p4fYfmO29dtQkdf+M6g+O3mCMuPsJyLO9x28m9N&#10;Pm+XPXzhWXcizUjOzT1hec+wPITlEXTnjPA3qMZysKDudXajSkIhZ7QDyWEXyNngI6dJOxyfgco5&#10;dZxTV0LcXIBNDaI4VM45dEAMYt+EvcEBOMe0Em5B5LRK8iJxhAuUhSiswzOPzrKA7Ebc7bDPYePC&#10;ytXqcOAMyAzs54AMgUJy2o3aKgfLCeGL3zhrT5jAm9q5lr6UIuSwGcg0xDsby2GYsHeJUWitctAM&#10;Fr2cN4STlmPUYROrjfLLpIVKhAccfztJhNgZI9wVJ3SKSPiDQ+rBypnAZq1ZAyrHTuLcRSwScaCT&#10;Q6sXcWKXjFjSYYWyw3Eekk2p1uLkTkYs9EMxreRAHo4HVcfL+8I54zHhjCN8rnh3hb6hWxhO8oBs&#10;MXu4XoHgD3B+pPtO9OROQ9sAlpI5LR50vRIneuwroDKmK3mqhHUQpdp7J3vahRnKWUQQ1vHvQ2HR&#10;inhYjvnKdCd/wqSEfyBIqQ3z66hkHcN14ngrSQgeOfhmQOXSeTjkYipyjAtBAbVdTvacVkkmMBKk&#10;P0z9kXxgrv/p0m6l90I9FZuUYnDp92v5Zdh//u3FciMVba7qj99Wl9V6/j/Vp53T6btvuADks8/O&#10;y+1fy1V/61N/j5q85U3VfPHz11UjF3x99p6vby8ultUbf4FU+yp65ZtW3r10N25JcjNWcF/bwRew&#10;5roLymjzweVbXFj1rL0d66DI8C5KcB/XpQxF3SxoZ3ttXNfY1WL9XXnXWUWrsr+Gq7t7qq3KFZy3&#10;t4PtdbC8e133V8dddC/Yyj1iUk1nTTWL2ZWk1F7U80+vG26+goqz2ba3hLV/3MgnvVU0r97/0D4j&#10;F111t3g18nXzupnIDXZnU397XXm6ffp2gXT+JMmq/yX3aZFiyL8UkNLt/V5d3Qx115Sdy8vkBjH+&#10;3OmKPOVaTlrsi9V273QjqYX7BOtbZPwtl6pVc+4cdCP2f3XzdjG7lrvOujdyR1r/3WJ9+N2a2wjd&#10;SM2uUU8/gOvqbvu27r6TG+82z5woRC2c9Ll6Tr6r+lEvubrt71WzW+zravuxqtZOtnMUeael79YL&#10;p6NyvZV8Q9+9AvlfDjRpqP7/rUmExPr6F32j3BTYedW4bi13OvBNs5jL1XIbWr4jtC+p26SpuZPt&#10;iYT8+ZnKdZH8fVU3P8r7Hk4Tz8vmol5Pni/qu8W8mrxY3t5N/nR9ef7KnlyVJ/PHV0/JXfzXquew&#10;0vxM9RyUkN/27hxsV22R9bL9zc+XplOKn5rWXSkpL2/922Lzar3sZ34/g+eLzc3XLDDXm2f9rLos&#10;b7qXy4L/XPaQV+gOi+T+iuEvUGTmynWZy+fltpw03GV4Nm1ezjuHtszQdzdyLed+4d0y7Rxs39Ze&#10;S/r0nwIAAAD//wMAUEsDBBQABgAIAAAAIQAjbAUngAYAAFQbAAAcAAAAZHJzL3RoZW1lL3RoZW1l&#10;T3ZlcnJpZGUxLnhtbOxZTW8bRRi+I/EfRntvYyd2Gkd1qtixG0jTRrFb1ON4d7w7zezOamac1DfU&#10;HpGQEAVxoBI3Dgio1Epcyq8JFEGR+hd4Z2Z3vROvSdJGUEF9SLyzz7zf7zMfvnrtfszQIRGS8qTt&#10;1S/XPEQSnwc0Cdve7WH/0pqHpMJJgBlPSNubEuld23j/vat4XUUkJrdgrqABQSAnkeu47UVKpetL&#10;S9KH11he5ilJ4N2YixgreBThUiDwEciP2dJyrba6FGOaeBsg0GdioGcRlOAYdN0aj6lPzKvgoK4R&#10;ciq7TKBDzNoeiAj40ZDcVx5iWCp40fZq5uMtbVxdwuvZJKYWzC3N65tPNi+bEBwsG50iHBVK6/1G&#10;68pWId8AmJrH9Xq9bq9eyDMA7PskyWwpy2z01+qdXGYJZL/Oy+7WmrWGiy/JX5mzudXpdJqtzBYr&#10;1IDs18Ycfq222thcdvAGZPHNOXyjs9ntrjp4A7L41Tl8/0prteHiDShiNDmYQ+uE9vuZ9AIy5my7&#10;Er4G8LVaBp+hoBqK6tIqxjxRi2otxve46ANAAxlWNEFqmpIx9qEmuzgeCYq1ArxOcOmNHfLl3JDW&#10;haQvaKra3ocpTrwS5NXz7189f4qOHzw7fvDT8cOHxw9+tIKcWds4CcuzXn772Z+PP0Z/PP3m5aMv&#10;qvGyjP/1h09++fnzaiC0z8y9F18++e3Zkxdfffr7d48q4JsCj8rwIY2JRDfJEdrnMThmouJaTkbi&#10;fDOGEablGZtJKHGCtZYK+T0VOeibU8yy7Dh2dIgbwTsC6KMKeH1yzzF4EImJohWad6LYAe5yzjpc&#10;VEZhR+sqhXk4ScJq5WJSxu1jfFilu4sTJ7+9SQq8mZel43g3Io6ZewwnCockIQrpd/yAkArv7lLq&#10;xHWX+oJLPlboLkUdTCtDMqQjp5pmk7ZpDHmZVvkM+XZis3sHdTir8nqLHLpI6ArMKowfEuaE8Tqe&#10;KBxXiRzimJUDfgOrqMrIwVT4ZVxPKsh0SBhHvYBIWTXnlgB/S0nfwcBYlWnfZdPYRQpFD6pk3sCc&#10;l5Fb/KAb4Titwg5oEpWxH8gDKFGM9riqgu9yt0P0M+QBJwvTfYcSJ92ns8FtGjomzQpEv5mIilxe&#10;J9yp38GUjTExVAOk7nB1TJO/I25GgbmthosjbqDKF18/rrD7baXsTVi9qnpm+wRRL8KdpOcuFwF9&#10;+9l5C0+SPQINMb9EvSPnd+Ts/efJeVE/Xzwlz1gYCFrvRexG22y744W77jFlbKCmjNyQZuMtYe0J&#10;+jCo55nDJClOYWkEX3UngwIHFwps5iDB1UdURYMIp7Bpr3taSCgz0aFEKZdwWDTDlbI1Hjb+yh41&#10;m/oQYplDYrXLAzu8oofzs0YhxlgVSqvRKlrRAs6qbOVKJhR8ex1ldW3UmbXVjWmGFB1thcs6xOZQ&#10;DiEvXIPBIpqwqUGwFYIor8JxXquGww5mJNBxtznK02JicpEpkhGGqwdzHdDUfs/nqG6SlNfKnCPa&#10;D5sjfXA8JWolbS0t9g20nSVJZXWNBery7L1JlvIKnmUJpJ1sR5aUm5Ml6KjttZrLTQ/5OG17Yzgn&#10;w9c4haxLvY/ELIT7JF8JW/anNrMujbLDuWNuE9Th6sPGfc5hhwdSIdUWlpEtDfMqKwGWaE3W/uUm&#10;hPWiHKhgo7NZsbIGxfCvWQFxdFNLxmPiq3KySyM6dvYxo1I+UUQMouAIjdhE7GNIvy5V8CegEq47&#10;DCPoB7ib09E2r1xyzpqufCNmcHYcszTCGd3qFs072cINIRU2mKeSeeBbpe3GufO7Ylr+glwpl/H/&#10;zBW9nsDtw0qgM+DDRa/ASHdK2+NCRRxYKI2o3xewcTDcAdUC97vwGooK7qDNf0EO9X/bc1aGaWs4&#10;RKp9GiJBYT1SkSBkD2jJVN8pwurZ2mVFskyQqaiSuTK1Zo/IIWFDzYGrem33UASlbtgkowGDO1l/&#10;7nPWQaNQb3LK/eYwWbH22h74p3c+tpnBKZeHzYYmj39hYrE9mK2qdr6Znq+9ZUf0i9k2q5F3hbsU&#10;tLK2f00TzrnUWsaa83i5mRsHWZz3GAaLDVEKd0hI/4H1jwqf2V8w9II65PvArQh+vNDCoGygqi/Z&#10;jQfSBGkHR7BxsoO2mLQoG9ps66Sjli/WF7zTLfSeCLa27Cz5Pmewi82Zq87pxYsMdhZhJ9Z2bGGo&#10;IbMnWxSGxvlBxiTG+SVs4y8AAAD//wMAUEsBAi0AFAAGAAgAAAAhAEAf9EEwAQAA4AIAABMAAAAA&#10;AAAAAAAAAAAAAAAAAFtDb250ZW50X1R5cGVzXS54bWxQSwECLQAUAAYACAAAACEAOP0h/9YAAACU&#10;AQAACwAAAAAAAAAAAAAAAABhAQAAX3JlbHMvLnJlbHNQSwECLQAUAAYACAAAACEAvNuCPwsBAAA2&#10;AgAADgAAAAAAAAAAAAAAAABgAgAAZHJzL2Uyb0RvYy54bWxQSwECLQAUAAYACAAAACEALQBw0xoB&#10;AAAFAgAAIAAAAAAAAAAAAAAAAACXAwAAZHJzL2NoYXJ0cy9fcmVscy9jaGFydDEueG1sLnJlbHNQ&#10;SwECLQAUAAYACAAAACEAqxbNRrkAAAAiAQAAGQAAAAAAAAAAAAAAAADvBAAAZHJzL19yZWxzL2Uy&#10;b0RvYy54bWwucmVsc1BLAQItABQABgAIAAAAIQCzVgvJ3AAAAAUBAAAPAAAAAAAAAAAAAAAAAN8F&#10;AABkcnMvZG93bnJldi54bWxQSwECLQAUAAYACAAAACEAMZ1awQAXAADedAAAFQAAAAAAAAAAAAAA&#10;AADoBgAAZHJzL2NoYXJ0cy9jaGFydDEueG1sUEsBAi0AFAAGAAgAAAAhACNsBSeABgAAVBsAABwA&#10;AAAAAAAAAAAAAAAAGx4AAGRycy90aGVtZS90aGVtZU92ZXJyaWRlMS54bWxQSwUGAAAAAAgACAAV&#10;AgAA1SQAAAAA&#10;">
            <v:imagedata r:id="rId29" o:title=""/>
            <o:lock v:ext="edit" aspectratio="f"/>
          </v:shape>
        </w:pict>
      </w:r>
    </w:p>
    <w:p w:rsidR="00F24219" w:rsidRDefault="00F24219" w:rsidP="00265C65">
      <w:pPr>
        <w:rPr>
          <w:noProof/>
        </w:rPr>
      </w:pPr>
    </w:p>
    <w:p w:rsidR="00F24219" w:rsidRDefault="00F24219" w:rsidP="00265C65">
      <w:pPr>
        <w:rPr>
          <w:b/>
        </w:rPr>
      </w:pPr>
      <w:r>
        <w:rPr>
          <w:b/>
        </w:rPr>
        <w:t>Figure 2.5 Daily variations in CO</w:t>
      </w:r>
      <w:r>
        <w:rPr>
          <w:b/>
          <w:vertAlign w:val="subscript"/>
        </w:rPr>
        <w:t>2</w:t>
      </w:r>
      <w:r>
        <w:rPr>
          <w:b/>
        </w:rPr>
        <w:t xml:space="preserve"> flux </w:t>
      </w:r>
    </w:p>
    <w:p w:rsidR="00F24219" w:rsidRDefault="00F24219" w:rsidP="00265C65">
      <w:pPr>
        <w:rPr>
          <w:b/>
        </w:rPr>
      </w:pPr>
    </w:p>
    <w:p w:rsidR="00F24219" w:rsidRPr="00F940EA" w:rsidRDefault="00F24219" w:rsidP="00265C65">
      <w:pPr>
        <w:rPr>
          <w:b/>
          <w:i/>
        </w:rPr>
      </w:pPr>
      <w:r>
        <w:rPr>
          <w:b/>
          <w:i/>
        </w:rPr>
        <w:t xml:space="preserve">Total annual </w:t>
      </w:r>
      <w:r w:rsidR="00F940EA">
        <w:rPr>
          <w:b/>
          <w:i/>
        </w:rPr>
        <w:t>CO</w:t>
      </w:r>
      <w:r w:rsidR="00F940EA">
        <w:rPr>
          <w:b/>
          <w:i/>
          <w:vertAlign w:val="subscript"/>
        </w:rPr>
        <w:t>2</w:t>
      </w:r>
      <w:r w:rsidR="00F940EA">
        <w:rPr>
          <w:b/>
          <w:i/>
        </w:rPr>
        <w:t xml:space="preserve"> Emissions</w:t>
      </w:r>
    </w:p>
    <w:p w:rsidR="00F940EA" w:rsidRDefault="00F940EA" w:rsidP="00F940EA">
      <w:pPr>
        <w:rPr>
          <w:noProof/>
        </w:rPr>
      </w:pPr>
    </w:p>
    <w:p w:rsidR="00F24219" w:rsidRDefault="00F24219" w:rsidP="00F940EA">
      <w:pPr>
        <w:spacing w:line="480" w:lineRule="auto"/>
        <w:ind w:firstLine="720"/>
      </w:pPr>
      <w:r>
        <w:t>Total annual GHG emission for this plot was determined to assess the systems contribution of CO</w:t>
      </w:r>
      <w:r>
        <w:rPr>
          <w:vertAlign w:val="subscript"/>
        </w:rPr>
        <w:t>2</w:t>
      </w:r>
      <w:r>
        <w:t xml:space="preserve"> to the atmosphere. In order to estimate the soil system’s CO</w:t>
      </w:r>
      <w:r>
        <w:rPr>
          <w:vertAlign w:val="subscript"/>
        </w:rPr>
        <w:t>2</w:t>
      </w:r>
      <w:r>
        <w:t xml:space="preserve"> contributions, fertilizer inputs were included. For the sake of looking simply at the soil </w:t>
      </w:r>
      <w:r>
        <w:lastRenderedPageBreak/>
        <w:t xml:space="preserve">system itself, only inputs and outputs to the soil system were used to determine changes in soil carbon dynamics. Therefore this calculation does not include above ground carbon, root biomass, harvest, transportation, or processing. It includes fertilizer application because fertilizer application directly relates to plant productivity and thus the production of below ground carbon. It is also a nitrogen supply for microbial metabolism. </w:t>
      </w:r>
    </w:p>
    <w:p w:rsidR="00F940EA" w:rsidRDefault="00F940EA" w:rsidP="00F940EA">
      <w:pPr>
        <w:spacing w:line="480" w:lineRule="auto"/>
      </w:pPr>
      <w:r>
        <w:tab/>
        <w:t>T</w:t>
      </w:r>
      <w:r w:rsidR="00F24219">
        <w:t>otal annual CO</w:t>
      </w:r>
      <w:r w:rsidR="00F24219">
        <w:rPr>
          <w:vertAlign w:val="subscript"/>
        </w:rPr>
        <w:t>2</w:t>
      </w:r>
      <w:r w:rsidR="00F24219">
        <w:t xml:space="preserve"> flux on the study plot was determined to be 80.96 M</w:t>
      </w:r>
      <w:r w:rsidR="00F24219" w:rsidRPr="000E19A2">
        <w:t>gCO</w:t>
      </w:r>
      <w:r w:rsidR="00F24219" w:rsidRPr="000E19A2">
        <w:rPr>
          <w:vertAlign w:val="subscript"/>
        </w:rPr>
        <w:t>2</w:t>
      </w:r>
      <w:r w:rsidR="00F24219" w:rsidRPr="000E19A2">
        <w:t xml:space="preserve"> ha</w:t>
      </w:r>
      <w:r w:rsidR="00F24219" w:rsidRPr="000E19A2">
        <w:rPr>
          <w:vertAlign w:val="superscript"/>
        </w:rPr>
        <w:t xml:space="preserve">-1 </w:t>
      </w:r>
      <w:r w:rsidR="00F24219" w:rsidRPr="000E19A2">
        <w:t>yr</w:t>
      </w:r>
      <w:r w:rsidR="00F24219" w:rsidRPr="000E19A2">
        <w:rPr>
          <w:vertAlign w:val="superscript"/>
        </w:rPr>
        <w:t>-1</w:t>
      </w:r>
      <w:r w:rsidR="00F24219">
        <w:t>(±47.25 M</w:t>
      </w:r>
      <w:r w:rsidR="00F24219" w:rsidRPr="000E19A2">
        <w:t>gCO</w:t>
      </w:r>
      <w:r w:rsidR="00F24219" w:rsidRPr="000E19A2">
        <w:rPr>
          <w:vertAlign w:val="subscript"/>
        </w:rPr>
        <w:t>2</w:t>
      </w:r>
      <w:r w:rsidR="00F24219" w:rsidRPr="000E19A2">
        <w:t xml:space="preserve"> ha</w:t>
      </w:r>
      <w:r w:rsidR="00F24219" w:rsidRPr="000E19A2">
        <w:rPr>
          <w:vertAlign w:val="superscript"/>
        </w:rPr>
        <w:t xml:space="preserve">-1 </w:t>
      </w:r>
      <w:r w:rsidR="00F24219" w:rsidRPr="000E19A2">
        <w:t>yr</w:t>
      </w:r>
      <w:r w:rsidR="00F24219" w:rsidRPr="000E19A2">
        <w:rPr>
          <w:vertAlign w:val="superscript"/>
        </w:rPr>
        <w:t>-1</w:t>
      </w:r>
      <w:r w:rsidR="00F24219" w:rsidRPr="000E19A2">
        <w:t>)</w:t>
      </w:r>
      <w:r w:rsidR="00F24219">
        <w:t xml:space="preserve"> for cover and 52.70 M</w:t>
      </w:r>
      <w:r w:rsidR="00F24219" w:rsidRPr="000E19A2">
        <w:t>gCO</w:t>
      </w:r>
      <w:r w:rsidR="00F24219" w:rsidRPr="000E19A2">
        <w:rPr>
          <w:vertAlign w:val="subscript"/>
        </w:rPr>
        <w:t>2</w:t>
      </w:r>
      <w:r w:rsidR="00F24219" w:rsidRPr="000E19A2">
        <w:t xml:space="preserve"> ha</w:t>
      </w:r>
      <w:r w:rsidR="00F24219" w:rsidRPr="000E19A2">
        <w:rPr>
          <w:vertAlign w:val="superscript"/>
        </w:rPr>
        <w:t xml:space="preserve">-1 </w:t>
      </w:r>
      <w:r w:rsidR="00F24219" w:rsidRPr="000E19A2">
        <w:t>yr</w:t>
      </w:r>
      <w:r w:rsidR="00F24219" w:rsidRPr="000E19A2">
        <w:rPr>
          <w:vertAlign w:val="superscript"/>
        </w:rPr>
        <w:t>-1</w:t>
      </w:r>
      <w:r w:rsidR="00F24219" w:rsidRPr="000E19A2">
        <w:t>(±21</w:t>
      </w:r>
      <w:r w:rsidR="00F24219">
        <w:t>.46 M</w:t>
      </w:r>
      <w:r w:rsidR="00F24219" w:rsidRPr="000E19A2">
        <w:t>gCO</w:t>
      </w:r>
      <w:r w:rsidR="00F24219" w:rsidRPr="000E19A2">
        <w:rPr>
          <w:vertAlign w:val="subscript"/>
        </w:rPr>
        <w:t>2</w:t>
      </w:r>
      <w:r w:rsidR="00F24219" w:rsidRPr="000E19A2">
        <w:t xml:space="preserve"> ha</w:t>
      </w:r>
      <w:r w:rsidR="00F24219" w:rsidRPr="000E19A2">
        <w:rPr>
          <w:vertAlign w:val="superscript"/>
        </w:rPr>
        <w:t xml:space="preserve">-1 </w:t>
      </w:r>
      <w:r w:rsidR="00F24219" w:rsidRPr="000E19A2">
        <w:t>yr</w:t>
      </w:r>
      <w:r w:rsidR="00F24219" w:rsidRPr="000E19A2">
        <w:rPr>
          <w:vertAlign w:val="superscript"/>
        </w:rPr>
        <w:t>-1</w:t>
      </w:r>
      <w:r w:rsidR="00F24219" w:rsidRPr="000E19A2">
        <w:t>)</w:t>
      </w:r>
      <w:r w:rsidR="00F24219">
        <w:t xml:space="preserve"> for bare</w:t>
      </w:r>
      <w:r w:rsidR="00F24219" w:rsidRPr="000E19A2">
        <w:t>.</w:t>
      </w:r>
      <w:r w:rsidR="00F24219">
        <w:rPr>
          <w:b/>
        </w:rPr>
        <w:t xml:space="preserve"> </w:t>
      </w:r>
      <w:r w:rsidR="00F24219">
        <w:t>The CO</w:t>
      </w:r>
      <w:r w:rsidR="00F24219">
        <w:rPr>
          <w:vertAlign w:val="subscript"/>
        </w:rPr>
        <w:t>2</w:t>
      </w:r>
      <w:r w:rsidR="00F24219">
        <w:t xml:space="preserve"> loss from urea fertilizer application was determined to be 0.029 M</w:t>
      </w:r>
      <w:r w:rsidR="00F24219" w:rsidRPr="000E19A2">
        <w:t>gCO</w:t>
      </w:r>
      <w:r w:rsidR="00F24219" w:rsidRPr="000E19A2">
        <w:rPr>
          <w:vertAlign w:val="subscript"/>
        </w:rPr>
        <w:t>2</w:t>
      </w:r>
      <w:r w:rsidR="00F24219" w:rsidRPr="000E19A2">
        <w:t xml:space="preserve"> ha</w:t>
      </w:r>
      <w:r w:rsidR="00F24219" w:rsidRPr="000E19A2">
        <w:rPr>
          <w:vertAlign w:val="superscript"/>
        </w:rPr>
        <w:t xml:space="preserve">-1 </w:t>
      </w:r>
      <w:r w:rsidR="00F24219" w:rsidRPr="000E19A2">
        <w:t>yr</w:t>
      </w:r>
      <w:r w:rsidR="00F24219" w:rsidRPr="000E19A2">
        <w:rPr>
          <w:vertAlign w:val="superscript"/>
        </w:rPr>
        <w:t>-1</w:t>
      </w:r>
      <w:r w:rsidR="00F24219">
        <w:t>(IPCC 2006 Table 2.2). If we assume 75% of the field is occupied by switchgrass crowns and 25% is bare soil in between crowns, the total annual CO</w:t>
      </w:r>
      <w:r w:rsidR="00F24219">
        <w:rPr>
          <w:vertAlign w:val="subscript"/>
        </w:rPr>
        <w:t>2</w:t>
      </w:r>
      <w:r w:rsidR="00F24219">
        <w:t xml:space="preserve"> loss from switchgrass from August 18, 2010 to August 18, 2011 in this study</w:t>
      </w:r>
      <w:r w:rsidR="00F24219">
        <w:rPr>
          <w:vertAlign w:val="subscript"/>
        </w:rPr>
        <w:t xml:space="preserve"> </w:t>
      </w:r>
      <w:r w:rsidR="00F24219">
        <w:t>was 73.924 MgCO</w:t>
      </w:r>
      <w:r w:rsidR="00F24219">
        <w:rPr>
          <w:vertAlign w:val="subscript"/>
        </w:rPr>
        <w:t>2</w:t>
      </w:r>
      <w:r w:rsidR="00F24219">
        <w:t xml:space="preserve"> ha</w:t>
      </w:r>
      <w:r w:rsidR="00F24219">
        <w:rPr>
          <w:vertAlign w:val="superscript"/>
        </w:rPr>
        <w:t>-1</w:t>
      </w:r>
      <w:r w:rsidR="00F24219">
        <w:t xml:space="preserve"> yr</w:t>
      </w:r>
      <w:r w:rsidR="00F24219">
        <w:rPr>
          <w:vertAlign w:val="superscript"/>
        </w:rPr>
        <w:t>-1</w:t>
      </w:r>
      <w:r w:rsidR="00F24219">
        <w:t xml:space="preserve"> (± 40.803</w:t>
      </w:r>
      <w:r w:rsidR="00F24219" w:rsidRPr="003E3ABA">
        <w:t xml:space="preserve"> </w:t>
      </w:r>
      <w:r w:rsidR="00F24219">
        <w:t>MgCO</w:t>
      </w:r>
      <w:r w:rsidR="00F24219">
        <w:rPr>
          <w:vertAlign w:val="subscript"/>
        </w:rPr>
        <w:t>2</w:t>
      </w:r>
      <w:r w:rsidR="00F24219">
        <w:t xml:space="preserve"> ha</w:t>
      </w:r>
      <w:r w:rsidR="00F24219">
        <w:rPr>
          <w:vertAlign w:val="superscript"/>
        </w:rPr>
        <w:t>-1</w:t>
      </w:r>
      <w:r w:rsidR="00F24219">
        <w:t xml:space="preserve"> yr</w:t>
      </w:r>
      <w:r w:rsidR="00F24219">
        <w:rPr>
          <w:vertAlign w:val="superscript"/>
        </w:rPr>
        <w:t>-1</w:t>
      </w:r>
      <w:r w:rsidR="00F24219">
        <w:t xml:space="preserve">). </w:t>
      </w:r>
    </w:p>
    <w:p w:rsidR="00F940EA" w:rsidRDefault="00F940EA" w:rsidP="00F940EA"/>
    <w:p w:rsidR="00F940EA" w:rsidRDefault="00F940EA" w:rsidP="00F940EA">
      <w:r>
        <w:rPr>
          <w:b/>
        </w:rPr>
        <w:t xml:space="preserve">Table 2.2 GHG production from urea application – </w:t>
      </w:r>
      <w:r>
        <w:t>modified from IPCC 2006 Guidelines for National GHG Inventories Vol. 4</w:t>
      </w:r>
    </w:p>
    <w:p w:rsidR="00F940EA" w:rsidRDefault="00F940EA" w:rsidP="00F940EA"/>
    <w:tbl>
      <w:tblPr>
        <w:tblW w:w="8800" w:type="dxa"/>
        <w:tblInd w:w="93" w:type="dxa"/>
        <w:tblLook w:val="04A0" w:firstRow="1" w:lastRow="0" w:firstColumn="1" w:lastColumn="0" w:noHBand="0" w:noVBand="1"/>
      </w:tblPr>
      <w:tblGrid>
        <w:gridCol w:w="2200"/>
        <w:gridCol w:w="2200"/>
        <w:gridCol w:w="2200"/>
        <w:gridCol w:w="2200"/>
      </w:tblGrid>
      <w:tr w:rsidR="00F940EA" w:rsidTr="00F940EA">
        <w:trPr>
          <w:trHeight w:val="340"/>
        </w:trPr>
        <w:tc>
          <w:tcPr>
            <w:tcW w:w="22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940EA" w:rsidRPr="00F940EA" w:rsidRDefault="00F940EA" w:rsidP="00F940EA">
            <w:pPr>
              <w:ind w:firstLineChars="100" w:firstLine="221"/>
              <w:jc w:val="right"/>
              <w:rPr>
                <w:b/>
                <w:bCs/>
                <w:sz w:val="22"/>
                <w:szCs w:val="18"/>
              </w:rPr>
            </w:pPr>
            <w:r w:rsidRPr="00F940EA">
              <w:rPr>
                <w:b/>
                <w:bCs/>
                <w:sz w:val="22"/>
                <w:szCs w:val="18"/>
              </w:rPr>
              <w:t>Sector</w:t>
            </w:r>
          </w:p>
        </w:tc>
        <w:tc>
          <w:tcPr>
            <w:tcW w:w="6600" w:type="dxa"/>
            <w:gridSpan w:val="3"/>
            <w:tcBorders>
              <w:top w:val="single" w:sz="8" w:space="0" w:color="auto"/>
              <w:left w:val="nil"/>
              <w:bottom w:val="single" w:sz="8" w:space="0" w:color="auto"/>
              <w:right w:val="single" w:sz="8" w:space="0" w:color="000000"/>
            </w:tcBorders>
            <w:shd w:val="clear" w:color="auto" w:fill="auto"/>
            <w:vAlign w:val="bottom"/>
            <w:hideMark/>
          </w:tcPr>
          <w:p w:rsidR="00F940EA" w:rsidRPr="00F940EA" w:rsidRDefault="00F940EA" w:rsidP="00295A82">
            <w:pPr>
              <w:rPr>
                <w:b/>
                <w:bCs/>
                <w:sz w:val="22"/>
                <w:szCs w:val="18"/>
              </w:rPr>
            </w:pPr>
            <w:r w:rsidRPr="00F940EA">
              <w:rPr>
                <w:b/>
                <w:bCs/>
                <w:sz w:val="22"/>
                <w:szCs w:val="18"/>
              </w:rPr>
              <w:t>Agriculture, Forestry and Other Land Use</w:t>
            </w:r>
          </w:p>
        </w:tc>
      </w:tr>
      <w:tr w:rsidR="00F940EA" w:rsidTr="00F940EA">
        <w:trPr>
          <w:trHeight w:val="385"/>
        </w:trPr>
        <w:tc>
          <w:tcPr>
            <w:tcW w:w="2200" w:type="dxa"/>
            <w:tcBorders>
              <w:top w:val="nil"/>
              <w:left w:val="single" w:sz="8" w:space="0" w:color="auto"/>
              <w:bottom w:val="single" w:sz="8" w:space="0" w:color="auto"/>
              <w:right w:val="single" w:sz="8" w:space="0" w:color="auto"/>
            </w:tcBorders>
            <w:shd w:val="clear" w:color="auto" w:fill="auto"/>
            <w:vAlign w:val="bottom"/>
            <w:hideMark/>
          </w:tcPr>
          <w:p w:rsidR="00F940EA" w:rsidRPr="00F940EA" w:rsidRDefault="00F940EA" w:rsidP="00F940EA">
            <w:pPr>
              <w:ind w:firstLineChars="100" w:firstLine="221"/>
              <w:jc w:val="right"/>
              <w:rPr>
                <w:b/>
                <w:bCs/>
                <w:sz w:val="22"/>
                <w:szCs w:val="18"/>
              </w:rPr>
            </w:pPr>
            <w:r w:rsidRPr="00F940EA">
              <w:rPr>
                <w:b/>
                <w:bCs/>
                <w:sz w:val="22"/>
                <w:szCs w:val="18"/>
              </w:rPr>
              <w:t>Category</w:t>
            </w:r>
          </w:p>
        </w:tc>
        <w:tc>
          <w:tcPr>
            <w:tcW w:w="6600" w:type="dxa"/>
            <w:gridSpan w:val="3"/>
            <w:tcBorders>
              <w:top w:val="single" w:sz="8" w:space="0" w:color="auto"/>
              <w:left w:val="nil"/>
              <w:bottom w:val="single" w:sz="8" w:space="0" w:color="auto"/>
              <w:right w:val="single" w:sz="8" w:space="0" w:color="000000"/>
            </w:tcBorders>
            <w:shd w:val="clear" w:color="auto" w:fill="auto"/>
            <w:vAlign w:val="bottom"/>
            <w:hideMark/>
          </w:tcPr>
          <w:p w:rsidR="00F940EA" w:rsidRPr="00F940EA" w:rsidRDefault="00F940EA" w:rsidP="00295A82">
            <w:pPr>
              <w:rPr>
                <w:b/>
                <w:bCs/>
                <w:sz w:val="22"/>
                <w:szCs w:val="18"/>
              </w:rPr>
            </w:pPr>
            <w:r w:rsidRPr="00F940EA">
              <w:rPr>
                <w:b/>
                <w:bCs/>
                <w:sz w:val="22"/>
                <w:szCs w:val="18"/>
              </w:rPr>
              <w:t>Urea Fertilization: Annual CO</w:t>
            </w:r>
            <w:r w:rsidRPr="00F940EA">
              <w:rPr>
                <w:b/>
                <w:bCs/>
                <w:sz w:val="22"/>
                <w:szCs w:val="18"/>
                <w:vertAlign w:val="subscript"/>
              </w:rPr>
              <w:t>2</w:t>
            </w:r>
            <w:r w:rsidRPr="00F940EA">
              <w:rPr>
                <w:b/>
                <w:bCs/>
                <w:sz w:val="22"/>
                <w:szCs w:val="18"/>
              </w:rPr>
              <w:t xml:space="preserve"> emissions from Urea Fertilization</w:t>
            </w:r>
          </w:p>
        </w:tc>
      </w:tr>
      <w:tr w:rsidR="00F940EA" w:rsidTr="00295A82">
        <w:trPr>
          <w:trHeight w:val="273"/>
        </w:trPr>
        <w:tc>
          <w:tcPr>
            <w:tcW w:w="2200" w:type="dxa"/>
            <w:tcBorders>
              <w:top w:val="nil"/>
              <w:left w:val="single" w:sz="8" w:space="0" w:color="auto"/>
              <w:bottom w:val="single" w:sz="8" w:space="0" w:color="auto"/>
              <w:right w:val="single" w:sz="8" w:space="0" w:color="auto"/>
            </w:tcBorders>
            <w:shd w:val="clear" w:color="auto" w:fill="auto"/>
            <w:vAlign w:val="bottom"/>
            <w:hideMark/>
          </w:tcPr>
          <w:p w:rsidR="00F940EA" w:rsidRPr="00F940EA" w:rsidRDefault="00F940EA" w:rsidP="00F940EA">
            <w:pPr>
              <w:ind w:firstLineChars="100" w:firstLine="221"/>
              <w:jc w:val="right"/>
              <w:rPr>
                <w:b/>
                <w:bCs/>
                <w:sz w:val="22"/>
                <w:szCs w:val="18"/>
              </w:rPr>
            </w:pPr>
            <w:r w:rsidRPr="00F940EA">
              <w:rPr>
                <w:b/>
                <w:bCs/>
                <w:sz w:val="22"/>
                <w:szCs w:val="18"/>
              </w:rPr>
              <w:t>Category code</w:t>
            </w:r>
          </w:p>
        </w:tc>
        <w:tc>
          <w:tcPr>
            <w:tcW w:w="6600" w:type="dxa"/>
            <w:gridSpan w:val="3"/>
            <w:tcBorders>
              <w:top w:val="single" w:sz="8" w:space="0" w:color="auto"/>
              <w:left w:val="nil"/>
              <w:bottom w:val="single" w:sz="8" w:space="0" w:color="auto"/>
              <w:right w:val="single" w:sz="8" w:space="0" w:color="000000"/>
            </w:tcBorders>
            <w:shd w:val="clear" w:color="auto" w:fill="auto"/>
            <w:vAlign w:val="bottom"/>
            <w:hideMark/>
          </w:tcPr>
          <w:p w:rsidR="00F940EA" w:rsidRPr="00F940EA" w:rsidRDefault="00F940EA" w:rsidP="00295A82">
            <w:pPr>
              <w:rPr>
                <w:b/>
                <w:bCs/>
                <w:sz w:val="22"/>
                <w:szCs w:val="18"/>
              </w:rPr>
            </w:pPr>
            <w:r w:rsidRPr="00F940EA">
              <w:rPr>
                <w:b/>
                <w:bCs/>
                <w:sz w:val="22"/>
                <w:szCs w:val="18"/>
              </w:rPr>
              <w:t>3C3</w:t>
            </w:r>
          </w:p>
        </w:tc>
      </w:tr>
      <w:tr w:rsidR="00F940EA" w:rsidTr="00295A82">
        <w:trPr>
          <w:trHeight w:val="273"/>
        </w:trPr>
        <w:tc>
          <w:tcPr>
            <w:tcW w:w="2200" w:type="dxa"/>
            <w:tcBorders>
              <w:top w:val="nil"/>
              <w:left w:val="single" w:sz="8" w:space="0" w:color="auto"/>
              <w:bottom w:val="single" w:sz="8" w:space="0" w:color="auto"/>
              <w:right w:val="single" w:sz="8" w:space="0" w:color="auto"/>
            </w:tcBorders>
            <w:shd w:val="clear" w:color="auto" w:fill="auto"/>
            <w:vAlign w:val="bottom"/>
            <w:hideMark/>
          </w:tcPr>
          <w:p w:rsidR="00F940EA" w:rsidRPr="00F940EA" w:rsidRDefault="00F940EA" w:rsidP="00F940EA">
            <w:pPr>
              <w:ind w:firstLineChars="100" w:firstLine="221"/>
              <w:jc w:val="right"/>
              <w:rPr>
                <w:b/>
                <w:bCs/>
                <w:sz w:val="22"/>
                <w:szCs w:val="18"/>
              </w:rPr>
            </w:pPr>
            <w:r w:rsidRPr="00F940EA">
              <w:rPr>
                <w:b/>
                <w:bCs/>
                <w:sz w:val="22"/>
                <w:szCs w:val="18"/>
              </w:rPr>
              <w:t>Sheet</w:t>
            </w:r>
          </w:p>
        </w:tc>
        <w:tc>
          <w:tcPr>
            <w:tcW w:w="6600" w:type="dxa"/>
            <w:gridSpan w:val="3"/>
            <w:tcBorders>
              <w:top w:val="single" w:sz="8" w:space="0" w:color="auto"/>
              <w:left w:val="nil"/>
              <w:bottom w:val="single" w:sz="8" w:space="0" w:color="auto"/>
              <w:right w:val="single" w:sz="8" w:space="0" w:color="000000"/>
            </w:tcBorders>
            <w:shd w:val="clear" w:color="auto" w:fill="auto"/>
            <w:vAlign w:val="bottom"/>
            <w:hideMark/>
          </w:tcPr>
          <w:p w:rsidR="00F940EA" w:rsidRPr="00F940EA" w:rsidRDefault="00F940EA" w:rsidP="00295A82">
            <w:pPr>
              <w:rPr>
                <w:b/>
                <w:bCs/>
                <w:sz w:val="22"/>
                <w:szCs w:val="18"/>
              </w:rPr>
            </w:pPr>
            <w:r w:rsidRPr="00F940EA">
              <w:rPr>
                <w:b/>
                <w:bCs/>
                <w:sz w:val="22"/>
                <w:szCs w:val="18"/>
              </w:rPr>
              <w:t>1 of 1</w:t>
            </w:r>
          </w:p>
        </w:tc>
      </w:tr>
      <w:tr w:rsidR="00F940EA" w:rsidTr="00295A82">
        <w:trPr>
          <w:trHeight w:val="273"/>
        </w:trPr>
        <w:tc>
          <w:tcPr>
            <w:tcW w:w="2200" w:type="dxa"/>
            <w:tcBorders>
              <w:top w:val="nil"/>
              <w:left w:val="single" w:sz="8" w:space="0" w:color="auto"/>
              <w:bottom w:val="single" w:sz="8" w:space="0" w:color="auto"/>
              <w:right w:val="single" w:sz="8" w:space="0" w:color="auto"/>
            </w:tcBorders>
            <w:shd w:val="clear" w:color="000000" w:fill="C0C0C0"/>
            <w:vAlign w:val="bottom"/>
            <w:hideMark/>
          </w:tcPr>
          <w:p w:rsidR="00F940EA" w:rsidRPr="00F940EA" w:rsidRDefault="00F940EA" w:rsidP="00F940EA">
            <w:pPr>
              <w:ind w:firstLineChars="100" w:firstLine="221"/>
              <w:jc w:val="right"/>
              <w:rPr>
                <w:b/>
                <w:bCs/>
                <w:sz w:val="22"/>
                <w:szCs w:val="18"/>
              </w:rPr>
            </w:pPr>
            <w:r w:rsidRPr="00F940EA">
              <w:rPr>
                <w:b/>
                <w:bCs/>
                <w:sz w:val="22"/>
                <w:szCs w:val="18"/>
              </w:rPr>
              <w:t>Equation</w:t>
            </w:r>
          </w:p>
        </w:tc>
        <w:tc>
          <w:tcPr>
            <w:tcW w:w="6600" w:type="dxa"/>
            <w:gridSpan w:val="3"/>
            <w:tcBorders>
              <w:top w:val="single" w:sz="8" w:space="0" w:color="auto"/>
              <w:left w:val="nil"/>
              <w:bottom w:val="single" w:sz="8" w:space="0" w:color="auto"/>
              <w:right w:val="single" w:sz="8" w:space="0" w:color="000000"/>
            </w:tcBorders>
            <w:shd w:val="clear" w:color="000000" w:fill="C0C0C0"/>
            <w:vAlign w:val="bottom"/>
            <w:hideMark/>
          </w:tcPr>
          <w:p w:rsidR="00F940EA" w:rsidRPr="00F940EA" w:rsidRDefault="00F940EA" w:rsidP="00295A82">
            <w:pPr>
              <w:jc w:val="center"/>
              <w:rPr>
                <w:b/>
                <w:bCs/>
                <w:sz w:val="22"/>
                <w:szCs w:val="18"/>
              </w:rPr>
            </w:pPr>
            <w:r w:rsidRPr="00F940EA">
              <w:rPr>
                <w:b/>
                <w:bCs/>
                <w:sz w:val="22"/>
                <w:szCs w:val="18"/>
              </w:rPr>
              <w:t>Equation 11.13</w:t>
            </w:r>
          </w:p>
        </w:tc>
      </w:tr>
      <w:tr w:rsidR="00F940EA" w:rsidTr="00295A82">
        <w:trPr>
          <w:trHeight w:val="773"/>
        </w:trPr>
        <w:tc>
          <w:tcPr>
            <w:tcW w:w="2200" w:type="dxa"/>
            <w:vMerge w:val="restart"/>
            <w:tcBorders>
              <w:top w:val="nil"/>
              <w:left w:val="single" w:sz="8" w:space="0" w:color="auto"/>
              <w:bottom w:val="double" w:sz="6" w:space="0" w:color="000000"/>
              <w:right w:val="single" w:sz="8" w:space="0" w:color="auto"/>
            </w:tcBorders>
            <w:shd w:val="clear" w:color="auto" w:fill="auto"/>
            <w:vAlign w:val="center"/>
            <w:hideMark/>
          </w:tcPr>
          <w:p w:rsidR="00F940EA" w:rsidRPr="00F940EA" w:rsidRDefault="00F940EA" w:rsidP="00295A82">
            <w:pPr>
              <w:jc w:val="center"/>
              <w:rPr>
                <w:sz w:val="22"/>
                <w:szCs w:val="18"/>
              </w:rPr>
            </w:pPr>
            <w:r w:rsidRPr="00F940EA">
              <w:rPr>
                <w:sz w:val="22"/>
                <w:szCs w:val="18"/>
              </w:rPr>
              <w:t>Subcategories for reporting year</w:t>
            </w:r>
          </w:p>
        </w:tc>
        <w:tc>
          <w:tcPr>
            <w:tcW w:w="2200" w:type="dxa"/>
            <w:tcBorders>
              <w:top w:val="nil"/>
              <w:left w:val="nil"/>
              <w:bottom w:val="single" w:sz="8" w:space="0" w:color="auto"/>
              <w:right w:val="single" w:sz="8" w:space="0" w:color="auto"/>
            </w:tcBorders>
            <w:shd w:val="clear" w:color="auto" w:fill="auto"/>
            <w:hideMark/>
          </w:tcPr>
          <w:p w:rsidR="00F940EA" w:rsidRPr="00F940EA" w:rsidRDefault="00F940EA" w:rsidP="00295A82">
            <w:pPr>
              <w:jc w:val="center"/>
              <w:rPr>
                <w:sz w:val="22"/>
                <w:szCs w:val="18"/>
              </w:rPr>
            </w:pPr>
          </w:p>
          <w:p w:rsidR="00F940EA" w:rsidRPr="00F940EA" w:rsidRDefault="00F940EA" w:rsidP="00295A82">
            <w:pPr>
              <w:jc w:val="center"/>
              <w:rPr>
                <w:sz w:val="22"/>
                <w:szCs w:val="18"/>
              </w:rPr>
            </w:pPr>
            <w:r w:rsidRPr="00F940EA">
              <w:rPr>
                <w:sz w:val="22"/>
                <w:szCs w:val="18"/>
              </w:rPr>
              <w:t>Annual amount of Urea Fertilization</w:t>
            </w:r>
          </w:p>
        </w:tc>
        <w:tc>
          <w:tcPr>
            <w:tcW w:w="2200" w:type="dxa"/>
            <w:tcBorders>
              <w:top w:val="nil"/>
              <w:left w:val="nil"/>
              <w:bottom w:val="single" w:sz="8" w:space="0" w:color="auto"/>
              <w:right w:val="single" w:sz="8" w:space="0" w:color="auto"/>
            </w:tcBorders>
            <w:shd w:val="clear" w:color="auto" w:fill="auto"/>
            <w:hideMark/>
          </w:tcPr>
          <w:p w:rsidR="00F940EA" w:rsidRPr="00F940EA" w:rsidRDefault="00F940EA" w:rsidP="00295A82">
            <w:pPr>
              <w:jc w:val="center"/>
              <w:rPr>
                <w:sz w:val="22"/>
                <w:szCs w:val="18"/>
              </w:rPr>
            </w:pPr>
          </w:p>
          <w:p w:rsidR="00F940EA" w:rsidRPr="00F940EA" w:rsidRDefault="00F940EA" w:rsidP="00295A82">
            <w:pPr>
              <w:jc w:val="center"/>
              <w:rPr>
                <w:sz w:val="22"/>
                <w:szCs w:val="18"/>
              </w:rPr>
            </w:pPr>
            <w:r w:rsidRPr="00F940EA">
              <w:rPr>
                <w:sz w:val="22"/>
                <w:szCs w:val="18"/>
              </w:rPr>
              <w:t>Emission factor</w:t>
            </w:r>
          </w:p>
        </w:tc>
        <w:tc>
          <w:tcPr>
            <w:tcW w:w="2200" w:type="dxa"/>
            <w:tcBorders>
              <w:top w:val="nil"/>
              <w:left w:val="nil"/>
              <w:bottom w:val="single" w:sz="8" w:space="0" w:color="auto"/>
              <w:right w:val="single" w:sz="8" w:space="0" w:color="auto"/>
            </w:tcBorders>
            <w:shd w:val="clear" w:color="auto" w:fill="auto"/>
            <w:hideMark/>
          </w:tcPr>
          <w:p w:rsidR="00F940EA" w:rsidRPr="00F940EA" w:rsidRDefault="00F940EA" w:rsidP="00295A82">
            <w:pPr>
              <w:jc w:val="center"/>
              <w:rPr>
                <w:sz w:val="22"/>
                <w:szCs w:val="18"/>
              </w:rPr>
            </w:pPr>
            <w:r w:rsidRPr="00F940EA">
              <w:rPr>
                <w:sz w:val="22"/>
                <w:szCs w:val="18"/>
              </w:rPr>
              <w:t>Annual CO</w:t>
            </w:r>
            <w:r w:rsidRPr="00F940EA">
              <w:rPr>
                <w:sz w:val="22"/>
                <w:szCs w:val="18"/>
                <w:vertAlign w:val="subscript"/>
              </w:rPr>
              <w:t>2</w:t>
            </w:r>
            <w:r w:rsidRPr="00F940EA">
              <w:rPr>
                <w:sz w:val="22"/>
                <w:szCs w:val="18"/>
              </w:rPr>
              <w:t>-C emissions from Urea Fertilization</w:t>
            </w:r>
          </w:p>
        </w:tc>
      </w:tr>
      <w:tr w:rsidR="00F940EA" w:rsidTr="00295A82">
        <w:trPr>
          <w:trHeight w:val="276"/>
        </w:trPr>
        <w:tc>
          <w:tcPr>
            <w:tcW w:w="2200" w:type="dxa"/>
            <w:vMerge/>
            <w:tcBorders>
              <w:top w:val="nil"/>
              <w:left w:val="single" w:sz="8" w:space="0" w:color="auto"/>
              <w:bottom w:val="double" w:sz="6" w:space="0" w:color="000000"/>
              <w:right w:val="single" w:sz="8" w:space="0" w:color="auto"/>
            </w:tcBorders>
            <w:vAlign w:val="center"/>
            <w:hideMark/>
          </w:tcPr>
          <w:p w:rsidR="00F940EA" w:rsidRPr="00F940EA" w:rsidRDefault="00F940EA" w:rsidP="00295A82">
            <w:pPr>
              <w:rPr>
                <w:sz w:val="22"/>
                <w:szCs w:val="18"/>
              </w:rPr>
            </w:pPr>
          </w:p>
        </w:tc>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rsidR="00F940EA" w:rsidRPr="00F940EA" w:rsidRDefault="00F940EA" w:rsidP="00295A82">
            <w:pPr>
              <w:jc w:val="center"/>
              <w:rPr>
                <w:sz w:val="22"/>
                <w:szCs w:val="18"/>
              </w:rPr>
            </w:pPr>
            <w:r w:rsidRPr="00F940EA">
              <w:rPr>
                <w:sz w:val="22"/>
                <w:szCs w:val="18"/>
              </w:rPr>
              <w:t>(kg urea ha</w:t>
            </w:r>
            <w:r w:rsidRPr="00F940EA">
              <w:rPr>
                <w:sz w:val="22"/>
                <w:szCs w:val="18"/>
                <w:vertAlign w:val="superscript"/>
              </w:rPr>
              <w:t>-1</w:t>
            </w:r>
            <w:r w:rsidRPr="00F940EA">
              <w:rPr>
                <w:sz w:val="22"/>
                <w:szCs w:val="18"/>
              </w:rPr>
              <w:t xml:space="preserve"> yr</w:t>
            </w:r>
            <w:r w:rsidRPr="00F940EA">
              <w:rPr>
                <w:sz w:val="22"/>
                <w:szCs w:val="18"/>
                <w:vertAlign w:val="superscript"/>
              </w:rPr>
              <w:t>-1</w:t>
            </w:r>
            <w:r w:rsidRPr="00F940EA">
              <w:rPr>
                <w:sz w:val="22"/>
                <w:szCs w:val="18"/>
              </w:rPr>
              <w:t>)</w:t>
            </w:r>
          </w:p>
        </w:tc>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rsidR="00F940EA" w:rsidRPr="00F940EA" w:rsidRDefault="00F940EA" w:rsidP="00295A82">
            <w:pPr>
              <w:jc w:val="center"/>
              <w:rPr>
                <w:sz w:val="22"/>
                <w:szCs w:val="18"/>
              </w:rPr>
            </w:pPr>
            <w:r w:rsidRPr="00F940EA">
              <w:rPr>
                <w:sz w:val="22"/>
                <w:szCs w:val="18"/>
              </w:rPr>
              <w:t>[tonnes of C (tonne of urea)</w:t>
            </w:r>
            <w:r w:rsidRPr="00F940EA">
              <w:rPr>
                <w:sz w:val="22"/>
                <w:szCs w:val="18"/>
                <w:vertAlign w:val="superscript"/>
              </w:rPr>
              <w:t>-1</w:t>
            </w:r>
            <w:r w:rsidRPr="00F940EA">
              <w:rPr>
                <w:sz w:val="22"/>
                <w:szCs w:val="18"/>
              </w:rPr>
              <w:t>]</w:t>
            </w:r>
          </w:p>
        </w:tc>
        <w:tc>
          <w:tcPr>
            <w:tcW w:w="2200" w:type="dxa"/>
            <w:vMerge w:val="restart"/>
            <w:tcBorders>
              <w:top w:val="nil"/>
              <w:left w:val="single" w:sz="8" w:space="0" w:color="auto"/>
              <w:bottom w:val="single" w:sz="8" w:space="0" w:color="000000"/>
              <w:right w:val="single" w:sz="8" w:space="0" w:color="auto"/>
            </w:tcBorders>
            <w:shd w:val="clear" w:color="auto" w:fill="auto"/>
            <w:vAlign w:val="center"/>
            <w:hideMark/>
          </w:tcPr>
          <w:p w:rsidR="00F940EA" w:rsidRPr="00F940EA" w:rsidRDefault="00F940EA" w:rsidP="00295A82">
            <w:pPr>
              <w:jc w:val="center"/>
              <w:rPr>
                <w:sz w:val="22"/>
                <w:szCs w:val="18"/>
              </w:rPr>
            </w:pPr>
            <w:r w:rsidRPr="00F940EA">
              <w:rPr>
                <w:sz w:val="22"/>
                <w:szCs w:val="18"/>
              </w:rPr>
              <w:t>(kg C ha</w:t>
            </w:r>
            <w:r w:rsidRPr="00F940EA">
              <w:rPr>
                <w:sz w:val="22"/>
                <w:szCs w:val="18"/>
                <w:vertAlign w:val="superscript"/>
              </w:rPr>
              <w:t>-1</w:t>
            </w:r>
            <w:r w:rsidRPr="00F940EA">
              <w:rPr>
                <w:sz w:val="22"/>
                <w:szCs w:val="18"/>
              </w:rPr>
              <w:t xml:space="preserve"> yr</w:t>
            </w:r>
            <w:r w:rsidRPr="00F940EA">
              <w:rPr>
                <w:sz w:val="22"/>
                <w:szCs w:val="18"/>
                <w:vertAlign w:val="superscript"/>
              </w:rPr>
              <w:t>-1</w:t>
            </w:r>
            <w:r w:rsidRPr="00F940EA">
              <w:rPr>
                <w:sz w:val="22"/>
                <w:szCs w:val="18"/>
              </w:rPr>
              <w:t>)</w:t>
            </w:r>
          </w:p>
        </w:tc>
      </w:tr>
      <w:tr w:rsidR="00F940EA" w:rsidTr="00295A82">
        <w:trPr>
          <w:trHeight w:val="276"/>
        </w:trPr>
        <w:tc>
          <w:tcPr>
            <w:tcW w:w="2200" w:type="dxa"/>
            <w:vMerge/>
            <w:tcBorders>
              <w:top w:val="nil"/>
              <w:left w:val="single" w:sz="8" w:space="0" w:color="auto"/>
              <w:bottom w:val="double" w:sz="6" w:space="0" w:color="000000"/>
              <w:right w:val="single" w:sz="8" w:space="0" w:color="auto"/>
            </w:tcBorders>
            <w:vAlign w:val="center"/>
            <w:hideMark/>
          </w:tcPr>
          <w:p w:rsidR="00F940EA" w:rsidRPr="00F940EA" w:rsidRDefault="00F940EA" w:rsidP="00295A82">
            <w:pPr>
              <w:rPr>
                <w:sz w:val="22"/>
                <w:szCs w:val="18"/>
              </w:rPr>
            </w:pPr>
          </w:p>
        </w:tc>
        <w:tc>
          <w:tcPr>
            <w:tcW w:w="2200" w:type="dxa"/>
            <w:vMerge/>
            <w:tcBorders>
              <w:top w:val="nil"/>
              <w:left w:val="single" w:sz="8" w:space="0" w:color="auto"/>
              <w:bottom w:val="single" w:sz="8" w:space="0" w:color="000000"/>
              <w:right w:val="single" w:sz="8" w:space="0" w:color="auto"/>
            </w:tcBorders>
            <w:vAlign w:val="center"/>
            <w:hideMark/>
          </w:tcPr>
          <w:p w:rsidR="00F940EA" w:rsidRPr="00F940EA" w:rsidRDefault="00F940EA" w:rsidP="00295A82">
            <w:pPr>
              <w:rPr>
                <w:sz w:val="22"/>
                <w:szCs w:val="18"/>
              </w:rPr>
            </w:pPr>
          </w:p>
        </w:tc>
        <w:tc>
          <w:tcPr>
            <w:tcW w:w="2200" w:type="dxa"/>
            <w:vMerge/>
            <w:tcBorders>
              <w:top w:val="nil"/>
              <w:left w:val="single" w:sz="8" w:space="0" w:color="auto"/>
              <w:bottom w:val="single" w:sz="8" w:space="0" w:color="000000"/>
              <w:right w:val="single" w:sz="8" w:space="0" w:color="auto"/>
            </w:tcBorders>
            <w:vAlign w:val="center"/>
            <w:hideMark/>
          </w:tcPr>
          <w:p w:rsidR="00F940EA" w:rsidRPr="00F940EA" w:rsidRDefault="00F940EA" w:rsidP="00295A82">
            <w:pPr>
              <w:rPr>
                <w:sz w:val="22"/>
                <w:szCs w:val="18"/>
              </w:rPr>
            </w:pPr>
          </w:p>
        </w:tc>
        <w:tc>
          <w:tcPr>
            <w:tcW w:w="2200" w:type="dxa"/>
            <w:vMerge/>
            <w:tcBorders>
              <w:top w:val="nil"/>
              <w:left w:val="single" w:sz="8" w:space="0" w:color="auto"/>
              <w:bottom w:val="single" w:sz="8" w:space="0" w:color="000000"/>
              <w:right w:val="single" w:sz="8" w:space="0" w:color="auto"/>
            </w:tcBorders>
            <w:vAlign w:val="center"/>
            <w:hideMark/>
          </w:tcPr>
          <w:p w:rsidR="00F940EA" w:rsidRPr="00F940EA" w:rsidRDefault="00F940EA" w:rsidP="00295A82">
            <w:pPr>
              <w:rPr>
                <w:sz w:val="22"/>
                <w:szCs w:val="18"/>
              </w:rPr>
            </w:pPr>
          </w:p>
        </w:tc>
      </w:tr>
      <w:tr w:rsidR="00F940EA" w:rsidTr="00295A82">
        <w:trPr>
          <w:trHeight w:val="530"/>
        </w:trPr>
        <w:tc>
          <w:tcPr>
            <w:tcW w:w="2200" w:type="dxa"/>
            <w:vMerge/>
            <w:tcBorders>
              <w:top w:val="nil"/>
              <w:left w:val="single" w:sz="8" w:space="0" w:color="auto"/>
              <w:bottom w:val="double" w:sz="6" w:space="0" w:color="000000"/>
              <w:right w:val="single" w:sz="8" w:space="0" w:color="auto"/>
            </w:tcBorders>
            <w:vAlign w:val="center"/>
            <w:hideMark/>
          </w:tcPr>
          <w:p w:rsidR="00F940EA" w:rsidRPr="00F940EA" w:rsidRDefault="00F940EA" w:rsidP="00295A82">
            <w:pPr>
              <w:rPr>
                <w:sz w:val="22"/>
                <w:szCs w:val="18"/>
              </w:rPr>
            </w:pPr>
          </w:p>
        </w:tc>
        <w:tc>
          <w:tcPr>
            <w:tcW w:w="2200" w:type="dxa"/>
            <w:tcBorders>
              <w:top w:val="nil"/>
              <w:left w:val="nil"/>
              <w:bottom w:val="single" w:sz="8" w:space="0" w:color="auto"/>
              <w:right w:val="single" w:sz="8" w:space="0" w:color="auto"/>
            </w:tcBorders>
            <w:shd w:val="clear" w:color="auto" w:fill="auto"/>
            <w:vAlign w:val="center"/>
            <w:hideMark/>
          </w:tcPr>
          <w:p w:rsidR="00F940EA" w:rsidRPr="00F940EA" w:rsidRDefault="00F940EA" w:rsidP="00295A82">
            <w:pPr>
              <w:jc w:val="center"/>
              <w:rPr>
                <w:sz w:val="22"/>
                <w:szCs w:val="18"/>
              </w:rPr>
            </w:pPr>
            <w:r w:rsidRPr="00F940EA">
              <w:rPr>
                <w:sz w:val="22"/>
                <w:szCs w:val="18"/>
              </w:rPr>
              <w:t> </w:t>
            </w:r>
          </w:p>
        </w:tc>
        <w:tc>
          <w:tcPr>
            <w:tcW w:w="2200" w:type="dxa"/>
            <w:tcBorders>
              <w:top w:val="nil"/>
              <w:left w:val="nil"/>
              <w:bottom w:val="single" w:sz="8" w:space="0" w:color="auto"/>
              <w:right w:val="single" w:sz="8" w:space="0" w:color="auto"/>
            </w:tcBorders>
            <w:shd w:val="clear" w:color="auto" w:fill="auto"/>
            <w:vAlign w:val="center"/>
            <w:hideMark/>
          </w:tcPr>
          <w:p w:rsidR="00F940EA" w:rsidRPr="00F940EA" w:rsidRDefault="00F940EA" w:rsidP="00295A82">
            <w:pPr>
              <w:jc w:val="center"/>
              <w:rPr>
                <w:sz w:val="22"/>
                <w:szCs w:val="18"/>
              </w:rPr>
            </w:pPr>
            <w:r w:rsidRPr="00F940EA">
              <w:rPr>
                <w:sz w:val="22"/>
                <w:szCs w:val="18"/>
              </w:rPr>
              <w:t>default is 0.20</w:t>
            </w:r>
          </w:p>
        </w:tc>
        <w:tc>
          <w:tcPr>
            <w:tcW w:w="2200" w:type="dxa"/>
            <w:tcBorders>
              <w:top w:val="nil"/>
              <w:left w:val="nil"/>
              <w:bottom w:val="single" w:sz="8" w:space="0" w:color="auto"/>
              <w:right w:val="single" w:sz="8" w:space="0" w:color="auto"/>
            </w:tcBorders>
            <w:shd w:val="clear" w:color="auto" w:fill="auto"/>
            <w:vAlign w:val="center"/>
            <w:hideMark/>
          </w:tcPr>
          <w:p w:rsidR="00F940EA" w:rsidRPr="00F940EA" w:rsidRDefault="00F940EA" w:rsidP="00295A82">
            <w:pPr>
              <w:jc w:val="center"/>
              <w:rPr>
                <w:sz w:val="22"/>
                <w:szCs w:val="18"/>
              </w:rPr>
            </w:pPr>
            <w:r w:rsidRPr="00F940EA">
              <w:rPr>
                <w:sz w:val="22"/>
                <w:szCs w:val="18"/>
              </w:rPr>
              <w:t>CO</w:t>
            </w:r>
            <w:r w:rsidRPr="00F940EA">
              <w:rPr>
                <w:sz w:val="22"/>
                <w:szCs w:val="18"/>
                <w:vertAlign w:val="subscript"/>
              </w:rPr>
              <w:t>2</w:t>
            </w:r>
            <w:r w:rsidRPr="00F940EA">
              <w:rPr>
                <w:sz w:val="22"/>
                <w:szCs w:val="18"/>
              </w:rPr>
              <w:t>-C Emission = M * EF</w:t>
            </w:r>
          </w:p>
        </w:tc>
      </w:tr>
      <w:tr w:rsidR="00F940EA" w:rsidTr="00295A82">
        <w:trPr>
          <w:trHeight w:val="288"/>
        </w:trPr>
        <w:tc>
          <w:tcPr>
            <w:tcW w:w="2200" w:type="dxa"/>
            <w:vMerge/>
            <w:tcBorders>
              <w:top w:val="nil"/>
              <w:left w:val="single" w:sz="8" w:space="0" w:color="auto"/>
              <w:bottom w:val="double" w:sz="6" w:space="0" w:color="000000"/>
              <w:right w:val="single" w:sz="8" w:space="0" w:color="auto"/>
            </w:tcBorders>
            <w:vAlign w:val="center"/>
            <w:hideMark/>
          </w:tcPr>
          <w:p w:rsidR="00F940EA" w:rsidRPr="00F940EA" w:rsidRDefault="00F940EA" w:rsidP="00295A82">
            <w:pPr>
              <w:rPr>
                <w:sz w:val="22"/>
                <w:szCs w:val="18"/>
              </w:rPr>
            </w:pPr>
          </w:p>
        </w:tc>
        <w:tc>
          <w:tcPr>
            <w:tcW w:w="2200" w:type="dxa"/>
            <w:tcBorders>
              <w:top w:val="nil"/>
              <w:left w:val="nil"/>
              <w:bottom w:val="double" w:sz="6" w:space="0" w:color="auto"/>
              <w:right w:val="single" w:sz="8" w:space="0" w:color="auto"/>
            </w:tcBorders>
            <w:shd w:val="clear" w:color="auto" w:fill="auto"/>
            <w:vAlign w:val="bottom"/>
            <w:hideMark/>
          </w:tcPr>
          <w:p w:rsidR="00F940EA" w:rsidRPr="00F940EA" w:rsidRDefault="00F940EA" w:rsidP="00295A82">
            <w:pPr>
              <w:jc w:val="center"/>
              <w:rPr>
                <w:b/>
                <w:bCs/>
                <w:sz w:val="22"/>
                <w:szCs w:val="18"/>
              </w:rPr>
            </w:pPr>
            <w:r w:rsidRPr="00F940EA">
              <w:rPr>
                <w:b/>
                <w:bCs/>
                <w:sz w:val="22"/>
                <w:szCs w:val="18"/>
              </w:rPr>
              <w:t>M</w:t>
            </w:r>
          </w:p>
        </w:tc>
        <w:tc>
          <w:tcPr>
            <w:tcW w:w="2200" w:type="dxa"/>
            <w:tcBorders>
              <w:top w:val="nil"/>
              <w:left w:val="nil"/>
              <w:bottom w:val="double" w:sz="6" w:space="0" w:color="auto"/>
              <w:right w:val="single" w:sz="8" w:space="0" w:color="auto"/>
            </w:tcBorders>
            <w:shd w:val="clear" w:color="auto" w:fill="auto"/>
            <w:vAlign w:val="bottom"/>
            <w:hideMark/>
          </w:tcPr>
          <w:p w:rsidR="00F940EA" w:rsidRPr="00F940EA" w:rsidRDefault="00F940EA" w:rsidP="00295A82">
            <w:pPr>
              <w:jc w:val="center"/>
              <w:rPr>
                <w:b/>
                <w:bCs/>
                <w:sz w:val="22"/>
                <w:szCs w:val="18"/>
              </w:rPr>
            </w:pPr>
            <w:r w:rsidRPr="00F940EA">
              <w:rPr>
                <w:b/>
                <w:bCs/>
                <w:sz w:val="22"/>
                <w:szCs w:val="18"/>
              </w:rPr>
              <w:t>EF</w:t>
            </w:r>
          </w:p>
        </w:tc>
        <w:tc>
          <w:tcPr>
            <w:tcW w:w="2200" w:type="dxa"/>
            <w:tcBorders>
              <w:top w:val="nil"/>
              <w:left w:val="nil"/>
              <w:bottom w:val="double" w:sz="6" w:space="0" w:color="auto"/>
              <w:right w:val="single" w:sz="8" w:space="0" w:color="auto"/>
            </w:tcBorders>
            <w:shd w:val="clear" w:color="auto" w:fill="auto"/>
            <w:vAlign w:val="bottom"/>
            <w:hideMark/>
          </w:tcPr>
          <w:p w:rsidR="00F940EA" w:rsidRPr="00F940EA" w:rsidRDefault="00F940EA" w:rsidP="00295A82">
            <w:pPr>
              <w:jc w:val="center"/>
              <w:rPr>
                <w:b/>
                <w:bCs/>
                <w:sz w:val="22"/>
                <w:szCs w:val="18"/>
              </w:rPr>
            </w:pPr>
            <w:r w:rsidRPr="00F940EA">
              <w:rPr>
                <w:b/>
                <w:bCs/>
                <w:sz w:val="22"/>
                <w:szCs w:val="18"/>
              </w:rPr>
              <w:t>CO</w:t>
            </w:r>
            <w:r w:rsidRPr="00F940EA">
              <w:rPr>
                <w:b/>
                <w:bCs/>
                <w:sz w:val="22"/>
                <w:szCs w:val="18"/>
                <w:vertAlign w:val="subscript"/>
              </w:rPr>
              <w:t>2</w:t>
            </w:r>
            <w:r w:rsidRPr="00F940EA">
              <w:rPr>
                <w:b/>
                <w:bCs/>
                <w:sz w:val="22"/>
                <w:szCs w:val="18"/>
              </w:rPr>
              <w:t>-C Emission</w:t>
            </w:r>
          </w:p>
        </w:tc>
      </w:tr>
      <w:tr w:rsidR="00F940EA" w:rsidTr="00295A82">
        <w:trPr>
          <w:trHeight w:val="288"/>
        </w:trPr>
        <w:tc>
          <w:tcPr>
            <w:tcW w:w="2200" w:type="dxa"/>
            <w:tcBorders>
              <w:top w:val="nil"/>
              <w:left w:val="single" w:sz="8" w:space="0" w:color="auto"/>
              <w:bottom w:val="single" w:sz="8" w:space="0" w:color="auto"/>
              <w:right w:val="single" w:sz="8" w:space="0" w:color="auto"/>
            </w:tcBorders>
            <w:shd w:val="clear" w:color="auto" w:fill="auto"/>
            <w:vAlign w:val="bottom"/>
            <w:hideMark/>
          </w:tcPr>
          <w:p w:rsidR="00F940EA" w:rsidRPr="00F940EA" w:rsidRDefault="00F940EA" w:rsidP="00295A82">
            <w:pPr>
              <w:jc w:val="center"/>
              <w:rPr>
                <w:sz w:val="22"/>
                <w:szCs w:val="18"/>
              </w:rPr>
            </w:pPr>
            <w:r w:rsidRPr="00F940EA">
              <w:rPr>
                <w:sz w:val="22"/>
                <w:szCs w:val="18"/>
              </w:rPr>
              <w:t>Total</w:t>
            </w:r>
          </w:p>
        </w:tc>
        <w:tc>
          <w:tcPr>
            <w:tcW w:w="2200" w:type="dxa"/>
            <w:tcBorders>
              <w:top w:val="nil"/>
              <w:left w:val="nil"/>
              <w:bottom w:val="single" w:sz="8" w:space="0" w:color="auto"/>
              <w:right w:val="single" w:sz="8" w:space="0" w:color="auto"/>
            </w:tcBorders>
            <w:shd w:val="clear" w:color="auto" w:fill="auto"/>
            <w:vAlign w:val="bottom"/>
            <w:hideMark/>
          </w:tcPr>
          <w:p w:rsidR="00F940EA" w:rsidRPr="00F940EA" w:rsidRDefault="00F940EA" w:rsidP="00295A82">
            <w:pPr>
              <w:jc w:val="center"/>
              <w:rPr>
                <w:sz w:val="22"/>
                <w:szCs w:val="18"/>
              </w:rPr>
            </w:pPr>
            <w:r w:rsidRPr="00F940EA">
              <w:rPr>
                <w:sz w:val="22"/>
                <w:szCs w:val="18"/>
              </w:rPr>
              <w:t>146</w:t>
            </w:r>
          </w:p>
        </w:tc>
        <w:tc>
          <w:tcPr>
            <w:tcW w:w="2200" w:type="dxa"/>
            <w:tcBorders>
              <w:top w:val="nil"/>
              <w:left w:val="nil"/>
              <w:bottom w:val="single" w:sz="8" w:space="0" w:color="auto"/>
              <w:right w:val="single" w:sz="8" w:space="0" w:color="auto"/>
            </w:tcBorders>
            <w:shd w:val="clear" w:color="auto" w:fill="auto"/>
            <w:vAlign w:val="bottom"/>
            <w:hideMark/>
          </w:tcPr>
          <w:p w:rsidR="00F940EA" w:rsidRPr="00F940EA" w:rsidRDefault="00F940EA" w:rsidP="00295A82">
            <w:pPr>
              <w:jc w:val="center"/>
              <w:rPr>
                <w:sz w:val="22"/>
                <w:szCs w:val="18"/>
              </w:rPr>
            </w:pPr>
            <w:r w:rsidRPr="00F940EA">
              <w:rPr>
                <w:sz w:val="22"/>
                <w:szCs w:val="18"/>
              </w:rPr>
              <w:t>0.2</w:t>
            </w:r>
          </w:p>
        </w:tc>
        <w:tc>
          <w:tcPr>
            <w:tcW w:w="2200" w:type="dxa"/>
            <w:tcBorders>
              <w:top w:val="nil"/>
              <w:left w:val="nil"/>
              <w:bottom w:val="single" w:sz="8" w:space="0" w:color="auto"/>
              <w:right w:val="single" w:sz="8" w:space="0" w:color="auto"/>
            </w:tcBorders>
            <w:shd w:val="clear" w:color="auto" w:fill="auto"/>
            <w:vAlign w:val="bottom"/>
            <w:hideMark/>
          </w:tcPr>
          <w:p w:rsidR="00F940EA" w:rsidRPr="00F940EA" w:rsidRDefault="00F940EA" w:rsidP="00295A82">
            <w:pPr>
              <w:jc w:val="center"/>
              <w:rPr>
                <w:sz w:val="22"/>
                <w:szCs w:val="18"/>
              </w:rPr>
            </w:pPr>
            <w:r w:rsidRPr="00F940EA">
              <w:rPr>
                <w:sz w:val="22"/>
                <w:szCs w:val="18"/>
              </w:rPr>
              <w:t>29.2</w:t>
            </w:r>
          </w:p>
        </w:tc>
      </w:tr>
    </w:tbl>
    <w:p w:rsidR="00F940EA" w:rsidRPr="00CB3508" w:rsidRDefault="00F940EA" w:rsidP="00F940EA">
      <w:pPr>
        <w:spacing w:line="480" w:lineRule="auto"/>
        <w:rPr>
          <w:noProof/>
        </w:rPr>
      </w:pPr>
      <w:r>
        <w:rPr>
          <w:noProof/>
        </w:rPr>
        <w:lastRenderedPageBreak/>
        <w:drawing>
          <wp:inline distT="0" distB="0" distL="0" distR="0" wp14:anchorId="0CC4AACF" wp14:editId="6FD98A8F">
            <wp:extent cx="5910580" cy="2635885"/>
            <wp:effectExtent l="0" t="0" r="13970" b="12065"/>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noProof/>
        </w:rPr>
        <w:drawing>
          <wp:inline distT="0" distB="0" distL="0" distR="0" wp14:anchorId="07A5751B" wp14:editId="718A4886">
            <wp:extent cx="5910580" cy="2774315"/>
            <wp:effectExtent l="0" t="0" r="13970" b="2603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940EA" w:rsidRDefault="009538DC" w:rsidP="00F940EA">
      <w:r>
        <w:rPr>
          <w:b/>
        </w:rPr>
        <w:t>Figure 2.6</w:t>
      </w:r>
      <w:r w:rsidR="00F940EA">
        <w:rPr>
          <w:b/>
        </w:rPr>
        <w:t xml:space="preserve"> CO</w:t>
      </w:r>
      <w:r w:rsidR="00F940EA">
        <w:rPr>
          <w:b/>
          <w:vertAlign w:val="subscript"/>
        </w:rPr>
        <w:t>2</w:t>
      </w:r>
      <w:r w:rsidR="00F940EA">
        <w:rPr>
          <w:b/>
        </w:rPr>
        <w:t xml:space="preserve"> Flux June 2010 – August 2011-</w:t>
      </w:r>
      <w:r w:rsidR="00F940EA" w:rsidRPr="00564181">
        <w:t>incl</w:t>
      </w:r>
      <w:r w:rsidR="00F940EA">
        <w:t>uding daily soil temperature,</w:t>
      </w:r>
      <w:r w:rsidR="00F940EA" w:rsidRPr="00564181">
        <w:t xml:space="preserve"> </w:t>
      </w:r>
      <w:r w:rsidR="00F940EA">
        <w:t xml:space="preserve">soil </w:t>
      </w:r>
      <w:r w:rsidR="00F940EA" w:rsidRPr="00564181">
        <w:t>moisture</w:t>
      </w:r>
      <w:r w:rsidR="00F940EA">
        <w:t xml:space="preserve"> and precipitation </w:t>
      </w:r>
    </w:p>
    <w:p w:rsidR="00F940EA" w:rsidRDefault="00F940EA" w:rsidP="00F940EA"/>
    <w:p w:rsidR="00F940EA" w:rsidRPr="008C5B54" w:rsidRDefault="00F940EA" w:rsidP="008C5B54">
      <w:pPr>
        <w:spacing w:line="480" w:lineRule="auto"/>
        <w:rPr>
          <w:b/>
        </w:rPr>
      </w:pPr>
      <w:r>
        <w:tab/>
        <w:t>EPA estimates that the average passenger</w:t>
      </w:r>
      <w:r w:rsidR="00456EBB">
        <w:t xml:space="preserve"> vehicle</w:t>
      </w:r>
      <w:r>
        <w:t xml:space="preserve"> travels 20120 km in the United States annually producing 5</w:t>
      </w:r>
      <w:r w:rsidR="00A11F23">
        <w:t>.195 M</w:t>
      </w:r>
      <w:r>
        <w:t>g CO</w:t>
      </w:r>
      <w:r>
        <w:rPr>
          <w:vertAlign w:val="subscript"/>
        </w:rPr>
        <w:t>2</w:t>
      </w:r>
      <w:r w:rsidR="00A11F23">
        <w:t xml:space="preserve"> car</w:t>
      </w:r>
      <w:r w:rsidR="00A11F23">
        <w:rPr>
          <w:vertAlign w:val="superscript"/>
        </w:rPr>
        <w:t>-1</w:t>
      </w:r>
      <w:r>
        <w:t xml:space="preserve"> yr</w:t>
      </w:r>
      <w:r>
        <w:rPr>
          <w:vertAlign w:val="superscript"/>
        </w:rPr>
        <w:t>-1</w:t>
      </w:r>
      <w:r w:rsidR="00A11F23">
        <w:t xml:space="preserve"> compared to the 73.9</w:t>
      </w:r>
      <w:r w:rsidR="00A11F23" w:rsidRPr="00A11F23">
        <w:t xml:space="preserve"> </w:t>
      </w:r>
      <w:r w:rsidR="00A11F23">
        <w:t>Mg CO</w:t>
      </w:r>
      <w:r w:rsidR="00A11F23">
        <w:rPr>
          <w:vertAlign w:val="subscript"/>
        </w:rPr>
        <w:t>2</w:t>
      </w:r>
      <w:r w:rsidR="00A11F23">
        <w:t xml:space="preserve"> ha</w:t>
      </w:r>
      <w:r w:rsidR="00A11F23">
        <w:rPr>
          <w:vertAlign w:val="superscript"/>
        </w:rPr>
        <w:t>-1</w:t>
      </w:r>
      <w:r w:rsidR="00A11F23">
        <w:t xml:space="preserve"> yr</w:t>
      </w:r>
      <w:r w:rsidR="00A11F23">
        <w:rPr>
          <w:vertAlign w:val="superscript"/>
        </w:rPr>
        <w:t>-1</w:t>
      </w:r>
      <w:r w:rsidR="00A11F23">
        <w:t xml:space="preserve"> measured soil CO</w:t>
      </w:r>
      <w:r w:rsidR="00A11F23">
        <w:rPr>
          <w:vertAlign w:val="subscript"/>
        </w:rPr>
        <w:t>2</w:t>
      </w:r>
      <w:r w:rsidR="00A11F23">
        <w:t xml:space="preserve"> flux from this study</w:t>
      </w:r>
      <w:r>
        <w:t xml:space="preserve">. DOT (2007) </w:t>
      </w:r>
      <w:r w:rsidR="00456EBB">
        <w:t xml:space="preserve">recorded 255.9 million passage vehicles in the United States. Therefore annually </w:t>
      </w:r>
      <w:r w:rsidR="00894041">
        <w:t>passenger vehicles contribute</w:t>
      </w:r>
      <w:r w:rsidR="00456EBB">
        <w:t xml:space="preserve"> 1.3 billion MgCO</w:t>
      </w:r>
      <w:r w:rsidR="00456EBB">
        <w:rPr>
          <w:vertAlign w:val="subscript"/>
        </w:rPr>
        <w:t>2</w:t>
      </w:r>
      <w:r w:rsidR="00456EBB">
        <w:t xml:space="preserve"> yr</w:t>
      </w:r>
      <w:r w:rsidR="00456EBB">
        <w:rPr>
          <w:vertAlign w:val="superscript"/>
        </w:rPr>
        <w:t>-1</w:t>
      </w:r>
      <w:r w:rsidR="00456EBB">
        <w:t xml:space="preserve">. </w:t>
      </w:r>
      <w:r w:rsidR="00A11F23">
        <w:t xml:space="preserve">The USDA’s estimate 2500 hectares of switchgrass in East Tennessee </w:t>
      </w:r>
      <w:r w:rsidR="00A11F23">
        <w:lastRenderedPageBreak/>
        <w:t xml:space="preserve">produces roughly </w:t>
      </w:r>
      <w:r w:rsidR="008C5B54">
        <w:t>184,810 MgCO</w:t>
      </w:r>
      <w:r w:rsidR="008C5B54">
        <w:rPr>
          <w:vertAlign w:val="subscript"/>
        </w:rPr>
        <w:t>2</w:t>
      </w:r>
      <w:r w:rsidR="008C5B54">
        <w:t xml:space="preserve"> yr</w:t>
      </w:r>
      <w:r w:rsidR="008C5B54">
        <w:rPr>
          <w:vertAlign w:val="superscript"/>
        </w:rPr>
        <w:t>-1</w:t>
      </w:r>
      <w:r w:rsidR="008C5B54">
        <w:t xml:space="preserve"> based on the measured CO</w:t>
      </w:r>
      <w:r w:rsidR="008C5B54">
        <w:rPr>
          <w:vertAlign w:val="subscript"/>
        </w:rPr>
        <w:t>2</w:t>
      </w:r>
      <w:r w:rsidR="008C5B54">
        <w:t xml:space="preserve"> from this study. These calculations are only to use as a comparison and are not meant to be used as hard facts. Calculating exact annual flux was outside the scope of our study and even if the exactly flux had been calculated any given year with different climatic conditions or SOC levels would produce varying results. However, these comparisons do help to quantify the impact of switchgrass production even with the highly variable outcomes that can result from varying climate and soil conditions.  </w:t>
      </w:r>
    </w:p>
    <w:p w:rsidR="00F940EA" w:rsidRDefault="00F940EA" w:rsidP="00265C65"/>
    <w:p w:rsidR="00F24219" w:rsidRDefault="00F940EA" w:rsidP="00265C65">
      <w:pPr>
        <w:rPr>
          <w:b/>
          <w:i/>
        </w:rPr>
      </w:pPr>
      <w:r>
        <w:rPr>
          <w:b/>
          <w:i/>
        </w:rPr>
        <w:t>Soil CO</w:t>
      </w:r>
      <w:r>
        <w:rPr>
          <w:b/>
          <w:i/>
          <w:vertAlign w:val="subscript"/>
        </w:rPr>
        <w:t>2</w:t>
      </w:r>
      <w:r>
        <w:rPr>
          <w:b/>
          <w:i/>
        </w:rPr>
        <w:t xml:space="preserve"> Flux Relation to SOC</w:t>
      </w:r>
    </w:p>
    <w:p w:rsidR="00F940EA" w:rsidRPr="00F940EA" w:rsidRDefault="00F940EA" w:rsidP="00265C65">
      <w:pPr>
        <w:rPr>
          <w:b/>
          <w:i/>
        </w:rPr>
      </w:pPr>
    </w:p>
    <w:p w:rsidR="00E17DF1" w:rsidRPr="00E17DF1" w:rsidRDefault="00604A63" w:rsidP="00E17DF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One of the original objectives was comparing the SOC study results</w:t>
      </w:r>
      <w:r w:rsidR="008C5B54">
        <w:t xml:space="preserve"> from Chapter 1</w:t>
      </w:r>
      <w:r>
        <w:t xml:space="preserve"> with the CO</w:t>
      </w:r>
      <w:r>
        <w:rPr>
          <w:vertAlign w:val="subscript"/>
        </w:rPr>
        <w:t>2</w:t>
      </w:r>
      <w:r>
        <w:t xml:space="preserve"> flux results to </w:t>
      </w:r>
      <w:r w:rsidR="008C5B54">
        <w:t>better understand the carbon life cycle</w:t>
      </w:r>
      <w:r>
        <w:t xml:space="preserve">. It would be helpful to policy makers and farmers if there could be a way to quantify the sequestration of carbon for growing switchgrass of any given region in the United States. </w:t>
      </w:r>
      <w:r w:rsidR="000E4575">
        <w:t>Models have been developed to accomplish this goal to varying degrees of success. This study wanted to incorporate the CO</w:t>
      </w:r>
      <w:r w:rsidR="000E4575">
        <w:rPr>
          <w:vertAlign w:val="subscript"/>
        </w:rPr>
        <w:t>2</w:t>
      </w:r>
      <w:r w:rsidR="000E4575">
        <w:t xml:space="preserve"> flux with the SOC to give a better regional assessment that could be compared to a model to determine the model’s accuracy fo</w:t>
      </w:r>
      <w:r w:rsidR="008C5B54">
        <w:t xml:space="preserve">r this region. However the task of comparing these results became exceedingly difficult due to the complexity of each system. The major </w:t>
      </w:r>
      <w:r w:rsidR="00EA3F60">
        <w:t xml:space="preserve">factor that inhibited the integration of the two studies was the problem addressed in Chapter 1. </w:t>
      </w:r>
      <w:r w:rsidR="00E17DF1">
        <w:t xml:space="preserve">Bulk density is required to convert SOC from a percentage to a bulk soil measurement. Chapter 1 results show an increase in bulk density likely due to the re-establishment of management on the sampling plots. The land the farmer’s put into the program was degraded land and unmanaged because the part of the study was to determine switchgrass production on degraded land (not part of my </w:t>
      </w:r>
      <w:r w:rsidR="00E17DF1">
        <w:lastRenderedPageBreak/>
        <w:t xml:space="preserve">research). Therefore when calculating SOC on a bulk soil basis, the results indicate an increase in SOC where the SOC percentage results do not. This leads to a very questionable calculation because in fact you are only seeing increases in bulk density and not increases in SOC. </w:t>
      </w:r>
      <w:r w:rsidR="00E17DF1">
        <w:rPr>
          <w:noProof/>
        </w:rPr>
        <w:t>Therefore we cannot quanifiably compare CO</w:t>
      </w:r>
      <w:r w:rsidR="00E17DF1">
        <w:rPr>
          <w:noProof/>
          <w:vertAlign w:val="subscript"/>
        </w:rPr>
        <w:t>2</w:t>
      </w:r>
      <w:r w:rsidR="00E17DF1">
        <w:rPr>
          <w:noProof/>
        </w:rPr>
        <w:t xml:space="preserve"> flux rates and SOC to develop a </w:t>
      </w:r>
      <w:r w:rsidR="00820DF9">
        <w:rPr>
          <w:noProof/>
        </w:rPr>
        <w:t>carbon life cycle of switchgrass production in this study.</w:t>
      </w:r>
    </w:p>
    <w:p w:rsidR="00F24219" w:rsidRPr="00C0338A" w:rsidRDefault="00F24219" w:rsidP="00A71A9C">
      <w:pPr>
        <w:spacing w:line="480" w:lineRule="auto"/>
      </w:pPr>
      <w:r w:rsidRPr="00C0338A">
        <w:br w:type="page"/>
      </w:r>
    </w:p>
    <w:p w:rsidR="00F24219" w:rsidRPr="000B229B" w:rsidRDefault="00F24219" w:rsidP="000B229B">
      <w:pPr>
        <w:jc w:val="center"/>
        <w:rPr>
          <w:b/>
          <w:sz w:val="28"/>
        </w:rPr>
      </w:pPr>
      <w:r w:rsidRPr="000B229B">
        <w:rPr>
          <w:b/>
          <w:sz w:val="28"/>
        </w:rPr>
        <w:lastRenderedPageBreak/>
        <w:t>REFERENCES</w:t>
      </w:r>
    </w:p>
    <w:p w:rsidR="00F24219" w:rsidRDefault="00F24219" w:rsidP="00265C65"/>
    <w:p w:rsidR="00F24219" w:rsidRDefault="00F24219" w:rsidP="00265C65">
      <w:pPr>
        <w:spacing w:line="480" w:lineRule="auto"/>
        <w:ind w:left="720" w:hanging="720"/>
        <w:rPr>
          <w:noProof/>
        </w:rPr>
      </w:pPr>
      <w:r>
        <w:rPr>
          <w:noProof/>
        </w:rPr>
        <w:t>Adler, P.R., Del Grosso, S.J., Parton, W.J., 2007. Life-cycle assessment of net greenhouse-gas flux for bioenergy cropping systems. Ecol Appl 17, 675-691.</w:t>
      </w:r>
    </w:p>
    <w:p w:rsidR="00F24219" w:rsidRDefault="00F24219" w:rsidP="00265C65">
      <w:pPr>
        <w:spacing w:line="480" w:lineRule="auto"/>
        <w:ind w:left="720" w:hanging="720"/>
        <w:rPr>
          <w:noProof/>
        </w:rPr>
      </w:pPr>
      <w:r>
        <w:rPr>
          <w:noProof/>
        </w:rPr>
        <w:t>Bauer, J., Herbst, M., Huisman, J.A., Weihermuller, L., Vereecken, H., 2008. Sensitivity of simulated soil heterotrophic respiration to temperature and moisture reduction functions. Geoderma 145, 17-27.</w:t>
      </w:r>
    </w:p>
    <w:p w:rsidR="00F24219" w:rsidRDefault="00F24219" w:rsidP="00265C65">
      <w:pPr>
        <w:spacing w:line="480" w:lineRule="auto"/>
        <w:ind w:left="720" w:hanging="720"/>
        <w:rPr>
          <w:noProof/>
        </w:rPr>
      </w:pPr>
      <w:r>
        <w:rPr>
          <w:noProof/>
        </w:rPr>
        <w:t>Bond-Lamberty, B., Wang, C.K., Gower, S.T., 2004. A global relationship between the heterotrophic and autotrophic components of soil respiration? Glob Change Biol 10, 1756-1766.</w:t>
      </w:r>
    </w:p>
    <w:p w:rsidR="00317FAE" w:rsidRDefault="00F24219" w:rsidP="00265C65">
      <w:pPr>
        <w:spacing w:line="480" w:lineRule="auto"/>
        <w:ind w:left="720" w:hanging="720"/>
        <w:rPr>
          <w:noProof/>
        </w:rPr>
      </w:pPr>
      <w:r>
        <w:rPr>
          <w:noProof/>
        </w:rPr>
        <w:t>Dornbush, M.E., Raich, J.W., 2006. Soil temperature, not aboveground plant productivity, best predicts intra-annual variations of soil respiration in central Iowa grasslands. Ecosystems 9, 909-920</w:t>
      </w:r>
    </w:p>
    <w:p w:rsidR="00F24219" w:rsidRDefault="00317FAE" w:rsidP="00265C65">
      <w:pPr>
        <w:spacing w:line="480" w:lineRule="auto"/>
        <w:ind w:left="720" w:hanging="720"/>
        <w:rPr>
          <w:noProof/>
        </w:rPr>
      </w:pPr>
      <w:r w:rsidRPr="00317FAE">
        <w:rPr>
          <w:rStyle w:val="apple-style-span"/>
          <w:rFonts w:cs="Arial"/>
          <w:color w:val="000000"/>
          <w:szCs w:val="17"/>
          <w:shd w:val="clear" w:color="auto" w:fill="FFFFFF"/>
        </w:rPr>
        <w:t xml:space="preserve"> </w:t>
      </w:r>
      <w:r>
        <w:rPr>
          <w:rStyle w:val="apple-style-span"/>
          <w:rFonts w:cs="Arial"/>
          <w:color w:val="000000"/>
          <w:szCs w:val="17"/>
          <w:shd w:val="clear" w:color="auto" w:fill="FFFFFF"/>
        </w:rPr>
        <w:t>DOT, 2007. “</w:t>
      </w:r>
      <w:r w:rsidRPr="006F186C">
        <w:rPr>
          <w:rStyle w:val="apple-style-span"/>
          <w:rFonts w:cs="Arial"/>
          <w:color w:val="000000"/>
          <w:szCs w:val="17"/>
          <w:shd w:val="clear" w:color="auto" w:fill="FFFFFF"/>
        </w:rPr>
        <w:t xml:space="preserve">1995-2008: </w:t>
      </w:r>
      <w:r w:rsidR="00894041" w:rsidRPr="006F186C">
        <w:rPr>
          <w:rStyle w:val="apple-style-span"/>
          <w:rFonts w:cs="Arial"/>
          <w:color w:val="000000"/>
          <w:szCs w:val="17"/>
          <w:shd w:val="clear" w:color="auto" w:fill="FFFFFF"/>
        </w:rPr>
        <w:t>Ibid.</w:t>
      </w:r>
      <w:r w:rsidRPr="006F186C">
        <w:rPr>
          <w:rStyle w:val="apple-style-span"/>
          <w:rFonts w:cs="Arial"/>
          <w:color w:val="000000"/>
          <w:szCs w:val="17"/>
          <w:shd w:val="clear" w:color="auto" w:fill="FFFFFF"/>
        </w:rPr>
        <w:t xml:space="preserve"> Highway Statistics (Washington,</w:t>
      </w:r>
      <w:r>
        <w:rPr>
          <w:rStyle w:val="apple-style-span"/>
          <w:rFonts w:cs="Arial"/>
          <w:color w:val="000000"/>
          <w:szCs w:val="17"/>
          <w:shd w:val="clear" w:color="auto" w:fill="FFFFFF"/>
        </w:rPr>
        <w:t xml:space="preserve"> DC: Annual Issues), table VM-1.”</w:t>
      </w:r>
      <w:r w:rsidRPr="006F186C">
        <w:rPr>
          <w:rStyle w:val="apple-style-span"/>
          <w:rFonts w:cs="Arial"/>
          <w:color w:val="000000"/>
          <w:szCs w:val="17"/>
          <w:shd w:val="clear" w:color="auto" w:fill="FFFFFF"/>
        </w:rPr>
        <w:t xml:space="preserve"> </w:t>
      </w:r>
      <w:hyperlink r:id="rId32" w:history="1">
        <w:r w:rsidRPr="00317FAE">
          <w:rPr>
            <w:rStyle w:val="Hyperlink"/>
            <w:color w:val="auto"/>
            <w:szCs w:val="17"/>
            <w:u w:val="none"/>
            <w:shd w:val="clear" w:color="auto" w:fill="FFFFFF"/>
          </w:rPr>
          <w:t>http://www.fhwa.dot.gov/policy/ohpi/hss/hsspubs.cfm</w:t>
        </w:r>
      </w:hyperlink>
      <w:r w:rsidR="00894041" w:rsidRPr="00317FAE">
        <w:rPr>
          <w:rStyle w:val="apple-style-span"/>
          <w:rFonts w:cs="Arial"/>
          <w:szCs w:val="17"/>
          <w:shd w:val="clear" w:color="auto" w:fill="FFFFFF"/>
        </w:rPr>
        <w:t>.</w:t>
      </w:r>
    </w:p>
    <w:p w:rsidR="00F24219" w:rsidRDefault="00F24219" w:rsidP="00265C65">
      <w:pPr>
        <w:spacing w:line="480" w:lineRule="auto"/>
        <w:ind w:left="720" w:hanging="720"/>
        <w:rPr>
          <w:noProof/>
        </w:rPr>
      </w:pPr>
      <w:r>
        <w:rPr>
          <w:noProof/>
        </w:rPr>
        <w:t>Grahammer, K., Jawson, M.D., Skopp, J., 1991. DAY AND NIGHT SOIL RESPIRATION FROM A GRASSLAND. Soil Biol Biochem 23, 77-81.</w:t>
      </w:r>
    </w:p>
    <w:p w:rsidR="00F24219" w:rsidRDefault="00F24219" w:rsidP="00265C65">
      <w:pPr>
        <w:spacing w:line="480" w:lineRule="auto"/>
        <w:ind w:left="720" w:hanging="720"/>
        <w:rPr>
          <w:noProof/>
        </w:rPr>
      </w:pPr>
      <w:r>
        <w:rPr>
          <w:noProof/>
        </w:rPr>
        <w:t>Healy, R.W., Striegl, R.G., Russell, T.F., Hutchinson, G.L., Livingston, G.P., 1996. Numerical evaluation of static-chamber measurements of soil-atmosphere gas exchange: Identification of physical processes. Soil Sci Soc Am J 60, 740-747.</w:t>
      </w:r>
    </w:p>
    <w:p w:rsidR="00F24219" w:rsidRDefault="00F24219" w:rsidP="00265C65">
      <w:pPr>
        <w:spacing w:line="480" w:lineRule="auto"/>
        <w:ind w:left="720" w:hanging="720"/>
        <w:rPr>
          <w:noProof/>
        </w:rPr>
      </w:pPr>
      <w:r>
        <w:rPr>
          <w:noProof/>
        </w:rPr>
        <w:t>Hernandez-Ramirez, G., Brouder, S.M., Smith, D.R., Van Scoyoc, G.E., 2009. Greenhouse Gas Fluxes in an Eastern Corn Belt Soil: Weather, Nitrogen Source, and Rotation. J Environ Qual 38, 841-854.</w:t>
      </w:r>
    </w:p>
    <w:p w:rsidR="00F24219" w:rsidRDefault="00F24219" w:rsidP="00265C65">
      <w:pPr>
        <w:spacing w:line="480" w:lineRule="auto"/>
        <w:ind w:left="720" w:hanging="720"/>
        <w:rPr>
          <w:noProof/>
        </w:rPr>
      </w:pPr>
      <w:r>
        <w:rPr>
          <w:noProof/>
        </w:rPr>
        <w:lastRenderedPageBreak/>
        <w:t>Lee, D.K., Doolittle, J.J., Owens, V.N., 2007. Soil carbon dioxide fluxes in established switchgrass land managed for biomass production. Soil Biology &amp; Biochemistry 39, 178-186.</w:t>
      </w:r>
    </w:p>
    <w:p w:rsidR="000848DC" w:rsidRPr="000848DC" w:rsidRDefault="000848DC" w:rsidP="00265C65">
      <w:pPr>
        <w:spacing w:line="480" w:lineRule="auto"/>
        <w:ind w:left="720" w:hanging="720"/>
        <w:rPr>
          <w:noProof/>
        </w:rPr>
      </w:pPr>
      <w:r>
        <w:rPr>
          <w:noProof/>
        </w:rPr>
        <w:t>LI-COR, Inc. 2007. LI-8100 Automated Soil CO</w:t>
      </w:r>
      <w:r>
        <w:rPr>
          <w:noProof/>
          <w:vertAlign w:val="subscript"/>
        </w:rPr>
        <w:t>2</w:t>
      </w:r>
      <w:r>
        <w:rPr>
          <w:noProof/>
        </w:rPr>
        <w:t xml:space="preserve"> Flux System &amp; LI-8150 Muliplexer Instruction Manual. </w:t>
      </w:r>
    </w:p>
    <w:p w:rsidR="00F24219" w:rsidRDefault="00F24219" w:rsidP="00265C65">
      <w:pPr>
        <w:spacing w:line="480" w:lineRule="auto"/>
        <w:ind w:left="720" w:hanging="720"/>
        <w:rPr>
          <w:noProof/>
        </w:rPr>
      </w:pPr>
      <w:r>
        <w:rPr>
          <w:noProof/>
        </w:rPr>
        <w:t>Lloyd, J., Taylor, J.A., 1994. ON THE TEMPERATURE-DEPENDENCE OF SOIL RESPIRATION. Functional Ecology 8, 315-323.</w:t>
      </w:r>
    </w:p>
    <w:p w:rsidR="00F24219" w:rsidRDefault="00F24219" w:rsidP="00265C65">
      <w:pPr>
        <w:spacing w:line="480" w:lineRule="auto"/>
        <w:ind w:left="720" w:hanging="720"/>
        <w:rPr>
          <w:noProof/>
        </w:rPr>
      </w:pPr>
      <w:r>
        <w:rPr>
          <w:noProof/>
        </w:rPr>
        <w:t>Raich, J.W., Potter, C.S., 1995. Global Patterns of Carbon-Dioxide Emissions from Soils. Global Biogeochem Cy 9, 23-36.</w:t>
      </w:r>
    </w:p>
    <w:p w:rsidR="00F24219" w:rsidRDefault="00F24219" w:rsidP="00265C65">
      <w:pPr>
        <w:spacing w:line="480" w:lineRule="auto"/>
        <w:ind w:left="720" w:hanging="720"/>
        <w:rPr>
          <w:noProof/>
        </w:rPr>
      </w:pPr>
      <w:r>
        <w:rPr>
          <w:noProof/>
        </w:rPr>
        <w:t>Raich, J.W., Schlesinger, W.H., 1992. The Global Carbon-Dioxide Flux in Soil Respiration and Its Relationship to Vegetation and Climate. Tellus B 44, 81-99.</w:t>
      </w:r>
    </w:p>
    <w:p w:rsidR="00F24219" w:rsidRDefault="00F24219" w:rsidP="00265C65">
      <w:pPr>
        <w:spacing w:line="480" w:lineRule="auto"/>
        <w:ind w:left="720" w:hanging="720"/>
        <w:rPr>
          <w:noProof/>
        </w:rPr>
      </w:pPr>
      <w:r>
        <w:rPr>
          <w:noProof/>
        </w:rPr>
        <w:t>Raich, J.W., Tufekcioglu, A., 2000. Vegetation and soil respiration: Correlations and controls. Biogeochemistry 48, 71-90.</w:t>
      </w:r>
    </w:p>
    <w:p w:rsidR="00F24219" w:rsidRDefault="00F24219" w:rsidP="00265C65">
      <w:pPr>
        <w:spacing w:line="480" w:lineRule="auto"/>
        <w:ind w:left="720" w:hanging="720"/>
        <w:rPr>
          <w:noProof/>
        </w:rPr>
      </w:pPr>
      <w:r>
        <w:rPr>
          <w:noProof/>
        </w:rPr>
        <w:t>Risk, D., Kellman, L., Beltrami, H., 2008. A new method for in situ soil gas diffusivity measurement and applications in the monitoring of subsurface CO2 production. Journal of Geophysical Research-Biogeosciences 113.</w:t>
      </w:r>
    </w:p>
    <w:p w:rsidR="00F24219" w:rsidRDefault="00F24219" w:rsidP="00265C65">
      <w:pPr>
        <w:spacing w:line="480" w:lineRule="auto"/>
        <w:ind w:left="720" w:hanging="720"/>
        <w:rPr>
          <w:noProof/>
        </w:rPr>
      </w:pPr>
      <w:r>
        <w:rPr>
          <w:noProof/>
        </w:rPr>
        <w:t>Sainju, U.M., Stevens, W.B., Caesar-TonThat, T., Jabro, J.D., 2010. Land Use and Management Practices Impact on Plant Biomass Carbon and Soil Carbon Dioxide Emission. Soil Sci Soc Am J 74, 1613-1622.</w:t>
      </w:r>
    </w:p>
    <w:p w:rsidR="00317FAE" w:rsidRDefault="00317FAE" w:rsidP="00265C65">
      <w:pPr>
        <w:spacing w:line="480" w:lineRule="auto"/>
        <w:ind w:left="720" w:hanging="720"/>
        <w:rPr>
          <w:noProof/>
        </w:rPr>
      </w:pPr>
      <w:r>
        <w:rPr>
          <w:noProof/>
        </w:rPr>
        <w:t>SAS Institute, Inc. 2008. SAS 9.2 Cary, NC.</w:t>
      </w:r>
    </w:p>
    <w:p w:rsidR="00F24219" w:rsidRDefault="00F24219" w:rsidP="00265C65">
      <w:pPr>
        <w:spacing w:line="480" w:lineRule="auto"/>
        <w:ind w:left="720" w:hanging="720"/>
        <w:rPr>
          <w:noProof/>
        </w:rPr>
      </w:pPr>
      <w:r>
        <w:rPr>
          <w:noProof/>
        </w:rPr>
        <w:lastRenderedPageBreak/>
        <w:t>Sparks D.L., Soil Science Society of America., American Society of Agronomy. (1996) Methods of soil analysis. Part 3, Chemical methods Soil Science Society of America : American Society of Agronomy, Madison, Wis.</w:t>
      </w:r>
    </w:p>
    <w:p w:rsidR="00F24219" w:rsidRDefault="00F24219" w:rsidP="00265C65">
      <w:pPr>
        <w:spacing w:line="480" w:lineRule="auto"/>
        <w:ind w:left="720" w:hanging="720"/>
      </w:pPr>
      <w:r>
        <w:rPr>
          <w:noProof/>
        </w:rPr>
        <w:t>Wang, X.G., Zhua, B., Gao, M.R., Wang, Y.Q., Zheng, X.H., 2008. Seasonal variations in soil respiration and temperature sensitivity under three land-use types in hilly areas of the Sichuan Basin. Aust J Soil Res 46, 727-734.</w:t>
      </w:r>
      <w:r w:rsidRPr="00C0338A">
        <w:t xml:space="preserve"> </w:t>
      </w:r>
    </w:p>
    <w:p w:rsidR="000B229B" w:rsidRDefault="000B229B" w:rsidP="006F186C">
      <w:pPr>
        <w:spacing w:after="200" w:line="480" w:lineRule="auto"/>
        <w:ind w:left="720" w:hanging="720"/>
      </w:pPr>
      <w:r>
        <w:br w:type="page"/>
      </w:r>
    </w:p>
    <w:p w:rsidR="00F24219" w:rsidRDefault="00F24219" w:rsidP="00265C65">
      <w:pPr>
        <w:spacing w:line="480" w:lineRule="auto"/>
        <w:ind w:left="720" w:hanging="720"/>
        <w:jc w:val="center"/>
        <w:rPr>
          <w:b/>
          <w:sz w:val="28"/>
        </w:rPr>
      </w:pPr>
      <w:r>
        <w:rPr>
          <w:b/>
          <w:sz w:val="28"/>
        </w:rPr>
        <w:lastRenderedPageBreak/>
        <w:t>APPENDIX</w:t>
      </w:r>
    </w:p>
    <w:tbl>
      <w:tblPr>
        <w:tblW w:w="9110" w:type="dxa"/>
        <w:tblInd w:w="93" w:type="dxa"/>
        <w:tblLook w:val="04A0" w:firstRow="1" w:lastRow="0" w:firstColumn="1" w:lastColumn="0" w:noHBand="0" w:noVBand="1"/>
      </w:tblPr>
      <w:tblGrid>
        <w:gridCol w:w="1062"/>
        <w:gridCol w:w="1386"/>
        <w:gridCol w:w="948"/>
        <w:gridCol w:w="1307"/>
        <w:gridCol w:w="837"/>
        <w:gridCol w:w="740"/>
        <w:gridCol w:w="737"/>
        <w:gridCol w:w="753"/>
        <w:gridCol w:w="726"/>
        <w:gridCol w:w="614"/>
      </w:tblGrid>
      <w:tr w:rsidR="00F24219" w:rsidRPr="00262EED" w:rsidTr="00265C65">
        <w:trPr>
          <w:trHeight w:val="301"/>
        </w:trPr>
        <w:tc>
          <w:tcPr>
            <w:tcW w:w="1062" w:type="dxa"/>
            <w:tcBorders>
              <w:top w:val="single" w:sz="4" w:space="0" w:color="auto"/>
              <w:left w:val="single" w:sz="4" w:space="0" w:color="auto"/>
              <w:bottom w:val="single" w:sz="4" w:space="0" w:color="auto"/>
              <w:right w:val="nil"/>
            </w:tcBorders>
            <w:shd w:val="clear" w:color="auto" w:fill="auto"/>
            <w:noWrap/>
            <w:vAlign w:val="bottom"/>
            <w:hideMark/>
          </w:tcPr>
          <w:p w:rsidR="00F24219" w:rsidRPr="00262EED" w:rsidRDefault="00F24219" w:rsidP="00265C65">
            <w:pPr>
              <w:jc w:val="center"/>
              <w:rPr>
                <w:rFonts w:ascii="Calibri" w:hAnsi="Calibri" w:cs="Calibri"/>
                <w:b/>
                <w:bCs/>
                <w:color w:val="000000"/>
                <w:sz w:val="22"/>
                <w:szCs w:val="22"/>
              </w:rPr>
            </w:pPr>
            <w:r w:rsidRPr="00262EED">
              <w:rPr>
                <w:rFonts w:ascii="Calibri" w:hAnsi="Calibri" w:cs="Calibri"/>
                <w:b/>
                <w:bCs/>
                <w:color w:val="000000"/>
                <w:sz w:val="22"/>
                <w:szCs w:val="22"/>
              </w:rPr>
              <w:t>Date</w:t>
            </w:r>
          </w:p>
        </w:tc>
        <w:tc>
          <w:tcPr>
            <w:tcW w:w="1386" w:type="dxa"/>
            <w:tcBorders>
              <w:top w:val="single" w:sz="4" w:space="0" w:color="auto"/>
              <w:left w:val="nil"/>
              <w:bottom w:val="single" w:sz="4" w:space="0" w:color="auto"/>
              <w:right w:val="nil"/>
            </w:tcBorders>
            <w:shd w:val="clear" w:color="auto" w:fill="auto"/>
            <w:noWrap/>
            <w:vAlign w:val="bottom"/>
            <w:hideMark/>
          </w:tcPr>
          <w:p w:rsidR="00F24219" w:rsidRPr="00262EED" w:rsidRDefault="00F24219" w:rsidP="00265C65">
            <w:pPr>
              <w:jc w:val="center"/>
              <w:rPr>
                <w:rFonts w:ascii="Calibri" w:hAnsi="Calibri" w:cs="Calibri"/>
                <w:b/>
                <w:bCs/>
                <w:color w:val="000000"/>
                <w:sz w:val="22"/>
                <w:szCs w:val="22"/>
              </w:rPr>
            </w:pPr>
            <w:r w:rsidRPr="00262EED">
              <w:rPr>
                <w:rFonts w:ascii="Calibri" w:hAnsi="Calibri" w:cs="Calibri"/>
                <w:b/>
                <w:bCs/>
                <w:color w:val="000000"/>
                <w:sz w:val="22"/>
                <w:szCs w:val="22"/>
              </w:rPr>
              <w:t>Cover (kg/ha)</w:t>
            </w:r>
          </w:p>
        </w:tc>
        <w:tc>
          <w:tcPr>
            <w:tcW w:w="948" w:type="dxa"/>
            <w:tcBorders>
              <w:top w:val="single" w:sz="4" w:space="0" w:color="auto"/>
              <w:left w:val="nil"/>
              <w:bottom w:val="single" w:sz="4" w:space="0" w:color="auto"/>
              <w:right w:val="nil"/>
            </w:tcBorders>
            <w:shd w:val="clear" w:color="auto" w:fill="auto"/>
            <w:noWrap/>
            <w:vAlign w:val="bottom"/>
            <w:hideMark/>
          </w:tcPr>
          <w:p w:rsidR="00F24219" w:rsidRPr="00262EED" w:rsidRDefault="00F24219" w:rsidP="00265C65">
            <w:pPr>
              <w:jc w:val="center"/>
              <w:rPr>
                <w:rFonts w:ascii="Calibri" w:hAnsi="Calibri" w:cs="Calibri"/>
                <w:b/>
                <w:bCs/>
                <w:color w:val="000000"/>
                <w:sz w:val="22"/>
                <w:szCs w:val="22"/>
              </w:rPr>
            </w:pPr>
            <w:r w:rsidRPr="00262EED">
              <w:rPr>
                <w:rFonts w:ascii="Calibri" w:hAnsi="Calibri" w:cs="Calibri"/>
                <w:b/>
                <w:bCs/>
                <w:color w:val="000000"/>
                <w:sz w:val="22"/>
                <w:szCs w:val="22"/>
              </w:rPr>
              <w:t>StDev</w:t>
            </w:r>
          </w:p>
        </w:tc>
        <w:tc>
          <w:tcPr>
            <w:tcW w:w="1307" w:type="dxa"/>
            <w:tcBorders>
              <w:top w:val="single" w:sz="4" w:space="0" w:color="auto"/>
              <w:left w:val="nil"/>
              <w:bottom w:val="single" w:sz="4" w:space="0" w:color="auto"/>
              <w:right w:val="nil"/>
            </w:tcBorders>
            <w:shd w:val="clear" w:color="auto" w:fill="auto"/>
            <w:noWrap/>
            <w:vAlign w:val="bottom"/>
            <w:hideMark/>
          </w:tcPr>
          <w:p w:rsidR="00F24219" w:rsidRPr="00262EED" w:rsidRDefault="00F24219" w:rsidP="00265C65">
            <w:pPr>
              <w:jc w:val="center"/>
              <w:rPr>
                <w:rFonts w:ascii="Calibri" w:hAnsi="Calibri" w:cs="Calibri"/>
                <w:b/>
                <w:bCs/>
                <w:color w:val="000000"/>
                <w:sz w:val="22"/>
                <w:szCs w:val="22"/>
              </w:rPr>
            </w:pPr>
            <w:r w:rsidRPr="00262EED">
              <w:rPr>
                <w:rFonts w:ascii="Calibri" w:hAnsi="Calibri" w:cs="Calibri"/>
                <w:b/>
                <w:bCs/>
                <w:color w:val="000000"/>
                <w:sz w:val="22"/>
                <w:szCs w:val="22"/>
              </w:rPr>
              <w:t>Bare  (kg/ha)</w:t>
            </w:r>
          </w:p>
        </w:tc>
        <w:tc>
          <w:tcPr>
            <w:tcW w:w="837" w:type="dxa"/>
            <w:tcBorders>
              <w:top w:val="single" w:sz="4" w:space="0" w:color="auto"/>
              <w:left w:val="nil"/>
              <w:bottom w:val="single" w:sz="4" w:space="0" w:color="auto"/>
              <w:right w:val="nil"/>
            </w:tcBorders>
            <w:shd w:val="clear" w:color="auto" w:fill="auto"/>
            <w:noWrap/>
            <w:vAlign w:val="bottom"/>
            <w:hideMark/>
          </w:tcPr>
          <w:p w:rsidR="00F24219" w:rsidRPr="00262EED" w:rsidRDefault="00F24219" w:rsidP="00265C65">
            <w:pPr>
              <w:jc w:val="center"/>
              <w:rPr>
                <w:rFonts w:ascii="Calibri" w:hAnsi="Calibri" w:cs="Calibri"/>
                <w:b/>
                <w:bCs/>
                <w:color w:val="000000"/>
                <w:sz w:val="22"/>
                <w:szCs w:val="22"/>
              </w:rPr>
            </w:pPr>
            <w:r w:rsidRPr="00262EED">
              <w:rPr>
                <w:rFonts w:ascii="Calibri" w:hAnsi="Calibri" w:cs="Calibri"/>
                <w:b/>
                <w:bCs/>
                <w:color w:val="000000"/>
                <w:sz w:val="22"/>
                <w:szCs w:val="22"/>
              </w:rPr>
              <w:t>StDev</w:t>
            </w:r>
          </w:p>
        </w:tc>
        <w:tc>
          <w:tcPr>
            <w:tcW w:w="740" w:type="dxa"/>
            <w:tcBorders>
              <w:top w:val="single" w:sz="4" w:space="0" w:color="auto"/>
              <w:left w:val="nil"/>
              <w:bottom w:val="single" w:sz="4" w:space="0" w:color="auto"/>
              <w:right w:val="nil"/>
            </w:tcBorders>
            <w:shd w:val="clear" w:color="auto" w:fill="auto"/>
            <w:noWrap/>
            <w:vAlign w:val="bottom"/>
            <w:hideMark/>
          </w:tcPr>
          <w:p w:rsidR="00F24219" w:rsidRPr="00262EED" w:rsidRDefault="00F24219" w:rsidP="00265C65">
            <w:pPr>
              <w:jc w:val="center"/>
              <w:rPr>
                <w:rFonts w:ascii="Calibri" w:hAnsi="Calibri" w:cs="Calibri"/>
                <w:b/>
                <w:bCs/>
                <w:color w:val="000000"/>
                <w:sz w:val="22"/>
                <w:szCs w:val="22"/>
              </w:rPr>
            </w:pPr>
            <w:r w:rsidRPr="00262EED">
              <w:rPr>
                <w:rFonts w:ascii="Calibri" w:hAnsi="Calibri" w:cs="Calibri"/>
                <w:b/>
                <w:bCs/>
                <w:color w:val="000000"/>
                <w:sz w:val="22"/>
                <w:szCs w:val="22"/>
              </w:rPr>
              <w:t>Temp</w:t>
            </w:r>
          </w:p>
        </w:tc>
        <w:tc>
          <w:tcPr>
            <w:tcW w:w="737" w:type="dxa"/>
            <w:tcBorders>
              <w:top w:val="single" w:sz="4" w:space="0" w:color="auto"/>
              <w:left w:val="nil"/>
              <w:bottom w:val="single" w:sz="4" w:space="0" w:color="auto"/>
              <w:right w:val="nil"/>
            </w:tcBorders>
            <w:shd w:val="clear" w:color="auto" w:fill="auto"/>
            <w:noWrap/>
            <w:vAlign w:val="bottom"/>
            <w:hideMark/>
          </w:tcPr>
          <w:p w:rsidR="00F24219" w:rsidRPr="00262EED" w:rsidRDefault="00F24219" w:rsidP="00265C65">
            <w:pPr>
              <w:jc w:val="center"/>
              <w:rPr>
                <w:rFonts w:ascii="Calibri" w:hAnsi="Calibri" w:cs="Calibri"/>
                <w:b/>
                <w:bCs/>
                <w:color w:val="000000"/>
                <w:sz w:val="22"/>
                <w:szCs w:val="22"/>
              </w:rPr>
            </w:pPr>
            <w:r w:rsidRPr="00262EED">
              <w:rPr>
                <w:rFonts w:ascii="Calibri" w:hAnsi="Calibri" w:cs="Calibri"/>
                <w:b/>
                <w:bCs/>
                <w:color w:val="000000"/>
                <w:sz w:val="22"/>
                <w:szCs w:val="22"/>
              </w:rPr>
              <w:t>Stdev</w:t>
            </w:r>
          </w:p>
        </w:tc>
        <w:tc>
          <w:tcPr>
            <w:tcW w:w="753" w:type="dxa"/>
            <w:tcBorders>
              <w:top w:val="single" w:sz="4" w:space="0" w:color="auto"/>
              <w:left w:val="nil"/>
              <w:bottom w:val="single" w:sz="4" w:space="0" w:color="auto"/>
              <w:right w:val="nil"/>
            </w:tcBorders>
            <w:shd w:val="clear" w:color="auto" w:fill="auto"/>
            <w:noWrap/>
            <w:vAlign w:val="bottom"/>
            <w:hideMark/>
          </w:tcPr>
          <w:p w:rsidR="00F24219" w:rsidRPr="00262EED" w:rsidRDefault="00F24219" w:rsidP="00265C65">
            <w:pPr>
              <w:jc w:val="center"/>
              <w:rPr>
                <w:rFonts w:ascii="Calibri" w:hAnsi="Calibri" w:cs="Calibri"/>
                <w:b/>
                <w:bCs/>
                <w:color w:val="000000"/>
                <w:sz w:val="22"/>
                <w:szCs w:val="22"/>
              </w:rPr>
            </w:pPr>
            <w:r w:rsidRPr="00262EED">
              <w:rPr>
                <w:rFonts w:ascii="Calibri" w:hAnsi="Calibri" w:cs="Calibri"/>
                <w:b/>
                <w:bCs/>
                <w:color w:val="000000"/>
                <w:sz w:val="22"/>
                <w:szCs w:val="22"/>
              </w:rPr>
              <w:t>Moist</w:t>
            </w:r>
          </w:p>
        </w:tc>
        <w:tc>
          <w:tcPr>
            <w:tcW w:w="726" w:type="dxa"/>
            <w:tcBorders>
              <w:top w:val="single" w:sz="4" w:space="0" w:color="auto"/>
              <w:left w:val="nil"/>
              <w:bottom w:val="single" w:sz="4" w:space="0" w:color="auto"/>
              <w:right w:val="nil"/>
            </w:tcBorders>
            <w:shd w:val="clear" w:color="auto" w:fill="auto"/>
            <w:noWrap/>
            <w:vAlign w:val="bottom"/>
            <w:hideMark/>
          </w:tcPr>
          <w:p w:rsidR="00F24219" w:rsidRPr="00262EED" w:rsidRDefault="00F24219" w:rsidP="00265C65">
            <w:pPr>
              <w:jc w:val="center"/>
              <w:rPr>
                <w:rFonts w:ascii="Calibri" w:hAnsi="Calibri" w:cs="Calibri"/>
                <w:b/>
                <w:bCs/>
                <w:color w:val="000000"/>
                <w:sz w:val="22"/>
                <w:szCs w:val="22"/>
              </w:rPr>
            </w:pPr>
            <w:r w:rsidRPr="00262EED">
              <w:rPr>
                <w:rFonts w:ascii="Calibri" w:hAnsi="Calibri" w:cs="Calibri"/>
                <w:b/>
                <w:bCs/>
                <w:color w:val="000000"/>
                <w:sz w:val="22"/>
                <w:szCs w:val="22"/>
              </w:rPr>
              <w:t>STD</w:t>
            </w:r>
          </w:p>
        </w:tc>
        <w:tc>
          <w:tcPr>
            <w:tcW w:w="614" w:type="dxa"/>
            <w:tcBorders>
              <w:top w:val="single" w:sz="4" w:space="0" w:color="auto"/>
              <w:left w:val="nil"/>
              <w:bottom w:val="single" w:sz="4" w:space="0" w:color="auto"/>
              <w:right w:val="single" w:sz="4" w:space="0" w:color="auto"/>
            </w:tcBorders>
            <w:shd w:val="clear" w:color="auto" w:fill="auto"/>
            <w:noWrap/>
            <w:vAlign w:val="bottom"/>
            <w:hideMark/>
          </w:tcPr>
          <w:p w:rsidR="00F24219" w:rsidRPr="00262EED" w:rsidRDefault="00F24219" w:rsidP="00265C65">
            <w:pPr>
              <w:jc w:val="center"/>
              <w:rPr>
                <w:rFonts w:ascii="Calibri" w:hAnsi="Calibri" w:cs="Calibri"/>
                <w:b/>
                <w:bCs/>
                <w:color w:val="000000"/>
                <w:sz w:val="22"/>
                <w:szCs w:val="22"/>
              </w:rPr>
            </w:pPr>
            <w:r w:rsidRPr="00262EED">
              <w:rPr>
                <w:rFonts w:ascii="Calibri" w:hAnsi="Calibri" w:cs="Calibri"/>
                <w:b/>
                <w:bCs/>
                <w:color w:val="000000"/>
                <w:sz w:val="22"/>
                <w:szCs w:val="22"/>
              </w:rPr>
              <w:t>Ppt</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422.47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76.42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468.71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55.70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499.48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155.80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537.19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106.13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599.17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244.81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509.87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107.02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569.75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153.96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487.69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47.76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617.06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198.74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509.48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85.50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565.14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128.58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474.48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71.38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542.38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199.19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475.60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82.21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541.62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175.92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441.48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75.41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500.03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183.65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475.70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108.23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507.39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251.41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590.53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106.01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632.91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228.75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599.25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97.74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629.82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209.90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633.74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85.31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0.31</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686.11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227.24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645.32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154.30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689.67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222.13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629.73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97.40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667.45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292.99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754.09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149.17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0.38</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672.44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209.47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706.08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154.18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708.42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190.63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606.15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92.04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654.14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181.13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609.17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128.46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635.07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179.02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576.56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139.96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0.28</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714.90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256.71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569.83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93.89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662.03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233.46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565.06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170.82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645.45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218.70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519.68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173.33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651.70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218.26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510.00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123.01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631.55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198.82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486.89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101.71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612.66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229.22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471.47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144.81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543.70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225.55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428.64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69.53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557.82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232.28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466.80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109.09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588.03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218.85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459.57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105.52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1.57</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630.67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220.93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567.61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101.27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561.48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177.64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478.84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69.49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486.70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127.62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399.05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94.50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371.71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129.92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273.51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53.31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372.96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136.14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250.36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44.07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25.99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346.62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115.91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234.64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41.68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26.18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355.55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120.38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224.82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54.89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26.57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324.17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106.04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207.44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44.73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311.19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109.99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217.37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49.21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27.14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lastRenderedPageBreak/>
              <w:t>7/8/10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295.71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106.64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188.79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48.56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345.41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164.33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198.41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54.41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26.80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0.69</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475.90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141.47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290.63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52.54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26.65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394.62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118.70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240.76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55.74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26.84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400.88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130.59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272.94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72.04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25.54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0.41</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540.49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175.54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342.52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59.06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28.52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482.64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132.74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289.08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50.30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432.62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169.28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266.95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39.77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27.72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474.42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141.77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317.15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62.56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26.93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1.91</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530.61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177.44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332.60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35.04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26.99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563.55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143.45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320.89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45.32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27.11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560.38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146.22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321.72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76.32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26.26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593.02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169.92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366.63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56.96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27.05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609.12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122.23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331.18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37.56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27.96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596.09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145.82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338.59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57.75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554.99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179.46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299.27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32.58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28.57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482.38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116.72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281.74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49.02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28.08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512.93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158.40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280.18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50.47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27.45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599.70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117.23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356.26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40.81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27.88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0.69</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597.84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183.92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346.37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40.70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28.21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493.48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150.49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336.97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50.89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26.42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1.72</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597.21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155.19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352.33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33.41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551.61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107.18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354.15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40.87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28.39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491.91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115.91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320.80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41.20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9.81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467.01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86.45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318.58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44.98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28.55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453.65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90.03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307.65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57.67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28.55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0.69</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449.74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87.45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288.41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47.97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6.65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399.83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105.60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261.81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44.16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27.00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368.88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94.13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237.84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50.05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27.04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359.77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114.86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219.56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32.11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27.87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346.84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101.20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215.25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41.87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28.69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324.43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97.15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200.21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46.85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28.96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344.44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116.34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186.27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28.18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293.86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92.54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167.78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24.12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262.26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80.17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148.48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19.74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29.07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0.29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269.12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97.38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154.68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29.93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28.65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348.17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169.75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203.73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88.25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28.23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444.17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91.81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261.01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35.77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27.73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0.38</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lastRenderedPageBreak/>
              <w:t>8/18/10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439.48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111.55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268.23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39.42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471.43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107.45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306.57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53.24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27.22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17.11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466.86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96.24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320.81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58.82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27.22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494.36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136.30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300.69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37.05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6.72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486.20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126.13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328.50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56.39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21.16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482.20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137.09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316.33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46.15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27.02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14.32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437.59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90.51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301.82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55.60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26.20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415.88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105.84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271.24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41.93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25.51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9.52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390.62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96.24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274.03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70.05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25.21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348.87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15.33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213.32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25.22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369.86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91.69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238.83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36.06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26.28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351.34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86.05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212.41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33.74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25.92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6.00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341.78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82.50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196.35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29.60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26.37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316.42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92.61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190.09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30.61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25.87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279.87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103.27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171.20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36.20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25.64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260.75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94.72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151.67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29.66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25.46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203.43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114.45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25.20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208.33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80.03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118.11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28.23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24.04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173.44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69.85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105.42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18.31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23.60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174.06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71.24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100.07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17.00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185.00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70.33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95.27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24.26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277.45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94.42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138.55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39.81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23.94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259.38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55.76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147.26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32.48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234.08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47.30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118.23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19.52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22.35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6.52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341.91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259.81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154.56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65.30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18.85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10.42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6.45</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394.57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126.69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219.99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49.66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24.12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21.95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343.11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102.83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214.77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39.57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22.83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333.96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110.55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222.46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61.61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22.43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14.71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340.56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106.33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215.25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30.64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344.59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79.31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210.81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38.80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380.74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117.07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227.58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48.08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23.67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368.08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125.88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234.99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37.85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364.93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96.94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226.24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38.03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357.45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100.77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237.51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62.50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349.71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88.49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199.85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30.24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23.35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380.31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110.80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222.20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46.68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23.76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378.10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90.81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226.36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46.08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24.10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338.15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92.17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205.00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23.85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306.65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69.64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201.40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28.49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23.99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7.01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319.81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126.57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179.52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24.09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0.22</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247.95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96.33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142.20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23.39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lastRenderedPageBreak/>
              <w:t>9/28/10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228.19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87.31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154.60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24.79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21.67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23.88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252.13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93.59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176.96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43.14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21.97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19.46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267.79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109.33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176.99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31.54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24.23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0.47</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228.89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83.92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179.17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28.69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21.05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18.95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222.78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91.42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178.44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33.22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20.68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196.02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78.74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162.89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30.13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15.89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0.24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167.01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63.41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146.90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28.26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18.68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15.29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160.90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57.75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142.16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33.74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14.51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159.81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62.67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135.70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31.00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14.04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174.55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62.20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133.02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20.27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17.30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13.19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173.89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55.29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136.76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18.20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186.11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72.48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142.39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18.10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180.83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63.72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133.28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21.09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18.11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9.85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186.87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72.11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138.55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18.31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184.25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50.05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137.35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20.70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18.34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210.70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60.63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145.76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21.44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19.22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9.66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217.70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80.78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151.88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35.63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19.23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0.25</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169.56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72.47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128.93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17.05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143.45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47.90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122.64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9.95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135.06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43.76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113.31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136.24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44.52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113.00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20.34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16.08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8.06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152.03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51.11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110.95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20.04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16.28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184.09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72.91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138.50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17.32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148.74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55.22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116.13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23.30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16.25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145.63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73.57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112.81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23.41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15.72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9.72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123.10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37.63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101.45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14.58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138.61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42.16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102.17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18.15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15.39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165.45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57.21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124.01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27.44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16.66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4.01</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185.29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67.71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112.77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21.94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17.88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2.41</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167.51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73.29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93.62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31.55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27.45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167.45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55.01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126.22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30.76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18.37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125.95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47.56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120.17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20.33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16.67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113.04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51.76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103.62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14.93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118.24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42.98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111.38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21.42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15.59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18.40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115.48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40.80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112.20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27.23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14.84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121.42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39.43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107.58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21.00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14.82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121.95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37.38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100.78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15.67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14.81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16.69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114.35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53.08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83.18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14.74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0.88</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89.98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38.12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75.08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24.69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0.19</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85.52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41.02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71.03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14.66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24.23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64.20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33.04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48.51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36.97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23.06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lastRenderedPageBreak/>
              <w:t>11/8/10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78.87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32.37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68.10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81.07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41.93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73.00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20.90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75.16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26.52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65.67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21.47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18.84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19.48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22.47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28.45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24.33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175.53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53.92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23.32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136.36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33.54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22.34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125.83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34.28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9.97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141.67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45.19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152.54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47.85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20.95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125.07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42.52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24.15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1.97</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133.60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32.33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24.86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142.53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32.15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12.77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97.74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39.81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27.42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99.31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8.09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78.77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24.53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23.44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88.23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36.44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23.44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39.72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18.11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9.66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6.92</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46.83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17.88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20.82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29.01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50.11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33.25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62.33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30.34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30.25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47.89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34.33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58.36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25.05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0.75</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38.34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40.65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26.12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23.85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35.48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29.89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24.98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22.91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14.96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24.07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24.96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9.77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58.40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38.75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48.01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44.37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24.81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44.19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21.17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38.69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25.61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51.81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28.60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87.79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63.27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25.60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0.31</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29.51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21.00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10.09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1.88</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19.46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13.62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53.64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252.59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25.80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31.75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86.42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159.67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20.76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38.86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17.39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74.53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107.22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0.20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40.05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101.15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34.35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90.38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25.61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32.45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15.44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24.76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35.52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18.22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19.24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11.97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lastRenderedPageBreak/>
              <w:t>12/19/10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33.29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15.06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33.76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19.32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30.81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18.58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8.73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40.63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18.49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45.22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58.84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25.09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9.91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0.31</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12/22/10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34.17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17.48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23.49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9.41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12/23/10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32.35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18.24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34.05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16.12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23.36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12/24/10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38.24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19.46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75.59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54.63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25.36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8.08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12/25/10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40.97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19.38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12/26/10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12/27/10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18.29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9.49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16.88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23.36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12/28/10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30.61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13.88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34.61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51.74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24.65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9.64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12/29/10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34.03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20.44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20.41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25.08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12/30/10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61.01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19.20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12/31/10</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83.59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25.75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6.70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0.25</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72.61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18.52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29.30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16.13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23.03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16.13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58.89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24.05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112.76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164.45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18.30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13.85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53.75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16.27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80.36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93.71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50.73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11.52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35.57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33.33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15.89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0.47</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0.09</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28.42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0.28</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15.82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6.62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38.34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13.91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35.48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49.85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42.73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14.63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35.85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43.15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37.14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16.13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43.25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20.22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17.73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48.69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16.48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20.94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40.62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25.93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66.78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69.78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6.03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37.20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29.08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32.76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36.98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12.79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44.16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15.79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20.71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14.55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51.69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21.67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15.53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63.73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19.46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46.42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41.37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55.90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26.99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43.57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1.38</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24.39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17.71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24.78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12.90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39.18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26.21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18.69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10.90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lastRenderedPageBreak/>
              <w:t>1/29/11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53.31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39.86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40.36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37.76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50.84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30.26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45.80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40.12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40.77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76.71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55.83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36.61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17.14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30.20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87.88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29.38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129.35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179.97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29.98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0.97</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45.08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17.46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7.43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29.03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10.08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33.57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50.28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72.00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29.06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34.63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26.97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91.59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145.32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16.52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25.78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0.22</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44.96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30.36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23.79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27.23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43.16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35.40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29.31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26.49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44.92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29.79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64.06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108.12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28.37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9.70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0.22</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30.84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21.64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28.20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39.94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53.19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88.61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35.59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35.78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27.27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33.07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24.24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20.65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11.96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35.44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23.67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20.84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26.34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39.76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35.81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53.18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16.64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35.46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13.63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29.29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46.73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48.13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45.07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26.97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51.87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30.25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46.53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15.89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64.73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35.51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51.03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21.14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83.24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58.28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15.36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29.96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100.48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38.05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74.84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42.50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8.42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74.84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31.49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69.85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33.95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27.65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89.22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28.51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71.14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21.67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29.78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103.02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29.82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58.75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18.65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30.65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0.34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81.24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38.23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68.76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51.01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14.03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90.30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97.30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45.17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37.41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32.98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72.30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32.74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33.55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18.37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9.66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33.26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91.99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47.22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52.89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35.47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29.27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8.01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80.06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39.19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36.12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24.42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31.55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7.44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1.19</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73.76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35.56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34.35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11.52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32.52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8.17</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82.44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48.90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44.12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29.22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31.11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119.42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52.49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69.69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35.35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31.17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114.41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54.61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93.50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35.47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30.88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123.60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75.96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113.93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41.61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30.30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152.22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72.65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118.02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47.70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31.31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30.09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17.23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31.13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67.96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27.07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39.84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27.80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9.99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14.54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30.26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88.08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41.46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64.49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44.25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7.96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6.88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0.85</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52.84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24.34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15.26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34.10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44.80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26.09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86.78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398.75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33.07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lastRenderedPageBreak/>
              <w:t>3/11/11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67.98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41.57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31.82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21.90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11.58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16.06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27.80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92.04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39.50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58.04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30.29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9.98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29.49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127.37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55.55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90.79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28.22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130.50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40.56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99.32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35.48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31.35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112.57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48.36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48.98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33.54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33.11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0.94</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108.39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47.24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45.00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10.05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32.72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157.69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99.62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126.82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83.41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10.04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28.94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192.45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90.09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137.67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49.09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31.13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191.42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62.17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131.32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37.67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14.34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30.93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214.10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73.72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135.97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34.18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14.00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247.07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81.39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151.03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48.34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14.72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29.99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268.22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84.83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155.49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42.31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15.18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29.86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230.11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68.55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125.66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49.58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15.50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29.87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141.71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62.42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56.53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22.75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13.78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32.23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151.74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69.71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75.58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28.52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10.87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30.01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149.92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56.71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75.57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36.49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11.44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31.17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104.87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43.27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36.10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16.03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31.08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88.95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39.31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35.93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13.41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30.48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0.75</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162.41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91.21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82.59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52.76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11.36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133.31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61.66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43.82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34.19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124.59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48.75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44.70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15.24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10.81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32.33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144.91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65.87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63.75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27.61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161.22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82.35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78.42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39.19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10.95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31.83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205.53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130.93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115.44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51.67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31.23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232.39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94.64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102.07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44.94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31.87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3.48</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147.50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81.08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54.12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37.05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13.97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34.64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193.20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122.57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106.92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55.14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15.62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13.89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30.95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291.18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152.44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155.79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57.62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14.69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30.38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354.14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131.62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175.85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46.49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16.69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30.43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451.40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170.16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212.68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62.29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18.46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29.96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481.14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169.39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247.69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64.42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19.77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514.40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160.23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258.35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60.02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27.05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281.50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91.36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90.89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49.32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32.28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0.85</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319.11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163.25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163.23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101.74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18.34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31.20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354.69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160.50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200.52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68.78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16.17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30.06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320.04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119.87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150.50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74.61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30.26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180.99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62.91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31.75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13.67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34.28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265.50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155.71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124.44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78.87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30.81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297.22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167.91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171.61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66.25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13.92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29.70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435.83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225.52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241.63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69.46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16.21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28.55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459.36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205.12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188.46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76.93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17.24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29.07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lastRenderedPageBreak/>
              <w:t>4/21/11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438.92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166.70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214.60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83.59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17.06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29.87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416.48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240.95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255.70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94.08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17.18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482.75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267.71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264.81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75.01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28.18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445.48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277.36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268.62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73.54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18.88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26.36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435.70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266.79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283.76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73.37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19.00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436.92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246.15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271.73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52.12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361.11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257.87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214.07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126.39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18.52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25.44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121.65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101.97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60.18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58.45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17.79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33.84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123.62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120.64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152.78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92.76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31.11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179.51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243.36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233.78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120.87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16.58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29.43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221.25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135.76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229.97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81.65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16.81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240.13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142.73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263.96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89.80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28.09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176.20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132.42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180.01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124.81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27.19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121.14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85.63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76.24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45.91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32.86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259.41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143.41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164.50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98.26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14.42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31.31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296.70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128.15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180.61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61.94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303.73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104.06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201.69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63.44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400.90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172.81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253.97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102.41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16.66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28.15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331.18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135.43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210.91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48.24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506.86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160.81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290.58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222.90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500.76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137.09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231.86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178.77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20.78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503.44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139.47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212.98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157.64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19.45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399.07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82.12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133.20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126.81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17.81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365.90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105.90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159.01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185.93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16.42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300.98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63.10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80.30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87.89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270.69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67.69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77.31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77.70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13.25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22.73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14.91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16.60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17.87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19.32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0.19</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948"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130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837"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19.37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726" w:type="dxa"/>
            <w:tcBorders>
              <w:top w:val="nil"/>
              <w:left w:val="nil"/>
              <w:bottom w:val="nil"/>
              <w:right w:val="nil"/>
            </w:tcBorders>
            <w:shd w:val="clear" w:color="auto" w:fill="auto"/>
            <w:noWrap/>
            <w:vAlign w:val="bottom"/>
            <w:hideMark/>
          </w:tcPr>
          <w:p w:rsidR="00F24219" w:rsidRPr="00262EED" w:rsidRDefault="00F24219" w:rsidP="00265C65">
            <w:pPr>
              <w:rPr>
                <w:rFonts w:ascii="Calibri" w:hAnsi="Calibri" w:cs="Calibri"/>
                <w:color w:val="000000"/>
                <w:sz w:val="22"/>
                <w:szCs w:val="22"/>
              </w:rPr>
            </w:pP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413.61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117.07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286.96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74.66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18.99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401.87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143.79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265.45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82.31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19.73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18.63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387.57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126.47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196.53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76.50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18.68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5.78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464.06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134.07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222.05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122.12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27.03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408.45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122.04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277.04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98.09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19.16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24.82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428.69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130.78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287.35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91.66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21.95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438.77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175.19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293.54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99.32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21.07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20.03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442.93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109.80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296.78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85.22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19.02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lastRenderedPageBreak/>
              <w:t>6/1/11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435.70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85.45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293.28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87.47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396.27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96.16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273.60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85.02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376.30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73.05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258.49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78.92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344.41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65.51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252.70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76.05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15.07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337.01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72.07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245.90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75.59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14.38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335.62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78.12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238.19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69.63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321.43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74.11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234.40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78.06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13.30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319.76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93.71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226.46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69.07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22.93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291.31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100.41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214.02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101.05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22.73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233.29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106.02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194.70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89.62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305.16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140.33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221.99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112.02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431.24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179.42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280.06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128.41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316.55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146.06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317.37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425.95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14.03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238.59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115.19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218.68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83.36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21.12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248.24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89.57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148.21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74.54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18.98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18.97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381.86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160.92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224.76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163.12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29.88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369.07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147.56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278.08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93.89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19.98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27.96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334.59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249.35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198.97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129.23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19.90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29.63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363.92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765.08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128.03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231.74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33.06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391.00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167.48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184.84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109.35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20.61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31.38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427.57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177.41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283.35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175.74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20.27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10.65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30.16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395.41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175.92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163.48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102.49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0.13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536.73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1073.18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177.72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92.47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21.47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32.25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291.89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171.54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119.12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78.31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21.63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33.65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0.53</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382.40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169.26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264.86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105.99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20.65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31.31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0.61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381.99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179.26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221.70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85.98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20.60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31.37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505.80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537.67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284.23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110.89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20.21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10.44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30.99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424.79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162.40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307.38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103.06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30.45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408.03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158.83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349.35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125.14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29.83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416.84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134.88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345.43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117.87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28.71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377.39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170.83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343.46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120.12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27.92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425.53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153.27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344.50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116.23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26.28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412.27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180.17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364.13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120.53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22.41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24.40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509.07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326.26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343.11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112.20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24.01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0.78</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496.28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476.48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346.68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107.95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411.38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163.20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326.64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90.34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25.49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0.09</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418.35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179.38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250.76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199.89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7.60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241.52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118.51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100.83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122.12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32.73</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332.35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135.52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185.63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103.04</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2.39</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4.73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408.57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163.89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351.58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159.93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22.81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464.83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193.62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400.91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136.06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29.49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lastRenderedPageBreak/>
              <w:t>7/12/11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493.05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181.72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307.47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131.90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23.79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30.22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1.70</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405.09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172.69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372.06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134.98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29.46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521.07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256.94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395.10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134.82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22.92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28.95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437.37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124.68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315.09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141.66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23.35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29.56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0.81</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337.76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118.83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229.78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93.91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31.59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422.12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373.51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310.69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116.47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21.27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30.46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445.83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177.55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395.04</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157.60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29.60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0.94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484.47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226.46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379.91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159.13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29.56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1514.03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6251.76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396.37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142.93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29.28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481.27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513.31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321.62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153.75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22.97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30.97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419.69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240.40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335.31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145.72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22.30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31.06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384.58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150.97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374.59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166.51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22.80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29.45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6.36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284.43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188.31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190.92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124.15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30.39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8.96</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904.66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3743.06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261.37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92.29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22.78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30.40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6.87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377.61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134.13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359.70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180.41</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31.52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442.82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144.73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427.36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176.17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30.35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426.17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168.40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441.08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184.98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3.74</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29.99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7/29/11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433.81</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171.54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425.28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156.32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22.74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28.91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405.23</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277.91</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343.90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187.37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30.34</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7/31/11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306.27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112.16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256.29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159.00</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23.05</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32.05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411.25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129.64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387.82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174.66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22.79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30.80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433.90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173.79</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417.16</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169.83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22.58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3.72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29.40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441.26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280.10</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411.72</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165.13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28.06</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465.50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142.77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390.91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126.95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22.04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27.25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441.14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205.92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358.33</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120.88</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22.64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26.07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564.94</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1081.42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362.25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108.37</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22.34</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24.95</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2.51</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481.89</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486.26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348.18</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120.95</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22.36</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23.71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8/8/11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429.26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209.95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328.07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112.06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21.97</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3.55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2.67</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0.41</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8/9/11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438.58</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163.62</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324.40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119.03</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3.26</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23.58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8/10/11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391.66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237.08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307.70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99.59</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22.08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2.89</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8/11/11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340.06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154.63</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319.20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122.72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21.80</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2.95</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20.29</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2.83</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8/12/11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314.90</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118.68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288.91</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98.56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22.11</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2.88</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18.41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8/13/11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612.45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2324.78</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266.30</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95.06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3.12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17.10</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2.42</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8/14/11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329.65</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135.37</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265.05</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83.66</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21.32</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2.92</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17.32</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3.05</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0.09</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8/15/11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333.66</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481.64</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211.87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71.62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21.33</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3.07</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16.78</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8/16/11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222.67</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92.96</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196.87</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59.72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20.19</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2.93</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15.97</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2.58</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8/17/11</w:t>
            </w:r>
          </w:p>
        </w:tc>
        <w:tc>
          <w:tcPr>
            <w:tcW w:w="138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260.82</w:t>
            </w:r>
          </w:p>
        </w:tc>
        <w:tc>
          <w:tcPr>
            <w:tcW w:w="948"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244.75</w:t>
            </w:r>
          </w:p>
        </w:tc>
        <w:tc>
          <w:tcPr>
            <w:tcW w:w="130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200.89</w:t>
            </w:r>
          </w:p>
        </w:tc>
        <w:tc>
          <w:tcPr>
            <w:tcW w:w="8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66.42</w:t>
            </w:r>
          </w:p>
        </w:tc>
        <w:tc>
          <w:tcPr>
            <w:tcW w:w="740"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19.68</w:t>
            </w:r>
          </w:p>
        </w:tc>
        <w:tc>
          <w:tcPr>
            <w:tcW w:w="737"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2.91</w:t>
            </w:r>
          </w:p>
        </w:tc>
        <w:tc>
          <w:tcPr>
            <w:tcW w:w="753"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15.41</w:t>
            </w:r>
          </w:p>
        </w:tc>
        <w:tc>
          <w:tcPr>
            <w:tcW w:w="726" w:type="dxa"/>
            <w:tcBorders>
              <w:top w:val="nil"/>
              <w:left w:val="nil"/>
              <w:bottom w:val="nil"/>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2.64</w:t>
            </w:r>
          </w:p>
        </w:tc>
        <w:tc>
          <w:tcPr>
            <w:tcW w:w="614" w:type="dxa"/>
            <w:tcBorders>
              <w:top w:val="nil"/>
              <w:left w:val="nil"/>
              <w:bottom w:val="nil"/>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r w:rsidR="00F24219" w:rsidRPr="00262EED" w:rsidTr="00265C65">
        <w:trPr>
          <w:trHeight w:val="301"/>
        </w:trPr>
        <w:tc>
          <w:tcPr>
            <w:tcW w:w="1062" w:type="dxa"/>
            <w:tcBorders>
              <w:top w:val="nil"/>
              <w:left w:val="single" w:sz="4" w:space="0" w:color="auto"/>
              <w:bottom w:val="single" w:sz="4" w:space="0" w:color="auto"/>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8/18/11</w:t>
            </w:r>
          </w:p>
        </w:tc>
        <w:tc>
          <w:tcPr>
            <w:tcW w:w="1386" w:type="dxa"/>
            <w:tcBorders>
              <w:top w:val="nil"/>
              <w:left w:val="nil"/>
              <w:bottom w:val="single" w:sz="4" w:space="0" w:color="auto"/>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236.27</w:t>
            </w:r>
          </w:p>
        </w:tc>
        <w:tc>
          <w:tcPr>
            <w:tcW w:w="948" w:type="dxa"/>
            <w:tcBorders>
              <w:top w:val="nil"/>
              <w:left w:val="nil"/>
              <w:bottom w:val="single" w:sz="4" w:space="0" w:color="auto"/>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49.11</w:t>
            </w:r>
          </w:p>
        </w:tc>
        <w:tc>
          <w:tcPr>
            <w:tcW w:w="1307" w:type="dxa"/>
            <w:tcBorders>
              <w:top w:val="nil"/>
              <w:left w:val="nil"/>
              <w:bottom w:val="single" w:sz="4" w:space="0" w:color="auto"/>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190.02</w:t>
            </w:r>
          </w:p>
        </w:tc>
        <w:tc>
          <w:tcPr>
            <w:tcW w:w="837" w:type="dxa"/>
            <w:tcBorders>
              <w:top w:val="nil"/>
              <w:left w:val="nil"/>
              <w:bottom w:val="single" w:sz="4" w:space="0" w:color="auto"/>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61.24</w:t>
            </w:r>
          </w:p>
        </w:tc>
        <w:tc>
          <w:tcPr>
            <w:tcW w:w="740" w:type="dxa"/>
            <w:tcBorders>
              <w:top w:val="nil"/>
              <w:left w:val="nil"/>
              <w:bottom w:val="single" w:sz="4" w:space="0" w:color="auto"/>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19.76</w:t>
            </w:r>
          </w:p>
        </w:tc>
        <w:tc>
          <w:tcPr>
            <w:tcW w:w="737" w:type="dxa"/>
            <w:tcBorders>
              <w:top w:val="nil"/>
              <w:left w:val="nil"/>
              <w:bottom w:val="single" w:sz="4" w:space="0" w:color="auto"/>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3.21</w:t>
            </w:r>
          </w:p>
        </w:tc>
        <w:tc>
          <w:tcPr>
            <w:tcW w:w="753" w:type="dxa"/>
            <w:tcBorders>
              <w:top w:val="nil"/>
              <w:left w:val="nil"/>
              <w:bottom w:val="single" w:sz="4" w:space="0" w:color="auto"/>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15.22</w:t>
            </w:r>
          </w:p>
        </w:tc>
        <w:tc>
          <w:tcPr>
            <w:tcW w:w="726" w:type="dxa"/>
            <w:tcBorders>
              <w:top w:val="nil"/>
              <w:left w:val="nil"/>
              <w:bottom w:val="single" w:sz="4" w:space="0" w:color="auto"/>
              <w:right w:val="nil"/>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2.75</w:t>
            </w:r>
          </w:p>
        </w:tc>
        <w:tc>
          <w:tcPr>
            <w:tcW w:w="614" w:type="dxa"/>
            <w:tcBorders>
              <w:top w:val="nil"/>
              <w:left w:val="nil"/>
              <w:bottom w:val="single" w:sz="4" w:space="0" w:color="auto"/>
              <w:right w:val="single" w:sz="4" w:space="0" w:color="auto"/>
            </w:tcBorders>
            <w:shd w:val="clear" w:color="auto" w:fill="auto"/>
            <w:noWrap/>
            <w:vAlign w:val="bottom"/>
            <w:hideMark/>
          </w:tcPr>
          <w:p w:rsidR="00F24219" w:rsidRPr="00262EED" w:rsidRDefault="00F24219" w:rsidP="00265C65">
            <w:pPr>
              <w:jc w:val="right"/>
              <w:rPr>
                <w:rFonts w:ascii="Calibri" w:hAnsi="Calibri" w:cs="Calibri"/>
                <w:color w:val="000000"/>
                <w:sz w:val="22"/>
                <w:szCs w:val="22"/>
              </w:rPr>
            </w:pPr>
            <w:r w:rsidRPr="00262EED">
              <w:rPr>
                <w:rFonts w:ascii="Calibri" w:hAnsi="Calibri" w:cs="Calibri"/>
                <w:color w:val="000000"/>
                <w:sz w:val="22"/>
                <w:szCs w:val="22"/>
              </w:rPr>
              <w:t>0.00</w:t>
            </w:r>
          </w:p>
        </w:tc>
      </w:tr>
    </w:tbl>
    <w:p w:rsidR="00F24219" w:rsidRPr="00C0338A" w:rsidRDefault="00F24219" w:rsidP="000B229B">
      <w:pPr>
        <w:spacing w:line="480" w:lineRule="auto"/>
        <w:ind w:left="720" w:hanging="720"/>
        <w:rPr>
          <w:noProof/>
        </w:rPr>
      </w:pPr>
      <w:r>
        <w:br w:type="page"/>
      </w:r>
    </w:p>
    <w:p w:rsidR="00F24219" w:rsidRPr="00262EED" w:rsidRDefault="00F24219" w:rsidP="00265C65">
      <w:pPr>
        <w:jc w:val="center"/>
        <w:rPr>
          <w:b/>
          <w:sz w:val="28"/>
        </w:rPr>
      </w:pPr>
      <w:bookmarkStart w:id="28" w:name="_Toc143332866"/>
      <w:r w:rsidRPr="00262EED">
        <w:rPr>
          <w:b/>
          <w:sz w:val="28"/>
        </w:rPr>
        <w:lastRenderedPageBreak/>
        <w:t xml:space="preserve">Conclusions and </w:t>
      </w:r>
      <w:bookmarkEnd w:id="28"/>
      <w:r w:rsidRPr="00262EED">
        <w:rPr>
          <w:b/>
          <w:sz w:val="28"/>
        </w:rPr>
        <w:t>Future Research</w:t>
      </w:r>
    </w:p>
    <w:p w:rsidR="00F24219" w:rsidRPr="00C0338A" w:rsidRDefault="00F24219" w:rsidP="00265C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rsidR="00EA3F60" w:rsidRDefault="00F24219" w:rsidP="00265C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noProof/>
        </w:rPr>
      </w:pPr>
      <w:r w:rsidRPr="00C0338A">
        <w:rPr>
          <w:b/>
          <w:bCs/>
          <w:sz w:val="28"/>
          <w:szCs w:val="28"/>
        </w:rPr>
        <w:tab/>
      </w:r>
      <w:r w:rsidR="00EA3F60">
        <w:rPr>
          <w:noProof/>
        </w:rPr>
        <w:t>As biofuels continue to gain momentum as a gasoline alternative, feedstocks prices will begin to increase. Farmers will respond to the increase in higher prices by converting unused land (i.e. pastures and forests) into cropland (Sear</w:t>
      </w:r>
      <w:r w:rsidR="00947AC4">
        <w:rPr>
          <w:noProof/>
        </w:rPr>
        <w:t>chinger et al., 2008). It is thought that this conversion will</w:t>
      </w:r>
      <w:r w:rsidR="00EA3F60">
        <w:rPr>
          <w:noProof/>
        </w:rPr>
        <w:t xml:space="preserve"> lead to an overall increase in GHG emissions </w:t>
      </w:r>
      <w:r w:rsidR="00947AC4">
        <w:rPr>
          <w:noProof/>
        </w:rPr>
        <w:t>negating</w:t>
      </w:r>
      <w:r w:rsidR="00EA3F60">
        <w:rPr>
          <w:noProof/>
        </w:rPr>
        <w:t xml:space="preserve"> the feedstock carbon uptake credit biofuels receive (Searchinger et al., 2008). This four year study sheds light on the initial effects of land conversion from any system be it natural pasture system or a well established cropland system to switchgrass managed for biofuel production. </w:t>
      </w:r>
    </w:p>
    <w:p w:rsidR="00947AC4" w:rsidRDefault="00EA3F60" w:rsidP="00265C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noProof/>
        </w:rPr>
        <w:tab/>
      </w:r>
      <w:r w:rsidR="00F24219" w:rsidRPr="00C0338A">
        <w:t xml:space="preserve">The specific </w:t>
      </w:r>
      <w:r w:rsidR="00F24219">
        <w:t>objectives of the experiment were</w:t>
      </w:r>
      <w:r w:rsidR="00F24219" w:rsidRPr="00C0338A">
        <w:t xml:space="preserve"> 1) to measure annual CO</w:t>
      </w:r>
      <w:r w:rsidR="00F24219" w:rsidRPr="00C0338A">
        <w:rPr>
          <w:vertAlign w:val="subscript"/>
        </w:rPr>
        <w:t>2</w:t>
      </w:r>
      <w:r w:rsidR="00F24219" w:rsidRPr="00C0338A">
        <w:t xml:space="preserve"> respiration from soil under switchgrass; and 2) to use both the soil CO</w:t>
      </w:r>
      <w:r w:rsidR="00F24219" w:rsidRPr="00C0338A">
        <w:rPr>
          <w:vertAlign w:val="subscript"/>
        </w:rPr>
        <w:t>2</w:t>
      </w:r>
      <w:r w:rsidR="00F24219" w:rsidRPr="00C0338A">
        <w:t xml:space="preserve"> data and the below ground carbon storage data to better understand the soil carbon dynamics under bioenergy production</w:t>
      </w:r>
      <w:r w:rsidR="00947AC4">
        <w:t>. From the research for achieving our first objective,</w:t>
      </w:r>
      <w:r w:rsidR="00F24219">
        <w:t xml:space="preserve"> </w:t>
      </w:r>
      <w:r w:rsidR="00947AC4">
        <w:t>I was</w:t>
      </w:r>
      <w:r w:rsidR="00F24219">
        <w:t xml:space="preserve"> able to point out some factors that must be addressed when measuring changes in SOC. The assumption was that there would be evident changes in SOC storage over the four year experiment. This proved to be an inaccurate assumption. Four years may not be enough time to allow the system to equilibrate and begin to see the actual effects of the change in cropping system from conventional cropping to bioenergy production. The major differences between treatments</w:t>
      </w:r>
      <w:r w:rsidR="00947AC4">
        <w:t xml:space="preserve"> turned out to</w:t>
      </w:r>
      <w:r w:rsidR="00F24219">
        <w:t xml:space="preserve"> initial SOC content and not necessarily the treatment themselves. </w:t>
      </w:r>
      <w:r w:rsidR="00947AC4">
        <w:t>This discovery is not novel and should be expected on such a short time scale.</w:t>
      </w:r>
    </w:p>
    <w:p w:rsidR="00F24219" w:rsidRPr="00947AC4" w:rsidRDefault="00947AC4" w:rsidP="00265C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szCs w:val="28"/>
        </w:rPr>
      </w:pPr>
      <w:r>
        <w:lastRenderedPageBreak/>
        <w:tab/>
      </w:r>
      <w:r w:rsidR="00F24219">
        <w:rPr>
          <w:bCs/>
          <w:szCs w:val="28"/>
        </w:rPr>
        <w:t xml:space="preserve">Scientists have found converting land from conventional agriculture to grasslands builds soil organic matter on a decadal time-scale rather than on annual time-scales </w:t>
      </w:r>
      <w:r w:rsidR="00F24219">
        <w:rPr>
          <w:bCs/>
          <w:noProof/>
          <w:szCs w:val="28"/>
        </w:rPr>
        <w:t>(McLauchlan et al., 2006)</w:t>
      </w:r>
      <w:r w:rsidR="00F24219">
        <w:rPr>
          <w:bCs/>
          <w:szCs w:val="28"/>
        </w:rPr>
        <w:t>.</w:t>
      </w:r>
      <w:r w:rsidR="00F24219" w:rsidRPr="00C0338A">
        <w:rPr>
          <w:bCs/>
          <w:szCs w:val="28"/>
        </w:rPr>
        <w:t xml:space="preserve"> Combining data found in this study with a study conducted on the same area in 10 to15 years would be more thorough and conclusive in determining true system carbon changes.</w:t>
      </w:r>
      <w:r w:rsidR="00F24219">
        <w:rPr>
          <w:bCs/>
          <w:szCs w:val="28"/>
        </w:rPr>
        <w:t xml:space="preserve"> </w:t>
      </w:r>
      <w:r w:rsidR="00F24219" w:rsidRPr="00C0338A">
        <w:rPr>
          <w:bCs/>
          <w:szCs w:val="28"/>
        </w:rPr>
        <w:t>However, I expect that the time and expense that would go into this endeavor would be</w:t>
      </w:r>
      <w:r w:rsidR="00F24219">
        <w:rPr>
          <w:bCs/>
          <w:szCs w:val="28"/>
        </w:rPr>
        <w:t xml:space="preserve"> better used in other areas of study due to the one-time benefit of increasing SOC</w:t>
      </w:r>
      <w:r w:rsidR="00F24219" w:rsidRPr="00C0338A">
        <w:rPr>
          <w:bCs/>
          <w:szCs w:val="28"/>
        </w:rPr>
        <w:t>.</w:t>
      </w:r>
      <w:r w:rsidR="00F24219">
        <w:rPr>
          <w:bCs/>
          <w:szCs w:val="28"/>
        </w:rPr>
        <w:t xml:space="preserve"> The fact that</w:t>
      </w:r>
      <w:r w:rsidR="00F24219" w:rsidRPr="00C0338A">
        <w:rPr>
          <w:bCs/>
          <w:szCs w:val="28"/>
        </w:rPr>
        <w:t xml:space="preserve"> </w:t>
      </w:r>
      <w:r w:rsidR="00F24219">
        <w:rPr>
          <w:bCs/>
          <w:szCs w:val="28"/>
        </w:rPr>
        <w:t>significant carbon gains occur</w:t>
      </w:r>
      <w:r w:rsidR="00F24219" w:rsidRPr="00C0338A">
        <w:rPr>
          <w:bCs/>
          <w:szCs w:val="28"/>
        </w:rPr>
        <w:t xml:space="preserve"> after 10 to 15 years </w:t>
      </w:r>
      <w:r w:rsidR="00F24219">
        <w:rPr>
          <w:bCs/>
          <w:szCs w:val="28"/>
        </w:rPr>
        <w:t>and</w:t>
      </w:r>
      <w:r w:rsidR="00F24219" w:rsidRPr="00C0338A">
        <w:rPr>
          <w:bCs/>
          <w:szCs w:val="28"/>
        </w:rPr>
        <w:t xml:space="preserve"> switchgrass </w:t>
      </w:r>
      <w:r w:rsidR="00F24219">
        <w:rPr>
          <w:bCs/>
          <w:szCs w:val="28"/>
        </w:rPr>
        <w:t xml:space="preserve">must be replanted after 15 to 20 years </w:t>
      </w:r>
      <w:r w:rsidR="00F24219" w:rsidRPr="00C0338A">
        <w:rPr>
          <w:bCs/>
          <w:szCs w:val="28"/>
        </w:rPr>
        <w:t xml:space="preserve">disrupting the system </w:t>
      </w:r>
      <w:r w:rsidR="00F24219">
        <w:rPr>
          <w:bCs/>
          <w:szCs w:val="28"/>
        </w:rPr>
        <w:t xml:space="preserve">unlike native grasslands </w:t>
      </w:r>
      <w:r w:rsidR="00F24219" w:rsidRPr="00C0338A">
        <w:rPr>
          <w:bCs/>
          <w:szCs w:val="28"/>
        </w:rPr>
        <w:t xml:space="preserve">does not indicate that switchgrass should in fact be judged based on its ability to provide carbon to the soil. </w:t>
      </w:r>
    </w:p>
    <w:p w:rsidR="003D281D" w:rsidRDefault="00F24219" w:rsidP="00265C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bCs/>
          <w:sz w:val="28"/>
          <w:szCs w:val="28"/>
        </w:rPr>
        <w:tab/>
      </w:r>
      <w:r>
        <w:rPr>
          <w:bCs/>
          <w:szCs w:val="28"/>
        </w:rPr>
        <w:t>The</w:t>
      </w:r>
      <w:r w:rsidR="00947AC4">
        <w:rPr>
          <w:bCs/>
          <w:szCs w:val="28"/>
        </w:rPr>
        <w:t xml:space="preserve"> second</w:t>
      </w:r>
      <w:r>
        <w:rPr>
          <w:bCs/>
          <w:szCs w:val="28"/>
        </w:rPr>
        <w:t xml:space="preserve"> objective of combining SOC measurements with CO</w:t>
      </w:r>
      <w:r>
        <w:rPr>
          <w:bCs/>
          <w:szCs w:val="28"/>
          <w:vertAlign w:val="subscript"/>
        </w:rPr>
        <w:t>2</w:t>
      </w:r>
      <w:r>
        <w:rPr>
          <w:bCs/>
          <w:szCs w:val="28"/>
        </w:rPr>
        <w:t xml:space="preserve"> measurements also proved to be more complicated than originally anticipated. </w:t>
      </w:r>
      <w:r>
        <w:t>Co</w:t>
      </w:r>
      <w:r w:rsidR="00947AC4">
        <w:t>mparing the SOC data in ChapterI</w:t>
      </w:r>
      <w:r>
        <w:t>1 with the data regarding</w:t>
      </w:r>
      <w:r w:rsidR="00947AC4">
        <w:t xml:space="preserve"> soil</w:t>
      </w:r>
      <w:r>
        <w:t xml:space="preserve"> CO</w:t>
      </w:r>
      <w:r>
        <w:rPr>
          <w:vertAlign w:val="subscript"/>
        </w:rPr>
        <w:t>2</w:t>
      </w:r>
      <w:r w:rsidR="00947AC4" w:rsidRPr="00947AC4">
        <w:t xml:space="preserve"> flux</w:t>
      </w:r>
      <w:r w:rsidR="00947AC4">
        <w:t xml:space="preserve"> in Chapter II</w:t>
      </w:r>
      <w:r>
        <w:t xml:space="preserve"> would require a great deal of assumptions including the microbial population on all sites was relatively similar, the original SOC content was similar, the soil moisture and temperature were similar, the productivity of the switchgrass was similar, and soil nutrie</w:t>
      </w:r>
      <w:r w:rsidR="00947AC4">
        <w:t xml:space="preserve">nt content was similar. There </w:t>
      </w:r>
      <w:r w:rsidR="00894041">
        <w:t>were also discrepancies</w:t>
      </w:r>
      <w:r>
        <w:t xml:space="preserve"> regarding the calculation of bulk SOC measurements. </w:t>
      </w:r>
      <w:r w:rsidRPr="00A166A4">
        <w:rPr>
          <w:noProof/>
        </w:rPr>
        <w:t>Theoretically as soil organic carbon increases</w:t>
      </w:r>
      <w:r w:rsidR="00947AC4">
        <w:rPr>
          <w:noProof/>
        </w:rPr>
        <w:t>,</w:t>
      </w:r>
      <w:r w:rsidRPr="00A166A4">
        <w:rPr>
          <w:noProof/>
        </w:rPr>
        <w:t xml:space="preserve"> bulk density should decrease due the aggragation effects of soil organic matter (SOM). The same analysis done above using SOC stock (kg ha</w:t>
      </w:r>
      <w:r w:rsidRPr="00A166A4">
        <w:rPr>
          <w:noProof/>
          <w:vertAlign w:val="superscript"/>
        </w:rPr>
        <w:t>-1</w:t>
      </w:r>
      <w:r w:rsidRPr="00A166A4">
        <w:rPr>
          <w:noProof/>
        </w:rPr>
        <w:t xml:space="preserve">) rather than percent SOC would result in different results. As mentioned one would expect that as SOC increases bulk density would decrease, but when calculated using SOC stocks the effect is opposite. Bulk density for this study was </w:t>
      </w:r>
      <w:r w:rsidRPr="00A166A4">
        <w:rPr>
          <w:noProof/>
        </w:rPr>
        <w:lastRenderedPageBreak/>
        <w:t>not taken at every sampling point and depth. Therefore the bulk density applied to determine SOC stock was an average bulk density over those samples taken at a given depth and year. The resulting assumption is that bulk density is fairly uniform across sampling sites. Even if that case could be made there still lies a problem in comparing changes in SOC on a stock basis. One such problem is if the percent SOC is decreasing and the bulk density is increasing calculation for SOC stock shows an increase. The results then just explain a change in bulk density and not an actual increase in SOC.</w:t>
      </w:r>
      <w:r>
        <w:rPr>
          <w:noProof/>
        </w:rPr>
        <w:t xml:space="preserve"> </w:t>
      </w:r>
      <w:r>
        <w:t xml:space="preserve"> These are assumptions that cannot be made and therefore these systems cannot in good science be compared on any specific level. </w:t>
      </w:r>
    </w:p>
    <w:p w:rsidR="00F24219" w:rsidRPr="003D281D" w:rsidRDefault="003D281D" w:rsidP="00265C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To have more applicable results, a</w:t>
      </w:r>
      <w:r w:rsidR="00F24219">
        <w:t xml:space="preserve"> smaller CO</w:t>
      </w:r>
      <w:r w:rsidR="00F24219">
        <w:rPr>
          <w:vertAlign w:val="subscript"/>
        </w:rPr>
        <w:t>2</w:t>
      </w:r>
      <w:r w:rsidR="00F24219">
        <w:t xml:space="preserve"> field study should be used to look at specific treatments effects on CO</w:t>
      </w:r>
      <w:r w:rsidR="00F24219">
        <w:rPr>
          <w:vertAlign w:val="subscript"/>
        </w:rPr>
        <w:t>2</w:t>
      </w:r>
      <w:r w:rsidR="00F24219">
        <w:t xml:space="preserve"> flux. Specific treatments were not of scientific interest in this study because the objective was to obtain a thorough data set that would provide information on an hourly timescale to allow for more complete and accurate CO</w:t>
      </w:r>
      <w:r w:rsidR="00F24219">
        <w:rPr>
          <w:vertAlign w:val="subscript"/>
        </w:rPr>
        <w:t>2</w:t>
      </w:r>
      <w:r w:rsidR="00F24219">
        <w:t xml:space="preserve"> flux measurements in the soil system. </w:t>
      </w:r>
      <w:r>
        <w:t>In the future, I would recommend running side by side comparisons of CO</w:t>
      </w:r>
      <w:r>
        <w:rPr>
          <w:vertAlign w:val="subscript"/>
        </w:rPr>
        <w:t>2</w:t>
      </w:r>
      <w:r>
        <w:t xml:space="preserve"> flux treatments of interest. </w:t>
      </w:r>
    </w:p>
    <w:p w:rsidR="00F24219" w:rsidRPr="003D281D" w:rsidRDefault="00E5793B" w:rsidP="00265C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sz w:val="28"/>
          <w:szCs w:val="28"/>
        </w:rPr>
      </w:pPr>
      <w:r>
        <w:tab/>
      </w:r>
      <w:r w:rsidR="003D281D">
        <w:rPr>
          <w:bCs/>
          <w:szCs w:val="28"/>
        </w:rPr>
        <w:t>Switchgrass has proven itself able to restore degraded land and prevent erosion.</w:t>
      </w:r>
      <w:r w:rsidR="003D281D" w:rsidRPr="00C0338A">
        <w:rPr>
          <w:bCs/>
          <w:szCs w:val="28"/>
        </w:rPr>
        <w:t xml:space="preserve"> The main focus then should be on using it to rebuild soil structure and decrease erosion in degraded soils. </w:t>
      </w:r>
      <w:r w:rsidR="003D281D">
        <w:rPr>
          <w:bCs/>
          <w:szCs w:val="28"/>
        </w:rPr>
        <w:t>Switchgrass research</w:t>
      </w:r>
      <w:r w:rsidR="003D281D" w:rsidRPr="00C0338A">
        <w:rPr>
          <w:bCs/>
          <w:szCs w:val="28"/>
        </w:rPr>
        <w:t xml:space="preserve"> should also be focused</w:t>
      </w:r>
      <w:r w:rsidR="003D281D">
        <w:rPr>
          <w:bCs/>
          <w:szCs w:val="28"/>
        </w:rPr>
        <w:t xml:space="preserve"> on</w:t>
      </w:r>
      <w:r w:rsidR="003D281D" w:rsidRPr="00C0338A">
        <w:rPr>
          <w:bCs/>
          <w:szCs w:val="28"/>
        </w:rPr>
        <w:t xml:space="preserve"> eliminating the use of fertilizers</w:t>
      </w:r>
      <w:r w:rsidR="003D281D">
        <w:rPr>
          <w:bCs/>
          <w:szCs w:val="28"/>
        </w:rPr>
        <w:t xml:space="preserve"> to further decrease the GHG emissions from biofuel production. Regional and national soil CO</w:t>
      </w:r>
      <w:r w:rsidR="003D281D">
        <w:rPr>
          <w:bCs/>
          <w:szCs w:val="28"/>
          <w:vertAlign w:val="subscript"/>
        </w:rPr>
        <w:t>2</w:t>
      </w:r>
      <w:r w:rsidR="003D281D">
        <w:rPr>
          <w:bCs/>
          <w:szCs w:val="28"/>
        </w:rPr>
        <w:t xml:space="preserve"> flux studies are still limited. </w:t>
      </w:r>
      <w:r>
        <w:rPr>
          <w:bCs/>
          <w:szCs w:val="28"/>
        </w:rPr>
        <w:t>Compiling regional annual soil CO</w:t>
      </w:r>
      <w:r>
        <w:rPr>
          <w:bCs/>
          <w:szCs w:val="28"/>
          <w:vertAlign w:val="subscript"/>
        </w:rPr>
        <w:t>2</w:t>
      </w:r>
      <w:r>
        <w:rPr>
          <w:bCs/>
          <w:szCs w:val="28"/>
        </w:rPr>
        <w:t xml:space="preserve"> flux research will allow a more accurate assessment of the carbon life cycle in soils used for bioenergy production. This combined research can also be used to strengthen soil CO</w:t>
      </w:r>
      <w:r>
        <w:rPr>
          <w:bCs/>
          <w:szCs w:val="28"/>
          <w:vertAlign w:val="subscript"/>
        </w:rPr>
        <w:t>2</w:t>
      </w:r>
      <w:r>
        <w:rPr>
          <w:bCs/>
          <w:szCs w:val="28"/>
        </w:rPr>
        <w:t xml:space="preserve"> </w:t>
      </w:r>
      <w:r>
        <w:rPr>
          <w:bCs/>
          <w:szCs w:val="28"/>
        </w:rPr>
        <w:lastRenderedPageBreak/>
        <w:t>flux modeling. Strengthening GHG models will result in more scientifically educated policy regarding land management and the development of biofuels in the United States.</w:t>
      </w:r>
      <w:r w:rsidR="003D281D">
        <w:rPr>
          <w:bCs/>
          <w:szCs w:val="28"/>
        </w:rPr>
        <w:t xml:space="preserve">  </w:t>
      </w:r>
    </w:p>
    <w:p w:rsidR="00F24219" w:rsidRPr="00C0338A" w:rsidRDefault="00F242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F24219" w:rsidRPr="00C0338A" w:rsidRDefault="00F242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F24219" w:rsidRPr="00C0338A" w:rsidRDefault="00F242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F24219" w:rsidRPr="00C0338A" w:rsidRDefault="00F242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F24219" w:rsidRPr="00C0338A" w:rsidRDefault="00F242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F24219" w:rsidRPr="00C0338A" w:rsidRDefault="00F242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F24219" w:rsidRPr="00C0338A" w:rsidRDefault="00F242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F24219" w:rsidRPr="00C0338A" w:rsidRDefault="00F242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F24219" w:rsidRPr="00564181" w:rsidRDefault="00F24219" w:rsidP="00265C65">
      <w:pPr>
        <w:jc w:val="center"/>
        <w:rPr>
          <w:b/>
        </w:rPr>
      </w:pPr>
      <w:r w:rsidRPr="00C0338A">
        <w:br w:type="page"/>
      </w:r>
      <w:bookmarkStart w:id="29" w:name="_Toc143332867"/>
      <w:r w:rsidRPr="00564181">
        <w:rPr>
          <w:b/>
          <w:sz w:val="28"/>
        </w:rPr>
        <w:lastRenderedPageBreak/>
        <w:t>REFERENCES</w:t>
      </w:r>
      <w:bookmarkEnd w:id="29"/>
    </w:p>
    <w:p w:rsidR="00F24219" w:rsidRPr="00C0338A" w:rsidRDefault="00F24219" w:rsidP="00265C65"/>
    <w:p w:rsidR="00F24219" w:rsidRPr="00C0338A" w:rsidRDefault="00F24219" w:rsidP="00E5793B">
      <w:pPr>
        <w:spacing w:line="480" w:lineRule="auto"/>
        <w:ind w:left="720" w:hanging="720"/>
        <w:rPr>
          <w:noProof/>
        </w:rPr>
      </w:pPr>
      <w:r>
        <w:rPr>
          <w:noProof/>
        </w:rPr>
        <w:t>McLauchlan K.K., Hobbie S.E., Post W.M. (2006) Conversion From Agriculture To Grassland Builds Soil Organic Matter On Decadal Timescales. Ecological Applications 16:143-153. DOI: 10.1890/04-1650.</w:t>
      </w:r>
    </w:p>
    <w:p w:rsidR="00F24219" w:rsidRPr="00C0338A" w:rsidRDefault="00F24219" w:rsidP="00265C6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E5793B" w:rsidRDefault="00E5793B" w:rsidP="00E5793B">
      <w:pPr>
        <w:spacing w:line="480" w:lineRule="auto"/>
        <w:ind w:left="720" w:hanging="720"/>
        <w:rPr>
          <w:noProof/>
        </w:rPr>
      </w:pPr>
      <w:r>
        <w:rPr>
          <w:noProof/>
        </w:rPr>
        <w:t>Searchinger T., Heimlich R., Houghton R.A., Dong F.X., Elobeid A., Fabiosa J., Tokgoz S., Hayes D., Yu T.H. (2008) Use of US croplands for biofuels increases greenhouse gases through emissions from land-use change. Science 319:1238-1240. DOI: 10.1126/science.1151861.</w:t>
      </w:r>
    </w:p>
    <w:p w:rsidR="00F24219" w:rsidRPr="00E645B0" w:rsidRDefault="00F24219" w:rsidP="00265C6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r w:rsidRPr="00C0338A">
        <w:rPr>
          <w:noProof/>
        </w:rPr>
        <w:br w:type="page"/>
      </w:r>
      <w:bookmarkStart w:id="30" w:name="_Toc143332869"/>
      <w:r w:rsidRPr="00E645B0">
        <w:rPr>
          <w:rStyle w:val="StyleHeading1CenteredChar"/>
          <w:rFonts w:ascii="Times New Roman" w:hAnsi="Times New Roman"/>
        </w:rPr>
        <w:lastRenderedPageBreak/>
        <w:t>Vita</w:t>
      </w:r>
      <w:bookmarkEnd w:id="30"/>
    </w:p>
    <w:p w:rsidR="00F24219" w:rsidRPr="00C0338A" w:rsidRDefault="00F24219" w:rsidP="00265C65"/>
    <w:p w:rsidR="00F24219" w:rsidRPr="00C0338A" w:rsidRDefault="00F24219" w:rsidP="00265C65">
      <w:r w:rsidRPr="00C0338A">
        <w:tab/>
      </w:r>
      <w:r w:rsidR="00AC7F4D">
        <w:t>Leah Soro is</w:t>
      </w:r>
      <w:r>
        <w:t xml:space="preserve"> from Knoxville, TN</w:t>
      </w:r>
      <w:r w:rsidR="0025051D">
        <w:t xml:space="preserve"> where she graduated from West High School in 2005</w:t>
      </w:r>
      <w:r>
        <w:t xml:space="preserve">. She graduated from the University of Tennessee in 2009 with a Bachelors of Science in Environmental Science. She </w:t>
      </w:r>
      <w:r w:rsidR="0025051D">
        <w:t>was a letter winner in track</w:t>
      </w:r>
      <w:r>
        <w:t xml:space="preserve"> and cross country during her undergraduate studies. She completed her Masters of Science in Environmental and Soil Science in 2011 from the University of Tennessee. She is currently living</w:t>
      </w:r>
      <w:r w:rsidR="00E645B0">
        <w:t xml:space="preserve"> and working</w:t>
      </w:r>
      <w:r>
        <w:t xml:space="preserve"> in Austin, TX with her fiancée Gray Skinner.</w:t>
      </w:r>
    </w:p>
    <w:p w:rsidR="00F24219" w:rsidRDefault="00F24219" w:rsidP="00265C65"/>
    <w:p w:rsidR="00F24219" w:rsidRDefault="00F24219" w:rsidP="00265C65"/>
    <w:p w:rsidR="00F24219" w:rsidRPr="00C0338A" w:rsidRDefault="00F24219" w:rsidP="00265C65"/>
    <w:p w:rsidR="0019126A" w:rsidRDefault="0019126A"/>
    <w:sectPr w:rsidR="0019126A" w:rsidSect="00083574">
      <w:footerReference w:type="first" r:id="rId33"/>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7DF" w:rsidRDefault="005127DF">
      <w:r>
        <w:separator/>
      </w:r>
    </w:p>
  </w:endnote>
  <w:endnote w:type="continuationSeparator" w:id="0">
    <w:p w:rsidR="005127DF" w:rsidRDefault="0051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5ED" w:rsidRDefault="00E025ED">
    <w:pPr>
      <w:framePr w:wrap="notBeside" w:hAnchor="text" w:xAlign="center"/>
      <w:rPr>
        <w:rFonts w:ascii="Arial" w:hAnsi="Arial" w:cs="Arial"/>
        <w:noProof/>
      </w:rPr>
    </w:pPr>
  </w:p>
  <w:p w:rsidR="00E025ED" w:rsidRDefault="00E025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96399"/>
      <w:docPartObj>
        <w:docPartGallery w:val="Page Numbers (Bottom of Page)"/>
        <w:docPartUnique/>
      </w:docPartObj>
    </w:sdtPr>
    <w:sdtEndPr>
      <w:rPr>
        <w:noProof/>
      </w:rPr>
    </w:sdtEndPr>
    <w:sdtContent>
      <w:p w:rsidR="00E025ED" w:rsidRDefault="00E025ED">
        <w:pPr>
          <w:pStyle w:val="Footer"/>
          <w:jc w:val="center"/>
        </w:pPr>
        <w:r>
          <w:fldChar w:fldCharType="begin"/>
        </w:r>
        <w:r>
          <w:instrText xml:space="preserve"> PAGE   \* MERGEFORMAT </w:instrText>
        </w:r>
        <w:r>
          <w:fldChar w:fldCharType="separate"/>
        </w:r>
        <w:r w:rsidR="00243C89">
          <w:rPr>
            <w:noProof/>
          </w:rPr>
          <w:t>iii</w:t>
        </w:r>
        <w:r>
          <w:rPr>
            <w:noProof/>
          </w:rPr>
          <w:fldChar w:fldCharType="end"/>
        </w:r>
      </w:p>
    </w:sdtContent>
  </w:sdt>
  <w:p w:rsidR="00E025ED" w:rsidRDefault="00E025E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5ED" w:rsidRDefault="00E025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7DF" w:rsidRDefault="005127DF">
      <w:r>
        <w:separator/>
      </w:r>
    </w:p>
  </w:footnote>
  <w:footnote w:type="continuationSeparator" w:id="0">
    <w:p w:rsidR="005127DF" w:rsidRDefault="00512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5ED" w:rsidRDefault="00E025ED">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5ED" w:rsidRDefault="00E025ED">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7C1229B"/>
    <w:multiLevelType w:val="hybridMultilevel"/>
    <w:tmpl w:val="24A8B8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8">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1">
    <w:nsid w:val="3A116F27"/>
    <w:multiLevelType w:val="hybridMultilevel"/>
    <w:tmpl w:val="8B1A04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C50782"/>
    <w:multiLevelType w:val="hybridMultilevel"/>
    <w:tmpl w:val="FCFCE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8">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70A5BB4"/>
    <w:multiLevelType w:val="hybridMultilevel"/>
    <w:tmpl w:val="89BA2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4">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5">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711470D"/>
    <w:multiLevelType w:val="hybridMultilevel"/>
    <w:tmpl w:val="BB4490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C2E7BE7"/>
    <w:multiLevelType w:val="hybridMultilevel"/>
    <w:tmpl w:val="8BF846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1">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7"/>
  </w:num>
  <w:num w:numId="3">
    <w:abstractNumId w:val="17"/>
  </w:num>
  <w:num w:numId="4">
    <w:abstractNumId w:val="40"/>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3"/>
  </w:num>
  <w:num w:numId="8">
    <w:abstractNumId w:val="24"/>
  </w:num>
  <w:num w:numId="9">
    <w:abstractNumId w:val="7"/>
  </w:num>
  <w:num w:numId="10">
    <w:abstractNumId w:val="20"/>
  </w:num>
  <w:num w:numId="11">
    <w:abstractNumId w:val="33"/>
  </w:num>
  <w:num w:numId="12">
    <w:abstractNumId w:val="34"/>
  </w:num>
  <w:num w:numId="13">
    <w:abstractNumId w:val="14"/>
  </w:num>
  <w:num w:numId="14">
    <w:abstractNumId w:val="8"/>
  </w:num>
  <w:num w:numId="15">
    <w:abstractNumId w:val="1"/>
  </w:num>
  <w:num w:numId="16">
    <w:abstractNumId w:val="5"/>
  </w:num>
  <w:num w:numId="17">
    <w:abstractNumId w:val="44"/>
  </w:num>
  <w:num w:numId="18">
    <w:abstractNumId w:val="35"/>
  </w:num>
  <w:num w:numId="19">
    <w:abstractNumId w:val="16"/>
  </w:num>
  <w:num w:numId="20">
    <w:abstractNumId w:val="39"/>
  </w:num>
  <w:num w:numId="21">
    <w:abstractNumId w:val="9"/>
  </w:num>
  <w:num w:numId="22">
    <w:abstractNumId w:val="19"/>
  </w:num>
  <w:num w:numId="23">
    <w:abstractNumId w:val="43"/>
  </w:num>
  <w:num w:numId="24">
    <w:abstractNumId w:val="18"/>
  </w:num>
  <w:num w:numId="25">
    <w:abstractNumId w:val="11"/>
  </w:num>
  <w:num w:numId="26">
    <w:abstractNumId w:val="3"/>
  </w:num>
  <w:num w:numId="27">
    <w:abstractNumId w:val="23"/>
  </w:num>
  <w:num w:numId="28">
    <w:abstractNumId w:val="41"/>
  </w:num>
  <w:num w:numId="29">
    <w:abstractNumId w:val="25"/>
  </w:num>
  <w:num w:numId="30">
    <w:abstractNumId w:val="2"/>
  </w:num>
  <w:num w:numId="31">
    <w:abstractNumId w:val="26"/>
  </w:num>
  <w:num w:numId="32">
    <w:abstractNumId w:val="30"/>
  </w:num>
  <w:num w:numId="33">
    <w:abstractNumId w:val="10"/>
  </w:num>
  <w:num w:numId="34">
    <w:abstractNumId w:val="29"/>
  </w:num>
  <w:num w:numId="35">
    <w:abstractNumId w:val="37"/>
  </w:num>
  <w:num w:numId="36">
    <w:abstractNumId w:val="6"/>
  </w:num>
  <w:num w:numId="37">
    <w:abstractNumId w:val="12"/>
  </w:num>
  <w:num w:numId="38">
    <w:abstractNumId w:val="15"/>
  </w:num>
  <w:num w:numId="39">
    <w:abstractNumId w:val="28"/>
  </w:num>
  <w:num w:numId="40">
    <w:abstractNumId w:val="42"/>
  </w:num>
  <w:num w:numId="41">
    <w:abstractNumId w:val="32"/>
  </w:num>
  <w:num w:numId="42">
    <w:abstractNumId w:val="38"/>
  </w:num>
  <w:num w:numId="43">
    <w:abstractNumId w:val="36"/>
  </w:num>
  <w:num w:numId="44">
    <w:abstractNumId w:val="31"/>
  </w:num>
  <w:num w:numId="45">
    <w:abstractNumId w:val="21"/>
  </w:num>
  <w:num w:numId="46">
    <w:abstractNumId w:val="22"/>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s>
  <w:rsids>
    <w:rsidRoot w:val="00F24219"/>
    <w:rsid w:val="00005749"/>
    <w:rsid w:val="00020B82"/>
    <w:rsid w:val="00035B96"/>
    <w:rsid w:val="00046CE0"/>
    <w:rsid w:val="00083574"/>
    <w:rsid w:val="000848DC"/>
    <w:rsid w:val="000B229B"/>
    <w:rsid w:val="000E4575"/>
    <w:rsid w:val="000F102B"/>
    <w:rsid w:val="00167033"/>
    <w:rsid w:val="00187B76"/>
    <w:rsid w:val="0019126A"/>
    <w:rsid w:val="00194406"/>
    <w:rsid w:val="001A07B9"/>
    <w:rsid w:val="001B30F2"/>
    <w:rsid w:val="001B310F"/>
    <w:rsid w:val="001E11FC"/>
    <w:rsid w:val="001F199F"/>
    <w:rsid w:val="00227135"/>
    <w:rsid w:val="00227FF9"/>
    <w:rsid w:val="00243C89"/>
    <w:rsid w:val="0025051D"/>
    <w:rsid w:val="00255551"/>
    <w:rsid w:val="00265C65"/>
    <w:rsid w:val="00295A82"/>
    <w:rsid w:val="002E1B0A"/>
    <w:rsid w:val="00317FAE"/>
    <w:rsid w:val="00332B03"/>
    <w:rsid w:val="00377CA2"/>
    <w:rsid w:val="00395899"/>
    <w:rsid w:val="003A6404"/>
    <w:rsid w:val="003A7AA4"/>
    <w:rsid w:val="003D281D"/>
    <w:rsid w:val="003E5725"/>
    <w:rsid w:val="003F76BE"/>
    <w:rsid w:val="004404C6"/>
    <w:rsid w:val="00456EBB"/>
    <w:rsid w:val="00463B77"/>
    <w:rsid w:val="0049400D"/>
    <w:rsid w:val="004C2865"/>
    <w:rsid w:val="004D05E9"/>
    <w:rsid w:val="004D25A0"/>
    <w:rsid w:val="004F4C4B"/>
    <w:rsid w:val="005127DF"/>
    <w:rsid w:val="00533231"/>
    <w:rsid w:val="005612A5"/>
    <w:rsid w:val="005B05B5"/>
    <w:rsid w:val="005C757E"/>
    <w:rsid w:val="005E7B92"/>
    <w:rsid w:val="00604A63"/>
    <w:rsid w:val="0060763B"/>
    <w:rsid w:val="00627E33"/>
    <w:rsid w:val="0063146A"/>
    <w:rsid w:val="006341EA"/>
    <w:rsid w:val="00657309"/>
    <w:rsid w:val="006A161A"/>
    <w:rsid w:val="006B301D"/>
    <w:rsid w:val="006B60E7"/>
    <w:rsid w:val="006D2EE3"/>
    <w:rsid w:val="006F186C"/>
    <w:rsid w:val="006F3985"/>
    <w:rsid w:val="00713D85"/>
    <w:rsid w:val="00721DDF"/>
    <w:rsid w:val="00742E98"/>
    <w:rsid w:val="00754729"/>
    <w:rsid w:val="00786ECA"/>
    <w:rsid w:val="007A5150"/>
    <w:rsid w:val="007D5C68"/>
    <w:rsid w:val="00802F03"/>
    <w:rsid w:val="008042F5"/>
    <w:rsid w:val="00805839"/>
    <w:rsid w:val="00820DF9"/>
    <w:rsid w:val="008274A8"/>
    <w:rsid w:val="00851749"/>
    <w:rsid w:val="00894041"/>
    <w:rsid w:val="008955D4"/>
    <w:rsid w:val="008C5B54"/>
    <w:rsid w:val="008E7187"/>
    <w:rsid w:val="008F718E"/>
    <w:rsid w:val="009069C8"/>
    <w:rsid w:val="00912FA1"/>
    <w:rsid w:val="009147F2"/>
    <w:rsid w:val="0092313B"/>
    <w:rsid w:val="00937E34"/>
    <w:rsid w:val="00947AC4"/>
    <w:rsid w:val="009538DC"/>
    <w:rsid w:val="00954205"/>
    <w:rsid w:val="00963D47"/>
    <w:rsid w:val="00983ADB"/>
    <w:rsid w:val="009A31CC"/>
    <w:rsid w:val="009B3F78"/>
    <w:rsid w:val="009C7BA3"/>
    <w:rsid w:val="009E70C1"/>
    <w:rsid w:val="00A05AFD"/>
    <w:rsid w:val="00A11F23"/>
    <w:rsid w:val="00A26FA0"/>
    <w:rsid w:val="00A326F3"/>
    <w:rsid w:val="00A43A61"/>
    <w:rsid w:val="00A71A9C"/>
    <w:rsid w:val="00AC7F4D"/>
    <w:rsid w:val="00AE351A"/>
    <w:rsid w:val="00AE7CE0"/>
    <w:rsid w:val="00B263C8"/>
    <w:rsid w:val="00B676C6"/>
    <w:rsid w:val="00B75563"/>
    <w:rsid w:val="00BD6815"/>
    <w:rsid w:val="00BF5262"/>
    <w:rsid w:val="00BF6FA9"/>
    <w:rsid w:val="00C47C91"/>
    <w:rsid w:val="00C658CB"/>
    <w:rsid w:val="00C827BA"/>
    <w:rsid w:val="00CB1B20"/>
    <w:rsid w:val="00CD3D79"/>
    <w:rsid w:val="00CE59BF"/>
    <w:rsid w:val="00D01BB5"/>
    <w:rsid w:val="00D33CB8"/>
    <w:rsid w:val="00D357D5"/>
    <w:rsid w:val="00D83FC5"/>
    <w:rsid w:val="00DA3C82"/>
    <w:rsid w:val="00DC17D1"/>
    <w:rsid w:val="00DE14AB"/>
    <w:rsid w:val="00DF7EF4"/>
    <w:rsid w:val="00E025ED"/>
    <w:rsid w:val="00E17DF1"/>
    <w:rsid w:val="00E25172"/>
    <w:rsid w:val="00E5793B"/>
    <w:rsid w:val="00E645B0"/>
    <w:rsid w:val="00E82A5F"/>
    <w:rsid w:val="00EA3F60"/>
    <w:rsid w:val="00EA6B94"/>
    <w:rsid w:val="00EC16C1"/>
    <w:rsid w:val="00EE2CAE"/>
    <w:rsid w:val="00EF06F5"/>
    <w:rsid w:val="00F24219"/>
    <w:rsid w:val="00F33C3D"/>
    <w:rsid w:val="00F940EA"/>
    <w:rsid w:val="00F9524F"/>
    <w:rsid w:val="00FC3406"/>
    <w:rsid w:val="00FC66DA"/>
    <w:rsid w:val="00FE4215"/>
    <w:rsid w:val="00FF2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21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24219"/>
    <w:pPr>
      <w:autoSpaceDE w:val="0"/>
      <w:autoSpaceDN w:val="0"/>
      <w:adjustRightInd w:val="0"/>
      <w:outlineLvl w:val="0"/>
    </w:pPr>
    <w:rPr>
      <w:rFonts w:ascii="Arial" w:hAnsi="Arial"/>
      <w:b/>
      <w:bCs/>
      <w:sz w:val="28"/>
    </w:rPr>
  </w:style>
  <w:style w:type="paragraph" w:styleId="Heading2">
    <w:name w:val="heading 2"/>
    <w:basedOn w:val="Normal"/>
    <w:next w:val="Normal"/>
    <w:link w:val="Heading2Char"/>
    <w:qFormat/>
    <w:rsid w:val="00F24219"/>
    <w:pPr>
      <w:keepNext/>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qFormat/>
    <w:rsid w:val="00F24219"/>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4219"/>
    <w:rPr>
      <w:rFonts w:ascii="Arial" w:eastAsia="Times New Roman" w:hAnsi="Arial" w:cs="Times New Roman"/>
      <w:b/>
      <w:bCs/>
      <w:sz w:val="28"/>
      <w:szCs w:val="24"/>
    </w:rPr>
  </w:style>
  <w:style w:type="character" w:customStyle="1" w:styleId="Heading2Char">
    <w:name w:val="Heading 2 Char"/>
    <w:basedOn w:val="DefaultParagraphFont"/>
    <w:link w:val="Heading2"/>
    <w:rsid w:val="00F24219"/>
    <w:rPr>
      <w:rFonts w:ascii="Arial" w:eastAsia="Times New Roman" w:hAnsi="Arial" w:cs="Arial"/>
      <w:b/>
      <w:bCs/>
      <w:iCs/>
      <w:sz w:val="28"/>
      <w:szCs w:val="28"/>
    </w:rPr>
  </w:style>
  <w:style w:type="character" w:customStyle="1" w:styleId="Heading3Char">
    <w:name w:val="Heading 3 Char"/>
    <w:basedOn w:val="DefaultParagraphFont"/>
    <w:link w:val="Heading3"/>
    <w:rsid w:val="00F24219"/>
    <w:rPr>
      <w:rFonts w:ascii="Arial" w:eastAsia="Times New Roman" w:hAnsi="Arial" w:cs="Arial"/>
      <w:b/>
      <w:bCs/>
      <w:i/>
      <w:sz w:val="24"/>
      <w:szCs w:val="26"/>
    </w:rPr>
  </w:style>
  <w:style w:type="paragraph" w:styleId="Footer">
    <w:name w:val="footer"/>
    <w:basedOn w:val="Normal"/>
    <w:link w:val="FooterChar"/>
    <w:uiPriority w:val="99"/>
    <w:rsid w:val="00F24219"/>
    <w:pPr>
      <w:tabs>
        <w:tab w:val="center" w:pos="4320"/>
        <w:tab w:val="right" w:pos="8640"/>
      </w:tabs>
    </w:pPr>
  </w:style>
  <w:style w:type="character" w:customStyle="1" w:styleId="FooterChar">
    <w:name w:val="Footer Char"/>
    <w:basedOn w:val="DefaultParagraphFont"/>
    <w:link w:val="Footer"/>
    <w:uiPriority w:val="99"/>
    <w:rsid w:val="00F24219"/>
    <w:rPr>
      <w:rFonts w:ascii="Times New Roman" w:eastAsia="Times New Roman" w:hAnsi="Times New Roman" w:cs="Times New Roman"/>
      <w:sz w:val="24"/>
      <w:szCs w:val="24"/>
    </w:rPr>
  </w:style>
  <w:style w:type="paragraph" w:styleId="Header">
    <w:name w:val="header"/>
    <w:basedOn w:val="Normal"/>
    <w:link w:val="HeaderChar"/>
    <w:rsid w:val="00F24219"/>
    <w:pPr>
      <w:tabs>
        <w:tab w:val="center" w:pos="4320"/>
        <w:tab w:val="right" w:pos="8640"/>
      </w:tabs>
    </w:pPr>
  </w:style>
  <w:style w:type="character" w:customStyle="1" w:styleId="HeaderChar">
    <w:name w:val="Header Char"/>
    <w:basedOn w:val="DefaultParagraphFont"/>
    <w:link w:val="Header"/>
    <w:rsid w:val="00F24219"/>
    <w:rPr>
      <w:rFonts w:ascii="Times New Roman" w:eastAsia="Times New Roman" w:hAnsi="Times New Roman" w:cs="Times New Roman"/>
      <w:sz w:val="24"/>
      <w:szCs w:val="24"/>
    </w:rPr>
  </w:style>
  <w:style w:type="paragraph" w:customStyle="1" w:styleId="Level1">
    <w:name w:val="Level 1"/>
    <w:rsid w:val="00F24219"/>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F24219"/>
    <w:rPr>
      <w:noProof/>
      <w:color w:val="0000FF"/>
      <w:u w:val="single"/>
    </w:rPr>
  </w:style>
  <w:style w:type="character" w:customStyle="1" w:styleId="QuickFormat2">
    <w:name w:val="QuickFormat2"/>
    <w:rsid w:val="00F24219"/>
    <w:rPr>
      <w:rFonts w:ascii="Arial" w:hAnsi="Arial" w:cs="Arial"/>
    </w:rPr>
  </w:style>
  <w:style w:type="character" w:customStyle="1" w:styleId="QuickFormat3">
    <w:name w:val="QuickFormat3"/>
    <w:rsid w:val="00F24219"/>
    <w:rPr>
      <w:rFonts w:ascii="Arial" w:hAnsi="Arial" w:cs="Arial"/>
      <w:b/>
      <w:bCs/>
      <w:i/>
      <w:iCs/>
    </w:rPr>
  </w:style>
  <w:style w:type="paragraph" w:styleId="Title">
    <w:name w:val="Title"/>
    <w:basedOn w:val="Normal"/>
    <w:link w:val="TitleChar"/>
    <w:qFormat/>
    <w:rsid w:val="00F24219"/>
    <w:pPr>
      <w:autoSpaceDE w:val="0"/>
      <w:autoSpaceDN w:val="0"/>
      <w:adjustRightInd w:val="0"/>
      <w:jc w:val="center"/>
    </w:pPr>
    <w:rPr>
      <w:sz w:val="28"/>
      <w:szCs w:val="28"/>
    </w:rPr>
  </w:style>
  <w:style w:type="character" w:customStyle="1" w:styleId="TitleChar">
    <w:name w:val="Title Char"/>
    <w:basedOn w:val="DefaultParagraphFont"/>
    <w:link w:val="Title"/>
    <w:rsid w:val="00F24219"/>
    <w:rPr>
      <w:rFonts w:ascii="Times New Roman" w:eastAsia="Times New Roman" w:hAnsi="Times New Roman" w:cs="Times New Roman"/>
      <w:sz w:val="28"/>
      <w:szCs w:val="28"/>
    </w:rPr>
  </w:style>
  <w:style w:type="paragraph" w:styleId="BodyText">
    <w:name w:val="Body Text"/>
    <w:basedOn w:val="Normal"/>
    <w:link w:val="BodyTextChar"/>
    <w:rsid w:val="00F24219"/>
    <w:pPr>
      <w:autoSpaceDE w:val="0"/>
      <w:autoSpaceDN w:val="0"/>
      <w:adjustRightInd w:val="0"/>
    </w:pPr>
    <w:rPr>
      <w:sz w:val="22"/>
      <w:szCs w:val="22"/>
    </w:rPr>
  </w:style>
  <w:style w:type="character" w:customStyle="1" w:styleId="BodyTextChar">
    <w:name w:val="Body Text Char"/>
    <w:basedOn w:val="DefaultParagraphFont"/>
    <w:link w:val="BodyText"/>
    <w:rsid w:val="00F24219"/>
    <w:rPr>
      <w:rFonts w:ascii="Times New Roman" w:eastAsia="Times New Roman" w:hAnsi="Times New Roman" w:cs="Times New Roman"/>
    </w:rPr>
  </w:style>
  <w:style w:type="paragraph" w:styleId="Subtitle">
    <w:name w:val="Subtitle"/>
    <w:basedOn w:val="Normal"/>
    <w:link w:val="SubtitleChar"/>
    <w:qFormat/>
    <w:rsid w:val="00F24219"/>
    <w:pPr>
      <w:autoSpaceDE w:val="0"/>
      <w:autoSpaceDN w:val="0"/>
      <w:adjustRightInd w:val="0"/>
    </w:pPr>
    <w:rPr>
      <w:b/>
      <w:bCs/>
    </w:rPr>
  </w:style>
  <w:style w:type="character" w:customStyle="1" w:styleId="SubtitleChar">
    <w:name w:val="Subtitle Char"/>
    <w:basedOn w:val="DefaultParagraphFont"/>
    <w:link w:val="Subtitle"/>
    <w:rsid w:val="00F24219"/>
    <w:rPr>
      <w:rFonts w:ascii="Times New Roman" w:eastAsia="Times New Roman" w:hAnsi="Times New Roman" w:cs="Times New Roman"/>
      <w:b/>
      <w:bCs/>
      <w:sz w:val="24"/>
      <w:szCs w:val="24"/>
    </w:rPr>
  </w:style>
  <w:style w:type="paragraph" w:styleId="BodyTextIndent">
    <w:name w:val="Body Text Indent"/>
    <w:basedOn w:val="Normal"/>
    <w:link w:val="BodyTextIndentChar"/>
    <w:rsid w:val="00F24219"/>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F24219"/>
    <w:rPr>
      <w:rFonts w:ascii="Times New Roman" w:eastAsia="Times New Roman" w:hAnsi="Times New Roman" w:cs="Times New Roman"/>
      <w:sz w:val="32"/>
      <w:szCs w:val="32"/>
    </w:rPr>
  </w:style>
  <w:style w:type="paragraph" w:customStyle="1" w:styleId="QuickFormat6">
    <w:name w:val="QuickFormat6"/>
    <w:rsid w:val="00F24219"/>
    <w:pPr>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rsid w:val="00F24219"/>
  </w:style>
  <w:style w:type="paragraph" w:styleId="BodyText2">
    <w:name w:val="Body Text 2"/>
    <w:basedOn w:val="Normal"/>
    <w:link w:val="BodyText2Char"/>
    <w:rsid w:val="00F24219"/>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character" w:customStyle="1" w:styleId="BodyText2Char">
    <w:name w:val="Body Text 2 Char"/>
    <w:basedOn w:val="DefaultParagraphFont"/>
    <w:link w:val="BodyText2"/>
    <w:rsid w:val="00F24219"/>
    <w:rPr>
      <w:rFonts w:ascii="Arial" w:eastAsia="Times New Roman" w:hAnsi="Arial" w:cs="Arial"/>
      <w:noProof/>
      <w:sz w:val="24"/>
      <w:szCs w:val="24"/>
    </w:rPr>
  </w:style>
  <w:style w:type="paragraph" w:styleId="BodyTextIndent2">
    <w:name w:val="Body Text Indent 2"/>
    <w:basedOn w:val="Normal"/>
    <w:link w:val="BodyTextIndent2Char"/>
    <w:rsid w:val="00F24219"/>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character" w:customStyle="1" w:styleId="BodyTextIndent2Char">
    <w:name w:val="Body Text Indent 2 Char"/>
    <w:basedOn w:val="DefaultParagraphFont"/>
    <w:link w:val="BodyTextIndent2"/>
    <w:rsid w:val="00F24219"/>
    <w:rPr>
      <w:rFonts w:ascii="Arial" w:eastAsia="Times New Roman" w:hAnsi="Arial" w:cs="Arial"/>
      <w:sz w:val="17"/>
      <w:szCs w:val="17"/>
    </w:rPr>
  </w:style>
  <w:style w:type="paragraph" w:styleId="BodyTextIndent3">
    <w:name w:val="Body Text Indent 3"/>
    <w:basedOn w:val="Normal"/>
    <w:link w:val="BodyTextIndent3Char"/>
    <w:rsid w:val="00F24219"/>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character" w:customStyle="1" w:styleId="BodyTextIndent3Char">
    <w:name w:val="Body Text Indent 3 Char"/>
    <w:basedOn w:val="DefaultParagraphFont"/>
    <w:link w:val="BodyTextIndent3"/>
    <w:rsid w:val="00F24219"/>
    <w:rPr>
      <w:rFonts w:ascii="Arial" w:eastAsia="Times New Roman" w:hAnsi="Arial" w:cs="Arial"/>
      <w:sz w:val="20"/>
      <w:szCs w:val="24"/>
    </w:rPr>
  </w:style>
  <w:style w:type="paragraph" w:styleId="BlockText">
    <w:name w:val="Block Text"/>
    <w:basedOn w:val="Normal"/>
    <w:rsid w:val="00F24219"/>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F24219"/>
    <w:pPr>
      <w:spacing w:before="120" w:after="120"/>
    </w:pPr>
    <w:rPr>
      <w:b/>
      <w:bCs/>
      <w:sz w:val="20"/>
      <w:szCs w:val="20"/>
    </w:rPr>
  </w:style>
  <w:style w:type="paragraph" w:styleId="TableofFigures">
    <w:name w:val="table of figures"/>
    <w:basedOn w:val="Normal"/>
    <w:next w:val="Normal"/>
    <w:uiPriority w:val="99"/>
    <w:rsid w:val="00F24219"/>
    <w:pPr>
      <w:ind w:left="480" w:hanging="480"/>
    </w:pPr>
  </w:style>
  <w:style w:type="character" w:styleId="Hyperlink">
    <w:name w:val="Hyperlink"/>
    <w:uiPriority w:val="99"/>
    <w:rsid w:val="00F24219"/>
    <w:rPr>
      <w:color w:val="0000FF"/>
      <w:u w:val="single"/>
    </w:rPr>
  </w:style>
  <w:style w:type="paragraph" w:styleId="TOC1">
    <w:name w:val="toc 1"/>
    <w:basedOn w:val="Normal"/>
    <w:next w:val="Normal"/>
    <w:autoRedefine/>
    <w:uiPriority w:val="39"/>
    <w:rsid w:val="00F24219"/>
  </w:style>
  <w:style w:type="paragraph" w:styleId="TOC2">
    <w:name w:val="toc 2"/>
    <w:basedOn w:val="Normal"/>
    <w:next w:val="Normal"/>
    <w:autoRedefine/>
    <w:uiPriority w:val="39"/>
    <w:rsid w:val="00F24219"/>
    <w:pPr>
      <w:tabs>
        <w:tab w:val="right" w:leader="dot" w:pos="8270"/>
      </w:tabs>
      <w:ind w:left="240"/>
      <w:jc w:val="center"/>
    </w:pPr>
  </w:style>
  <w:style w:type="paragraph" w:styleId="TOC3">
    <w:name w:val="toc 3"/>
    <w:basedOn w:val="Normal"/>
    <w:next w:val="Normal"/>
    <w:autoRedefine/>
    <w:uiPriority w:val="39"/>
    <w:rsid w:val="00F24219"/>
    <w:pPr>
      <w:ind w:left="480"/>
    </w:pPr>
  </w:style>
  <w:style w:type="paragraph" w:styleId="TOC4">
    <w:name w:val="toc 4"/>
    <w:basedOn w:val="Normal"/>
    <w:next w:val="Normal"/>
    <w:autoRedefine/>
    <w:semiHidden/>
    <w:rsid w:val="00F24219"/>
    <w:pPr>
      <w:ind w:left="720"/>
    </w:pPr>
  </w:style>
  <w:style w:type="paragraph" w:styleId="TOC5">
    <w:name w:val="toc 5"/>
    <w:basedOn w:val="Normal"/>
    <w:next w:val="Normal"/>
    <w:autoRedefine/>
    <w:semiHidden/>
    <w:rsid w:val="00F24219"/>
    <w:pPr>
      <w:ind w:left="960"/>
    </w:pPr>
  </w:style>
  <w:style w:type="paragraph" w:styleId="TOC6">
    <w:name w:val="toc 6"/>
    <w:basedOn w:val="Normal"/>
    <w:next w:val="Normal"/>
    <w:autoRedefine/>
    <w:semiHidden/>
    <w:rsid w:val="00F24219"/>
    <w:pPr>
      <w:ind w:left="1200"/>
    </w:pPr>
  </w:style>
  <w:style w:type="paragraph" w:styleId="TOC7">
    <w:name w:val="toc 7"/>
    <w:basedOn w:val="Normal"/>
    <w:next w:val="Normal"/>
    <w:autoRedefine/>
    <w:semiHidden/>
    <w:rsid w:val="00F24219"/>
    <w:pPr>
      <w:ind w:left="1440"/>
    </w:pPr>
  </w:style>
  <w:style w:type="paragraph" w:styleId="TOC8">
    <w:name w:val="toc 8"/>
    <w:basedOn w:val="Normal"/>
    <w:next w:val="Normal"/>
    <w:autoRedefine/>
    <w:semiHidden/>
    <w:rsid w:val="00F24219"/>
    <w:pPr>
      <w:ind w:left="1680"/>
    </w:pPr>
  </w:style>
  <w:style w:type="paragraph" w:styleId="TOC9">
    <w:name w:val="toc 9"/>
    <w:basedOn w:val="Normal"/>
    <w:next w:val="Normal"/>
    <w:autoRedefine/>
    <w:semiHidden/>
    <w:rsid w:val="00F24219"/>
    <w:pPr>
      <w:ind w:left="1920"/>
    </w:pPr>
  </w:style>
  <w:style w:type="paragraph" w:customStyle="1" w:styleId="thesistext">
    <w:name w:val="thesis text"/>
    <w:basedOn w:val="Normal"/>
    <w:autoRedefine/>
    <w:rsid w:val="00F24219"/>
    <w:pPr>
      <w:spacing w:after="240"/>
      <w:ind w:firstLine="540"/>
    </w:pPr>
    <w:rPr>
      <w:lang w:eastAsia="es-ES"/>
    </w:rPr>
  </w:style>
  <w:style w:type="paragraph" w:customStyle="1" w:styleId="StyleHeading1Centered">
    <w:name w:val="Style Heading 1 + Centered"/>
    <w:basedOn w:val="Heading1"/>
    <w:link w:val="StyleHeading1CenteredChar"/>
    <w:rsid w:val="00F24219"/>
    <w:pPr>
      <w:jc w:val="center"/>
    </w:pPr>
    <w:rPr>
      <w:caps/>
      <w:szCs w:val="28"/>
    </w:rPr>
  </w:style>
  <w:style w:type="character" w:customStyle="1" w:styleId="StyleHeading1CenteredChar">
    <w:name w:val="Style Heading 1 + Centered Char"/>
    <w:link w:val="StyleHeading1Centered"/>
    <w:rsid w:val="00F24219"/>
    <w:rPr>
      <w:rFonts w:ascii="Arial" w:eastAsia="Times New Roman" w:hAnsi="Arial" w:cs="Times New Roman"/>
      <w:b/>
      <w:bCs/>
      <w:caps/>
      <w:sz w:val="28"/>
      <w:szCs w:val="28"/>
    </w:rPr>
  </w:style>
  <w:style w:type="paragraph" w:styleId="NoSpacing">
    <w:name w:val="No Spacing"/>
    <w:uiPriority w:val="1"/>
    <w:qFormat/>
    <w:rsid w:val="00F24219"/>
    <w:pPr>
      <w:spacing w:after="0" w:line="240" w:lineRule="auto"/>
    </w:pPr>
    <w:rPr>
      <w:rFonts w:ascii="Calibri" w:eastAsia="Times New Roman" w:hAnsi="Calibri" w:cs="Times New Roman"/>
    </w:rPr>
  </w:style>
  <w:style w:type="paragraph" w:styleId="BalloonText">
    <w:name w:val="Balloon Text"/>
    <w:basedOn w:val="Normal"/>
    <w:link w:val="BalloonTextChar"/>
    <w:rsid w:val="00F24219"/>
    <w:rPr>
      <w:rFonts w:ascii="Tahoma" w:hAnsi="Tahoma" w:cs="Tahoma"/>
      <w:sz w:val="16"/>
      <w:szCs w:val="16"/>
    </w:rPr>
  </w:style>
  <w:style w:type="character" w:customStyle="1" w:styleId="BalloonTextChar">
    <w:name w:val="Balloon Text Char"/>
    <w:link w:val="BalloonText"/>
    <w:rsid w:val="00F24219"/>
    <w:rPr>
      <w:rFonts w:ascii="Tahoma" w:eastAsia="Times New Roman" w:hAnsi="Tahoma" w:cs="Tahoma"/>
      <w:sz w:val="16"/>
      <w:szCs w:val="16"/>
    </w:rPr>
  </w:style>
  <w:style w:type="character" w:styleId="FollowedHyperlink">
    <w:name w:val="FollowedHyperlink"/>
    <w:uiPriority w:val="99"/>
    <w:unhideWhenUsed/>
    <w:rsid w:val="00F24219"/>
    <w:rPr>
      <w:color w:val="800080"/>
      <w:u w:val="single"/>
    </w:rPr>
  </w:style>
  <w:style w:type="paragraph" w:customStyle="1" w:styleId="xl68">
    <w:name w:val="xl68"/>
    <w:basedOn w:val="Normal"/>
    <w:rsid w:val="00F24219"/>
    <w:pPr>
      <w:pBdr>
        <w:bottom w:val="single" w:sz="4" w:space="0" w:color="auto"/>
      </w:pBdr>
      <w:spacing w:before="100" w:beforeAutospacing="1" w:after="100" w:afterAutospacing="1"/>
      <w:jc w:val="center"/>
    </w:pPr>
    <w:rPr>
      <w:rFonts w:ascii="Arial" w:hAnsi="Arial" w:cs="Arial"/>
      <w:sz w:val="18"/>
      <w:szCs w:val="18"/>
    </w:rPr>
  </w:style>
  <w:style w:type="paragraph" w:customStyle="1" w:styleId="xl69">
    <w:name w:val="xl69"/>
    <w:basedOn w:val="Normal"/>
    <w:rsid w:val="00F24219"/>
    <w:pPr>
      <w:pBdr>
        <w:bottom w:val="single" w:sz="4" w:space="0" w:color="auto"/>
      </w:pBdr>
      <w:spacing w:before="100" w:beforeAutospacing="1" w:after="100" w:afterAutospacing="1"/>
      <w:jc w:val="center"/>
    </w:pPr>
    <w:rPr>
      <w:rFonts w:ascii="Arial" w:hAnsi="Arial" w:cs="Arial"/>
      <w:sz w:val="18"/>
      <w:szCs w:val="18"/>
    </w:rPr>
  </w:style>
  <w:style w:type="paragraph" w:customStyle="1" w:styleId="xl70">
    <w:name w:val="xl70"/>
    <w:basedOn w:val="Normal"/>
    <w:rsid w:val="00F24219"/>
    <w:pPr>
      <w:spacing w:before="100" w:beforeAutospacing="1" w:after="100" w:afterAutospacing="1"/>
      <w:jc w:val="center"/>
    </w:pPr>
    <w:rPr>
      <w:rFonts w:ascii="Arial" w:hAnsi="Arial" w:cs="Arial"/>
      <w:sz w:val="18"/>
      <w:szCs w:val="18"/>
    </w:rPr>
  </w:style>
  <w:style w:type="paragraph" w:customStyle="1" w:styleId="xl71">
    <w:name w:val="xl71"/>
    <w:basedOn w:val="Normal"/>
    <w:rsid w:val="00F24219"/>
    <w:pPr>
      <w:spacing w:before="100" w:beforeAutospacing="1" w:after="100" w:afterAutospacing="1"/>
      <w:jc w:val="center"/>
    </w:pPr>
    <w:rPr>
      <w:rFonts w:ascii="Arial" w:hAnsi="Arial" w:cs="Arial"/>
      <w:sz w:val="18"/>
      <w:szCs w:val="18"/>
    </w:rPr>
  </w:style>
  <w:style w:type="paragraph" w:customStyle="1" w:styleId="xl72">
    <w:name w:val="xl72"/>
    <w:basedOn w:val="Normal"/>
    <w:rsid w:val="00F24219"/>
    <w:pPr>
      <w:spacing w:before="100" w:beforeAutospacing="1" w:after="100" w:afterAutospacing="1"/>
      <w:jc w:val="center"/>
    </w:pPr>
    <w:rPr>
      <w:rFonts w:ascii="Arial" w:hAnsi="Arial" w:cs="Arial"/>
      <w:sz w:val="18"/>
      <w:szCs w:val="18"/>
    </w:rPr>
  </w:style>
  <w:style w:type="paragraph" w:customStyle="1" w:styleId="xl73">
    <w:name w:val="xl73"/>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74">
    <w:name w:val="xl74"/>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75">
    <w:name w:val="xl75"/>
    <w:basedOn w:val="Normal"/>
    <w:rsid w:val="00F24219"/>
    <w:pPr>
      <w:spacing w:before="100" w:beforeAutospacing="1" w:after="100" w:afterAutospacing="1"/>
      <w:jc w:val="center"/>
    </w:pPr>
    <w:rPr>
      <w:rFonts w:ascii="Arial" w:hAnsi="Arial" w:cs="Arial"/>
      <w:sz w:val="18"/>
      <w:szCs w:val="18"/>
    </w:rPr>
  </w:style>
  <w:style w:type="paragraph" w:customStyle="1" w:styleId="xl76">
    <w:name w:val="xl76"/>
    <w:basedOn w:val="Normal"/>
    <w:rsid w:val="00F24219"/>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hAnsi="Arial" w:cs="Arial"/>
      <w:sz w:val="18"/>
      <w:szCs w:val="18"/>
    </w:rPr>
  </w:style>
  <w:style w:type="paragraph" w:customStyle="1" w:styleId="xl77">
    <w:name w:val="xl77"/>
    <w:basedOn w:val="Normal"/>
    <w:rsid w:val="00F24219"/>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hAnsi="Arial" w:cs="Arial"/>
      <w:color w:val="000000"/>
      <w:sz w:val="18"/>
      <w:szCs w:val="18"/>
    </w:rPr>
  </w:style>
  <w:style w:type="paragraph" w:customStyle="1" w:styleId="xl78">
    <w:name w:val="xl78"/>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79">
    <w:name w:val="xl79"/>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80">
    <w:name w:val="xl80"/>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81">
    <w:name w:val="xl81"/>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82">
    <w:name w:val="xl82"/>
    <w:basedOn w:val="Normal"/>
    <w:rsid w:val="00F24219"/>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hAnsi="Arial" w:cs="Arial"/>
      <w:sz w:val="18"/>
      <w:szCs w:val="18"/>
    </w:rPr>
  </w:style>
  <w:style w:type="paragraph" w:customStyle="1" w:styleId="xl83">
    <w:name w:val="xl83"/>
    <w:basedOn w:val="Normal"/>
    <w:rsid w:val="00F24219"/>
    <w:pPr>
      <w:spacing w:before="100" w:beforeAutospacing="1" w:after="100" w:afterAutospacing="1"/>
      <w:jc w:val="center"/>
    </w:pPr>
    <w:rPr>
      <w:rFonts w:ascii="Arial" w:hAnsi="Arial" w:cs="Arial"/>
      <w:sz w:val="18"/>
      <w:szCs w:val="18"/>
    </w:rPr>
  </w:style>
  <w:style w:type="paragraph" w:customStyle="1" w:styleId="xl84">
    <w:name w:val="xl84"/>
    <w:basedOn w:val="Normal"/>
    <w:rsid w:val="00F24219"/>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hAnsi="Arial" w:cs="Arial"/>
      <w:sz w:val="18"/>
      <w:szCs w:val="18"/>
    </w:rPr>
  </w:style>
  <w:style w:type="paragraph" w:customStyle="1" w:styleId="xl85">
    <w:name w:val="xl85"/>
    <w:basedOn w:val="Normal"/>
    <w:rsid w:val="00F24219"/>
    <w:pPr>
      <w:spacing w:before="100" w:beforeAutospacing="1" w:after="100" w:afterAutospacing="1"/>
      <w:jc w:val="center"/>
    </w:pPr>
    <w:rPr>
      <w:rFonts w:ascii="Arial" w:hAnsi="Arial" w:cs="Arial"/>
      <w:sz w:val="18"/>
      <w:szCs w:val="18"/>
    </w:rPr>
  </w:style>
  <w:style w:type="paragraph" w:customStyle="1" w:styleId="xl86">
    <w:name w:val="xl86"/>
    <w:basedOn w:val="Normal"/>
    <w:rsid w:val="00F24219"/>
    <w:pPr>
      <w:spacing w:before="100" w:beforeAutospacing="1" w:after="100" w:afterAutospacing="1"/>
      <w:jc w:val="center"/>
    </w:pPr>
    <w:rPr>
      <w:rFonts w:ascii="Arial" w:hAnsi="Arial" w:cs="Arial"/>
      <w:color w:val="000000"/>
      <w:sz w:val="18"/>
      <w:szCs w:val="18"/>
    </w:rPr>
  </w:style>
  <w:style w:type="character" w:customStyle="1" w:styleId="apple-style-span">
    <w:name w:val="apple-style-span"/>
    <w:rsid w:val="00F24219"/>
  </w:style>
  <w:style w:type="character" w:styleId="CommentReference">
    <w:name w:val="annotation reference"/>
    <w:rsid w:val="00F24219"/>
    <w:rPr>
      <w:sz w:val="16"/>
      <w:szCs w:val="16"/>
    </w:rPr>
  </w:style>
  <w:style w:type="paragraph" w:styleId="CommentText">
    <w:name w:val="annotation text"/>
    <w:basedOn w:val="Normal"/>
    <w:link w:val="CommentTextChar"/>
    <w:rsid w:val="00F24219"/>
    <w:rPr>
      <w:sz w:val="20"/>
      <w:szCs w:val="20"/>
    </w:rPr>
  </w:style>
  <w:style w:type="character" w:customStyle="1" w:styleId="CommentTextChar">
    <w:name w:val="Comment Text Char"/>
    <w:basedOn w:val="DefaultParagraphFont"/>
    <w:link w:val="CommentText"/>
    <w:rsid w:val="00F242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24219"/>
    <w:rPr>
      <w:b/>
      <w:bCs/>
    </w:rPr>
  </w:style>
  <w:style w:type="character" w:customStyle="1" w:styleId="CommentSubjectChar">
    <w:name w:val="Comment Subject Char"/>
    <w:link w:val="CommentSubject"/>
    <w:rsid w:val="00F24219"/>
    <w:rPr>
      <w:rFonts w:ascii="Times New Roman" w:eastAsia="Times New Roman" w:hAnsi="Times New Roman" w:cs="Times New Roman"/>
      <w:b/>
      <w:bCs/>
      <w:sz w:val="20"/>
      <w:szCs w:val="20"/>
    </w:rPr>
  </w:style>
  <w:style w:type="paragraph" w:styleId="NormalWeb">
    <w:name w:val="Normal (Web)"/>
    <w:basedOn w:val="Normal"/>
    <w:uiPriority w:val="99"/>
    <w:unhideWhenUsed/>
    <w:rsid w:val="00F24219"/>
    <w:pPr>
      <w:spacing w:before="100" w:beforeAutospacing="1" w:after="100" w:afterAutospacing="1"/>
    </w:pPr>
  </w:style>
  <w:style w:type="character" w:customStyle="1" w:styleId="apple-converted-space">
    <w:name w:val="apple-converted-space"/>
    <w:basedOn w:val="DefaultParagraphFont"/>
    <w:rsid w:val="00851749"/>
  </w:style>
  <w:style w:type="paragraph" w:styleId="ListParagraph">
    <w:name w:val="List Paragraph"/>
    <w:basedOn w:val="Normal"/>
    <w:uiPriority w:val="34"/>
    <w:qFormat/>
    <w:rsid w:val="00E025ED"/>
    <w:pPr>
      <w:ind w:left="720"/>
      <w:contextualSpacing/>
    </w:pPr>
  </w:style>
  <w:style w:type="character" w:customStyle="1" w:styleId="frlabel">
    <w:name w:val="fr_label"/>
    <w:basedOn w:val="DefaultParagraphFont"/>
    <w:rsid w:val="00377C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21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24219"/>
    <w:pPr>
      <w:autoSpaceDE w:val="0"/>
      <w:autoSpaceDN w:val="0"/>
      <w:adjustRightInd w:val="0"/>
      <w:outlineLvl w:val="0"/>
    </w:pPr>
    <w:rPr>
      <w:rFonts w:ascii="Arial" w:hAnsi="Arial"/>
      <w:b/>
      <w:bCs/>
      <w:sz w:val="28"/>
    </w:rPr>
  </w:style>
  <w:style w:type="paragraph" w:styleId="Heading2">
    <w:name w:val="heading 2"/>
    <w:basedOn w:val="Normal"/>
    <w:next w:val="Normal"/>
    <w:link w:val="Heading2Char"/>
    <w:qFormat/>
    <w:rsid w:val="00F24219"/>
    <w:pPr>
      <w:keepNext/>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qFormat/>
    <w:rsid w:val="00F24219"/>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4219"/>
    <w:rPr>
      <w:rFonts w:ascii="Arial" w:eastAsia="Times New Roman" w:hAnsi="Arial" w:cs="Times New Roman"/>
      <w:b/>
      <w:bCs/>
      <w:sz w:val="28"/>
      <w:szCs w:val="24"/>
    </w:rPr>
  </w:style>
  <w:style w:type="character" w:customStyle="1" w:styleId="Heading2Char">
    <w:name w:val="Heading 2 Char"/>
    <w:basedOn w:val="DefaultParagraphFont"/>
    <w:link w:val="Heading2"/>
    <w:rsid w:val="00F24219"/>
    <w:rPr>
      <w:rFonts w:ascii="Arial" w:eastAsia="Times New Roman" w:hAnsi="Arial" w:cs="Arial"/>
      <w:b/>
      <w:bCs/>
      <w:iCs/>
      <w:sz w:val="28"/>
      <w:szCs w:val="28"/>
    </w:rPr>
  </w:style>
  <w:style w:type="character" w:customStyle="1" w:styleId="Heading3Char">
    <w:name w:val="Heading 3 Char"/>
    <w:basedOn w:val="DefaultParagraphFont"/>
    <w:link w:val="Heading3"/>
    <w:rsid w:val="00F24219"/>
    <w:rPr>
      <w:rFonts w:ascii="Arial" w:eastAsia="Times New Roman" w:hAnsi="Arial" w:cs="Arial"/>
      <w:b/>
      <w:bCs/>
      <w:i/>
      <w:sz w:val="24"/>
      <w:szCs w:val="26"/>
    </w:rPr>
  </w:style>
  <w:style w:type="paragraph" w:styleId="Footer">
    <w:name w:val="footer"/>
    <w:basedOn w:val="Normal"/>
    <w:link w:val="FooterChar"/>
    <w:uiPriority w:val="99"/>
    <w:rsid w:val="00F24219"/>
    <w:pPr>
      <w:tabs>
        <w:tab w:val="center" w:pos="4320"/>
        <w:tab w:val="right" w:pos="8640"/>
      </w:tabs>
    </w:pPr>
  </w:style>
  <w:style w:type="character" w:customStyle="1" w:styleId="FooterChar">
    <w:name w:val="Footer Char"/>
    <w:basedOn w:val="DefaultParagraphFont"/>
    <w:link w:val="Footer"/>
    <w:uiPriority w:val="99"/>
    <w:rsid w:val="00F24219"/>
    <w:rPr>
      <w:rFonts w:ascii="Times New Roman" w:eastAsia="Times New Roman" w:hAnsi="Times New Roman" w:cs="Times New Roman"/>
      <w:sz w:val="24"/>
      <w:szCs w:val="24"/>
    </w:rPr>
  </w:style>
  <w:style w:type="paragraph" w:styleId="Header">
    <w:name w:val="header"/>
    <w:basedOn w:val="Normal"/>
    <w:link w:val="HeaderChar"/>
    <w:rsid w:val="00F24219"/>
    <w:pPr>
      <w:tabs>
        <w:tab w:val="center" w:pos="4320"/>
        <w:tab w:val="right" w:pos="8640"/>
      </w:tabs>
    </w:pPr>
  </w:style>
  <w:style w:type="character" w:customStyle="1" w:styleId="HeaderChar">
    <w:name w:val="Header Char"/>
    <w:basedOn w:val="DefaultParagraphFont"/>
    <w:link w:val="Header"/>
    <w:rsid w:val="00F24219"/>
    <w:rPr>
      <w:rFonts w:ascii="Times New Roman" w:eastAsia="Times New Roman" w:hAnsi="Times New Roman" w:cs="Times New Roman"/>
      <w:sz w:val="24"/>
      <w:szCs w:val="24"/>
    </w:rPr>
  </w:style>
  <w:style w:type="paragraph" w:customStyle="1" w:styleId="Level1">
    <w:name w:val="Level 1"/>
    <w:rsid w:val="00F24219"/>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F24219"/>
    <w:rPr>
      <w:noProof/>
      <w:color w:val="0000FF"/>
      <w:u w:val="single"/>
    </w:rPr>
  </w:style>
  <w:style w:type="character" w:customStyle="1" w:styleId="QuickFormat2">
    <w:name w:val="QuickFormat2"/>
    <w:rsid w:val="00F24219"/>
    <w:rPr>
      <w:rFonts w:ascii="Arial" w:hAnsi="Arial" w:cs="Arial"/>
    </w:rPr>
  </w:style>
  <w:style w:type="character" w:customStyle="1" w:styleId="QuickFormat3">
    <w:name w:val="QuickFormat3"/>
    <w:rsid w:val="00F24219"/>
    <w:rPr>
      <w:rFonts w:ascii="Arial" w:hAnsi="Arial" w:cs="Arial"/>
      <w:b/>
      <w:bCs/>
      <w:i/>
      <w:iCs/>
    </w:rPr>
  </w:style>
  <w:style w:type="paragraph" w:styleId="Title">
    <w:name w:val="Title"/>
    <w:basedOn w:val="Normal"/>
    <w:link w:val="TitleChar"/>
    <w:qFormat/>
    <w:rsid w:val="00F24219"/>
    <w:pPr>
      <w:autoSpaceDE w:val="0"/>
      <w:autoSpaceDN w:val="0"/>
      <w:adjustRightInd w:val="0"/>
      <w:jc w:val="center"/>
    </w:pPr>
    <w:rPr>
      <w:sz w:val="28"/>
      <w:szCs w:val="28"/>
    </w:rPr>
  </w:style>
  <w:style w:type="character" w:customStyle="1" w:styleId="TitleChar">
    <w:name w:val="Title Char"/>
    <w:basedOn w:val="DefaultParagraphFont"/>
    <w:link w:val="Title"/>
    <w:rsid w:val="00F24219"/>
    <w:rPr>
      <w:rFonts w:ascii="Times New Roman" w:eastAsia="Times New Roman" w:hAnsi="Times New Roman" w:cs="Times New Roman"/>
      <w:sz w:val="28"/>
      <w:szCs w:val="28"/>
    </w:rPr>
  </w:style>
  <w:style w:type="paragraph" w:styleId="BodyText">
    <w:name w:val="Body Text"/>
    <w:basedOn w:val="Normal"/>
    <w:link w:val="BodyTextChar"/>
    <w:rsid w:val="00F24219"/>
    <w:pPr>
      <w:autoSpaceDE w:val="0"/>
      <w:autoSpaceDN w:val="0"/>
      <w:adjustRightInd w:val="0"/>
    </w:pPr>
    <w:rPr>
      <w:sz w:val="22"/>
      <w:szCs w:val="22"/>
    </w:rPr>
  </w:style>
  <w:style w:type="character" w:customStyle="1" w:styleId="BodyTextChar">
    <w:name w:val="Body Text Char"/>
    <w:basedOn w:val="DefaultParagraphFont"/>
    <w:link w:val="BodyText"/>
    <w:rsid w:val="00F24219"/>
    <w:rPr>
      <w:rFonts w:ascii="Times New Roman" w:eastAsia="Times New Roman" w:hAnsi="Times New Roman" w:cs="Times New Roman"/>
    </w:rPr>
  </w:style>
  <w:style w:type="paragraph" w:styleId="Subtitle">
    <w:name w:val="Subtitle"/>
    <w:basedOn w:val="Normal"/>
    <w:link w:val="SubtitleChar"/>
    <w:qFormat/>
    <w:rsid w:val="00F24219"/>
    <w:pPr>
      <w:autoSpaceDE w:val="0"/>
      <w:autoSpaceDN w:val="0"/>
      <w:adjustRightInd w:val="0"/>
    </w:pPr>
    <w:rPr>
      <w:b/>
      <w:bCs/>
    </w:rPr>
  </w:style>
  <w:style w:type="character" w:customStyle="1" w:styleId="SubtitleChar">
    <w:name w:val="Subtitle Char"/>
    <w:basedOn w:val="DefaultParagraphFont"/>
    <w:link w:val="Subtitle"/>
    <w:rsid w:val="00F24219"/>
    <w:rPr>
      <w:rFonts w:ascii="Times New Roman" w:eastAsia="Times New Roman" w:hAnsi="Times New Roman" w:cs="Times New Roman"/>
      <w:b/>
      <w:bCs/>
      <w:sz w:val="24"/>
      <w:szCs w:val="24"/>
    </w:rPr>
  </w:style>
  <w:style w:type="paragraph" w:styleId="BodyTextIndent">
    <w:name w:val="Body Text Indent"/>
    <w:basedOn w:val="Normal"/>
    <w:link w:val="BodyTextIndentChar"/>
    <w:rsid w:val="00F24219"/>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F24219"/>
    <w:rPr>
      <w:rFonts w:ascii="Times New Roman" w:eastAsia="Times New Roman" w:hAnsi="Times New Roman" w:cs="Times New Roman"/>
      <w:sz w:val="32"/>
      <w:szCs w:val="32"/>
    </w:rPr>
  </w:style>
  <w:style w:type="paragraph" w:customStyle="1" w:styleId="QuickFormat6">
    <w:name w:val="QuickFormat6"/>
    <w:rsid w:val="00F24219"/>
    <w:pPr>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rsid w:val="00F24219"/>
  </w:style>
  <w:style w:type="paragraph" w:styleId="BodyText2">
    <w:name w:val="Body Text 2"/>
    <w:basedOn w:val="Normal"/>
    <w:link w:val="BodyText2Char"/>
    <w:rsid w:val="00F24219"/>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character" w:customStyle="1" w:styleId="BodyText2Char">
    <w:name w:val="Body Text 2 Char"/>
    <w:basedOn w:val="DefaultParagraphFont"/>
    <w:link w:val="BodyText2"/>
    <w:rsid w:val="00F24219"/>
    <w:rPr>
      <w:rFonts w:ascii="Arial" w:eastAsia="Times New Roman" w:hAnsi="Arial" w:cs="Arial"/>
      <w:noProof/>
      <w:sz w:val="24"/>
      <w:szCs w:val="24"/>
    </w:rPr>
  </w:style>
  <w:style w:type="paragraph" w:styleId="BodyTextIndent2">
    <w:name w:val="Body Text Indent 2"/>
    <w:basedOn w:val="Normal"/>
    <w:link w:val="BodyTextIndent2Char"/>
    <w:rsid w:val="00F24219"/>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character" w:customStyle="1" w:styleId="BodyTextIndent2Char">
    <w:name w:val="Body Text Indent 2 Char"/>
    <w:basedOn w:val="DefaultParagraphFont"/>
    <w:link w:val="BodyTextIndent2"/>
    <w:rsid w:val="00F24219"/>
    <w:rPr>
      <w:rFonts w:ascii="Arial" w:eastAsia="Times New Roman" w:hAnsi="Arial" w:cs="Arial"/>
      <w:sz w:val="17"/>
      <w:szCs w:val="17"/>
    </w:rPr>
  </w:style>
  <w:style w:type="paragraph" w:styleId="BodyTextIndent3">
    <w:name w:val="Body Text Indent 3"/>
    <w:basedOn w:val="Normal"/>
    <w:link w:val="BodyTextIndent3Char"/>
    <w:rsid w:val="00F24219"/>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character" w:customStyle="1" w:styleId="BodyTextIndent3Char">
    <w:name w:val="Body Text Indent 3 Char"/>
    <w:basedOn w:val="DefaultParagraphFont"/>
    <w:link w:val="BodyTextIndent3"/>
    <w:rsid w:val="00F24219"/>
    <w:rPr>
      <w:rFonts w:ascii="Arial" w:eastAsia="Times New Roman" w:hAnsi="Arial" w:cs="Arial"/>
      <w:sz w:val="20"/>
      <w:szCs w:val="24"/>
    </w:rPr>
  </w:style>
  <w:style w:type="paragraph" w:styleId="BlockText">
    <w:name w:val="Block Text"/>
    <w:basedOn w:val="Normal"/>
    <w:rsid w:val="00F24219"/>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F24219"/>
    <w:pPr>
      <w:spacing w:before="120" w:after="120"/>
    </w:pPr>
    <w:rPr>
      <w:b/>
      <w:bCs/>
      <w:sz w:val="20"/>
      <w:szCs w:val="20"/>
    </w:rPr>
  </w:style>
  <w:style w:type="paragraph" w:styleId="TableofFigures">
    <w:name w:val="table of figures"/>
    <w:basedOn w:val="Normal"/>
    <w:next w:val="Normal"/>
    <w:uiPriority w:val="99"/>
    <w:rsid w:val="00F24219"/>
    <w:pPr>
      <w:ind w:left="480" w:hanging="480"/>
    </w:pPr>
  </w:style>
  <w:style w:type="character" w:styleId="Hyperlink">
    <w:name w:val="Hyperlink"/>
    <w:uiPriority w:val="99"/>
    <w:rsid w:val="00F24219"/>
    <w:rPr>
      <w:color w:val="0000FF"/>
      <w:u w:val="single"/>
    </w:rPr>
  </w:style>
  <w:style w:type="paragraph" w:styleId="TOC1">
    <w:name w:val="toc 1"/>
    <w:basedOn w:val="Normal"/>
    <w:next w:val="Normal"/>
    <w:autoRedefine/>
    <w:uiPriority w:val="39"/>
    <w:rsid w:val="00F24219"/>
  </w:style>
  <w:style w:type="paragraph" w:styleId="TOC2">
    <w:name w:val="toc 2"/>
    <w:basedOn w:val="Normal"/>
    <w:next w:val="Normal"/>
    <w:autoRedefine/>
    <w:uiPriority w:val="39"/>
    <w:rsid w:val="00F24219"/>
    <w:pPr>
      <w:tabs>
        <w:tab w:val="right" w:leader="dot" w:pos="8270"/>
      </w:tabs>
      <w:ind w:left="240"/>
      <w:jc w:val="center"/>
    </w:pPr>
  </w:style>
  <w:style w:type="paragraph" w:styleId="TOC3">
    <w:name w:val="toc 3"/>
    <w:basedOn w:val="Normal"/>
    <w:next w:val="Normal"/>
    <w:autoRedefine/>
    <w:uiPriority w:val="39"/>
    <w:rsid w:val="00F24219"/>
    <w:pPr>
      <w:ind w:left="480"/>
    </w:pPr>
  </w:style>
  <w:style w:type="paragraph" w:styleId="TOC4">
    <w:name w:val="toc 4"/>
    <w:basedOn w:val="Normal"/>
    <w:next w:val="Normal"/>
    <w:autoRedefine/>
    <w:semiHidden/>
    <w:rsid w:val="00F24219"/>
    <w:pPr>
      <w:ind w:left="720"/>
    </w:pPr>
  </w:style>
  <w:style w:type="paragraph" w:styleId="TOC5">
    <w:name w:val="toc 5"/>
    <w:basedOn w:val="Normal"/>
    <w:next w:val="Normal"/>
    <w:autoRedefine/>
    <w:semiHidden/>
    <w:rsid w:val="00F24219"/>
    <w:pPr>
      <w:ind w:left="960"/>
    </w:pPr>
  </w:style>
  <w:style w:type="paragraph" w:styleId="TOC6">
    <w:name w:val="toc 6"/>
    <w:basedOn w:val="Normal"/>
    <w:next w:val="Normal"/>
    <w:autoRedefine/>
    <w:semiHidden/>
    <w:rsid w:val="00F24219"/>
    <w:pPr>
      <w:ind w:left="1200"/>
    </w:pPr>
  </w:style>
  <w:style w:type="paragraph" w:styleId="TOC7">
    <w:name w:val="toc 7"/>
    <w:basedOn w:val="Normal"/>
    <w:next w:val="Normal"/>
    <w:autoRedefine/>
    <w:semiHidden/>
    <w:rsid w:val="00F24219"/>
    <w:pPr>
      <w:ind w:left="1440"/>
    </w:pPr>
  </w:style>
  <w:style w:type="paragraph" w:styleId="TOC8">
    <w:name w:val="toc 8"/>
    <w:basedOn w:val="Normal"/>
    <w:next w:val="Normal"/>
    <w:autoRedefine/>
    <w:semiHidden/>
    <w:rsid w:val="00F24219"/>
    <w:pPr>
      <w:ind w:left="1680"/>
    </w:pPr>
  </w:style>
  <w:style w:type="paragraph" w:styleId="TOC9">
    <w:name w:val="toc 9"/>
    <w:basedOn w:val="Normal"/>
    <w:next w:val="Normal"/>
    <w:autoRedefine/>
    <w:semiHidden/>
    <w:rsid w:val="00F24219"/>
    <w:pPr>
      <w:ind w:left="1920"/>
    </w:pPr>
  </w:style>
  <w:style w:type="paragraph" w:customStyle="1" w:styleId="thesistext">
    <w:name w:val="thesis text"/>
    <w:basedOn w:val="Normal"/>
    <w:autoRedefine/>
    <w:rsid w:val="00F24219"/>
    <w:pPr>
      <w:spacing w:after="240"/>
      <w:ind w:firstLine="540"/>
    </w:pPr>
    <w:rPr>
      <w:lang w:eastAsia="es-ES"/>
    </w:rPr>
  </w:style>
  <w:style w:type="paragraph" w:customStyle="1" w:styleId="StyleHeading1Centered">
    <w:name w:val="Style Heading 1 + Centered"/>
    <w:basedOn w:val="Heading1"/>
    <w:link w:val="StyleHeading1CenteredChar"/>
    <w:rsid w:val="00F24219"/>
    <w:pPr>
      <w:jc w:val="center"/>
    </w:pPr>
    <w:rPr>
      <w:caps/>
      <w:szCs w:val="28"/>
    </w:rPr>
  </w:style>
  <w:style w:type="character" w:customStyle="1" w:styleId="StyleHeading1CenteredChar">
    <w:name w:val="Style Heading 1 + Centered Char"/>
    <w:link w:val="StyleHeading1Centered"/>
    <w:rsid w:val="00F24219"/>
    <w:rPr>
      <w:rFonts w:ascii="Arial" w:eastAsia="Times New Roman" w:hAnsi="Arial" w:cs="Times New Roman"/>
      <w:b/>
      <w:bCs/>
      <w:caps/>
      <w:sz w:val="28"/>
      <w:szCs w:val="28"/>
    </w:rPr>
  </w:style>
  <w:style w:type="paragraph" w:styleId="NoSpacing">
    <w:name w:val="No Spacing"/>
    <w:uiPriority w:val="1"/>
    <w:qFormat/>
    <w:rsid w:val="00F24219"/>
    <w:pPr>
      <w:spacing w:after="0" w:line="240" w:lineRule="auto"/>
    </w:pPr>
    <w:rPr>
      <w:rFonts w:ascii="Calibri" w:eastAsia="Times New Roman" w:hAnsi="Calibri" w:cs="Times New Roman"/>
    </w:rPr>
  </w:style>
  <w:style w:type="paragraph" w:styleId="BalloonText">
    <w:name w:val="Balloon Text"/>
    <w:basedOn w:val="Normal"/>
    <w:link w:val="BalloonTextChar"/>
    <w:rsid w:val="00F24219"/>
    <w:rPr>
      <w:rFonts w:ascii="Tahoma" w:hAnsi="Tahoma" w:cs="Tahoma"/>
      <w:sz w:val="16"/>
      <w:szCs w:val="16"/>
    </w:rPr>
  </w:style>
  <w:style w:type="character" w:customStyle="1" w:styleId="BalloonTextChar">
    <w:name w:val="Balloon Text Char"/>
    <w:link w:val="BalloonText"/>
    <w:rsid w:val="00F24219"/>
    <w:rPr>
      <w:rFonts w:ascii="Tahoma" w:eastAsia="Times New Roman" w:hAnsi="Tahoma" w:cs="Tahoma"/>
      <w:sz w:val="16"/>
      <w:szCs w:val="16"/>
    </w:rPr>
  </w:style>
  <w:style w:type="character" w:styleId="FollowedHyperlink">
    <w:name w:val="FollowedHyperlink"/>
    <w:uiPriority w:val="99"/>
    <w:unhideWhenUsed/>
    <w:rsid w:val="00F24219"/>
    <w:rPr>
      <w:color w:val="800080"/>
      <w:u w:val="single"/>
    </w:rPr>
  </w:style>
  <w:style w:type="paragraph" w:customStyle="1" w:styleId="xl68">
    <w:name w:val="xl68"/>
    <w:basedOn w:val="Normal"/>
    <w:rsid w:val="00F24219"/>
    <w:pPr>
      <w:pBdr>
        <w:bottom w:val="single" w:sz="4" w:space="0" w:color="auto"/>
      </w:pBdr>
      <w:spacing w:before="100" w:beforeAutospacing="1" w:after="100" w:afterAutospacing="1"/>
      <w:jc w:val="center"/>
    </w:pPr>
    <w:rPr>
      <w:rFonts w:ascii="Arial" w:hAnsi="Arial" w:cs="Arial"/>
      <w:sz w:val="18"/>
      <w:szCs w:val="18"/>
    </w:rPr>
  </w:style>
  <w:style w:type="paragraph" w:customStyle="1" w:styleId="xl69">
    <w:name w:val="xl69"/>
    <w:basedOn w:val="Normal"/>
    <w:rsid w:val="00F24219"/>
    <w:pPr>
      <w:pBdr>
        <w:bottom w:val="single" w:sz="4" w:space="0" w:color="auto"/>
      </w:pBdr>
      <w:spacing w:before="100" w:beforeAutospacing="1" w:after="100" w:afterAutospacing="1"/>
      <w:jc w:val="center"/>
    </w:pPr>
    <w:rPr>
      <w:rFonts w:ascii="Arial" w:hAnsi="Arial" w:cs="Arial"/>
      <w:sz w:val="18"/>
      <w:szCs w:val="18"/>
    </w:rPr>
  </w:style>
  <w:style w:type="paragraph" w:customStyle="1" w:styleId="xl70">
    <w:name w:val="xl70"/>
    <w:basedOn w:val="Normal"/>
    <w:rsid w:val="00F24219"/>
    <w:pPr>
      <w:spacing w:before="100" w:beforeAutospacing="1" w:after="100" w:afterAutospacing="1"/>
      <w:jc w:val="center"/>
    </w:pPr>
    <w:rPr>
      <w:rFonts w:ascii="Arial" w:hAnsi="Arial" w:cs="Arial"/>
      <w:sz w:val="18"/>
      <w:szCs w:val="18"/>
    </w:rPr>
  </w:style>
  <w:style w:type="paragraph" w:customStyle="1" w:styleId="xl71">
    <w:name w:val="xl71"/>
    <w:basedOn w:val="Normal"/>
    <w:rsid w:val="00F24219"/>
    <w:pPr>
      <w:spacing w:before="100" w:beforeAutospacing="1" w:after="100" w:afterAutospacing="1"/>
      <w:jc w:val="center"/>
    </w:pPr>
    <w:rPr>
      <w:rFonts w:ascii="Arial" w:hAnsi="Arial" w:cs="Arial"/>
      <w:sz w:val="18"/>
      <w:szCs w:val="18"/>
    </w:rPr>
  </w:style>
  <w:style w:type="paragraph" w:customStyle="1" w:styleId="xl72">
    <w:name w:val="xl72"/>
    <w:basedOn w:val="Normal"/>
    <w:rsid w:val="00F24219"/>
    <w:pPr>
      <w:spacing w:before="100" w:beforeAutospacing="1" w:after="100" w:afterAutospacing="1"/>
      <w:jc w:val="center"/>
    </w:pPr>
    <w:rPr>
      <w:rFonts w:ascii="Arial" w:hAnsi="Arial" w:cs="Arial"/>
      <w:sz w:val="18"/>
      <w:szCs w:val="18"/>
    </w:rPr>
  </w:style>
  <w:style w:type="paragraph" w:customStyle="1" w:styleId="xl73">
    <w:name w:val="xl73"/>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74">
    <w:name w:val="xl74"/>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75">
    <w:name w:val="xl75"/>
    <w:basedOn w:val="Normal"/>
    <w:rsid w:val="00F24219"/>
    <w:pPr>
      <w:spacing w:before="100" w:beforeAutospacing="1" w:after="100" w:afterAutospacing="1"/>
      <w:jc w:val="center"/>
    </w:pPr>
    <w:rPr>
      <w:rFonts w:ascii="Arial" w:hAnsi="Arial" w:cs="Arial"/>
      <w:sz w:val="18"/>
      <w:szCs w:val="18"/>
    </w:rPr>
  </w:style>
  <w:style w:type="paragraph" w:customStyle="1" w:styleId="xl76">
    <w:name w:val="xl76"/>
    <w:basedOn w:val="Normal"/>
    <w:rsid w:val="00F24219"/>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hAnsi="Arial" w:cs="Arial"/>
      <w:sz w:val="18"/>
      <w:szCs w:val="18"/>
    </w:rPr>
  </w:style>
  <w:style w:type="paragraph" w:customStyle="1" w:styleId="xl77">
    <w:name w:val="xl77"/>
    <w:basedOn w:val="Normal"/>
    <w:rsid w:val="00F24219"/>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hAnsi="Arial" w:cs="Arial"/>
      <w:color w:val="000000"/>
      <w:sz w:val="18"/>
      <w:szCs w:val="18"/>
    </w:rPr>
  </w:style>
  <w:style w:type="paragraph" w:customStyle="1" w:styleId="xl78">
    <w:name w:val="xl78"/>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79">
    <w:name w:val="xl79"/>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80">
    <w:name w:val="xl80"/>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81">
    <w:name w:val="xl81"/>
    <w:basedOn w:val="Normal"/>
    <w:rsid w:val="00F24219"/>
    <w:pPr>
      <w:spacing w:before="100" w:beforeAutospacing="1" w:after="100" w:afterAutospacing="1"/>
      <w:jc w:val="center"/>
    </w:pPr>
    <w:rPr>
      <w:rFonts w:ascii="Arial" w:hAnsi="Arial" w:cs="Arial"/>
      <w:color w:val="000000"/>
      <w:sz w:val="18"/>
      <w:szCs w:val="18"/>
    </w:rPr>
  </w:style>
  <w:style w:type="paragraph" w:customStyle="1" w:styleId="xl82">
    <w:name w:val="xl82"/>
    <w:basedOn w:val="Normal"/>
    <w:rsid w:val="00F24219"/>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hAnsi="Arial" w:cs="Arial"/>
      <w:sz w:val="18"/>
      <w:szCs w:val="18"/>
    </w:rPr>
  </w:style>
  <w:style w:type="paragraph" w:customStyle="1" w:styleId="xl83">
    <w:name w:val="xl83"/>
    <w:basedOn w:val="Normal"/>
    <w:rsid w:val="00F24219"/>
    <w:pPr>
      <w:spacing w:before="100" w:beforeAutospacing="1" w:after="100" w:afterAutospacing="1"/>
      <w:jc w:val="center"/>
    </w:pPr>
    <w:rPr>
      <w:rFonts w:ascii="Arial" w:hAnsi="Arial" w:cs="Arial"/>
      <w:sz w:val="18"/>
      <w:szCs w:val="18"/>
    </w:rPr>
  </w:style>
  <w:style w:type="paragraph" w:customStyle="1" w:styleId="xl84">
    <w:name w:val="xl84"/>
    <w:basedOn w:val="Normal"/>
    <w:rsid w:val="00F24219"/>
    <w:pPr>
      <w:pBdr>
        <w:top w:val="single" w:sz="4" w:space="0" w:color="C0C0C0"/>
        <w:left w:val="single" w:sz="4" w:space="0" w:color="C0C0C0"/>
        <w:bottom w:val="single" w:sz="4" w:space="0" w:color="C0C0C0"/>
        <w:right w:val="single" w:sz="4" w:space="0" w:color="C0C0C0"/>
      </w:pBdr>
      <w:spacing w:before="100" w:beforeAutospacing="1" w:after="100" w:afterAutospacing="1"/>
      <w:jc w:val="center"/>
    </w:pPr>
    <w:rPr>
      <w:rFonts w:ascii="Arial" w:hAnsi="Arial" w:cs="Arial"/>
      <w:sz w:val="18"/>
      <w:szCs w:val="18"/>
    </w:rPr>
  </w:style>
  <w:style w:type="paragraph" w:customStyle="1" w:styleId="xl85">
    <w:name w:val="xl85"/>
    <w:basedOn w:val="Normal"/>
    <w:rsid w:val="00F24219"/>
    <w:pPr>
      <w:spacing w:before="100" w:beforeAutospacing="1" w:after="100" w:afterAutospacing="1"/>
      <w:jc w:val="center"/>
    </w:pPr>
    <w:rPr>
      <w:rFonts w:ascii="Arial" w:hAnsi="Arial" w:cs="Arial"/>
      <w:sz w:val="18"/>
      <w:szCs w:val="18"/>
    </w:rPr>
  </w:style>
  <w:style w:type="paragraph" w:customStyle="1" w:styleId="xl86">
    <w:name w:val="xl86"/>
    <w:basedOn w:val="Normal"/>
    <w:rsid w:val="00F24219"/>
    <w:pPr>
      <w:spacing w:before="100" w:beforeAutospacing="1" w:after="100" w:afterAutospacing="1"/>
      <w:jc w:val="center"/>
    </w:pPr>
    <w:rPr>
      <w:rFonts w:ascii="Arial" w:hAnsi="Arial" w:cs="Arial"/>
      <w:color w:val="000000"/>
      <w:sz w:val="18"/>
      <w:szCs w:val="18"/>
    </w:rPr>
  </w:style>
  <w:style w:type="character" w:customStyle="1" w:styleId="apple-style-span">
    <w:name w:val="apple-style-span"/>
    <w:rsid w:val="00F24219"/>
  </w:style>
  <w:style w:type="character" w:styleId="CommentReference">
    <w:name w:val="annotation reference"/>
    <w:rsid w:val="00F24219"/>
    <w:rPr>
      <w:sz w:val="16"/>
      <w:szCs w:val="16"/>
    </w:rPr>
  </w:style>
  <w:style w:type="paragraph" w:styleId="CommentText">
    <w:name w:val="annotation text"/>
    <w:basedOn w:val="Normal"/>
    <w:link w:val="CommentTextChar"/>
    <w:rsid w:val="00F24219"/>
    <w:rPr>
      <w:sz w:val="20"/>
      <w:szCs w:val="20"/>
    </w:rPr>
  </w:style>
  <w:style w:type="character" w:customStyle="1" w:styleId="CommentTextChar">
    <w:name w:val="Comment Text Char"/>
    <w:basedOn w:val="DefaultParagraphFont"/>
    <w:link w:val="CommentText"/>
    <w:rsid w:val="00F242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24219"/>
    <w:rPr>
      <w:b/>
      <w:bCs/>
    </w:rPr>
  </w:style>
  <w:style w:type="character" w:customStyle="1" w:styleId="CommentSubjectChar">
    <w:name w:val="Comment Subject Char"/>
    <w:link w:val="CommentSubject"/>
    <w:rsid w:val="00F24219"/>
    <w:rPr>
      <w:rFonts w:ascii="Times New Roman" w:eastAsia="Times New Roman" w:hAnsi="Times New Roman" w:cs="Times New Roman"/>
      <w:b/>
      <w:bCs/>
      <w:sz w:val="20"/>
      <w:szCs w:val="20"/>
    </w:rPr>
  </w:style>
  <w:style w:type="paragraph" w:styleId="NormalWeb">
    <w:name w:val="Normal (Web)"/>
    <w:basedOn w:val="Normal"/>
    <w:uiPriority w:val="99"/>
    <w:unhideWhenUsed/>
    <w:rsid w:val="00F24219"/>
    <w:pPr>
      <w:spacing w:before="100" w:beforeAutospacing="1" w:after="100" w:afterAutospacing="1"/>
    </w:pPr>
  </w:style>
  <w:style w:type="character" w:customStyle="1" w:styleId="apple-converted-space">
    <w:name w:val="apple-converted-space"/>
    <w:basedOn w:val="DefaultParagraphFont"/>
    <w:rsid w:val="00851749"/>
  </w:style>
  <w:style w:type="paragraph" w:styleId="ListParagraph">
    <w:name w:val="List Paragraph"/>
    <w:basedOn w:val="Normal"/>
    <w:uiPriority w:val="34"/>
    <w:qFormat/>
    <w:rsid w:val="00E025ED"/>
    <w:pPr>
      <w:ind w:left="720"/>
      <w:contextualSpacing/>
    </w:pPr>
  </w:style>
  <w:style w:type="character" w:customStyle="1" w:styleId="frlabel">
    <w:name w:val="fr_label"/>
    <w:basedOn w:val="DefaultParagraphFont"/>
    <w:rsid w:val="00377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72966">
      <w:bodyDiv w:val="1"/>
      <w:marLeft w:val="0"/>
      <w:marRight w:val="0"/>
      <w:marTop w:val="0"/>
      <w:marBottom w:val="0"/>
      <w:divBdr>
        <w:top w:val="none" w:sz="0" w:space="0" w:color="auto"/>
        <w:left w:val="none" w:sz="0" w:space="0" w:color="auto"/>
        <w:bottom w:val="none" w:sz="0" w:space="0" w:color="auto"/>
        <w:right w:val="none" w:sz="0" w:space="0" w:color="auto"/>
      </w:divBdr>
    </w:div>
    <w:div w:id="138348240">
      <w:bodyDiv w:val="1"/>
      <w:marLeft w:val="0"/>
      <w:marRight w:val="0"/>
      <w:marTop w:val="0"/>
      <w:marBottom w:val="0"/>
      <w:divBdr>
        <w:top w:val="none" w:sz="0" w:space="0" w:color="auto"/>
        <w:left w:val="none" w:sz="0" w:space="0" w:color="auto"/>
        <w:bottom w:val="none" w:sz="0" w:space="0" w:color="auto"/>
        <w:right w:val="none" w:sz="0" w:space="0" w:color="auto"/>
      </w:divBdr>
    </w:div>
    <w:div w:id="361327774">
      <w:bodyDiv w:val="1"/>
      <w:marLeft w:val="0"/>
      <w:marRight w:val="0"/>
      <w:marTop w:val="0"/>
      <w:marBottom w:val="0"/>
      <w:divBdr>
        <w:top w:val="none" w:sz="0" w:space="0" w:color="auto"/>
        <w:left w:val="none" w:sz="0" w:space="0" w:color="auto"/>
        <w:bottom w:val="none" w:sz="0" w:space="0" w:color="auto"/>
        <w:right w:val="none" w:sz="0" w:space="0" w:color="auto"/>
      </w:divBdr>
    </w:div>
    <w:div w:id="723799854">
      <w:bodyDiv w:val="1"/>
      <w:marLeft w:val="0"/>
      <w:marRight w:val="0"/>
      <w:marTop w:val="0"/>
      <w:marBottom w:val="0"/>
      <w:divBdr>
        <w:top w:val="none" w:sz="0" w:space="0" w:color="auto"/>
        <w:left w:val="none" w:sz="0" w:space="0" w:color="auto"/>
        <w:bottom w:val="none" w:sz="0" w:space="0" w:color="auto"/>
        <w:right w:val="none" w:sz="0" w:space="0" w:color="auto"/>
      </w:divBdr>
    </w:div>
    <w:div w:id="769859427">
      <w:bodyDiv w:val="1"/>
      <w:marLeft w:val="0"/>
      <w:marRight w:val="0"/>
      <w:marTop w:val="0"/>
      <w:marBottom w:val="0"/>
      <w:divBdr>
        <w:top w:val="none" w:sz="0" w:space="0" w:color="auto"/>
        <w:left w:val="none" w:sz="0" w:space="0" w:color="auto"/>
        <w:bottom w:val="none" w:sz="0" w:space="0" w:color="auto"/>
        <w:right w:val="none" w:sz="0" w:space="0" w:color="auto"/>
      </w:divBdr>
    </w:div>
    <w:div w:id="940840069">
      <w:bodyDiv w:val="1"/>
      <w:marLeft w:val="0"/>
      <w:marRight w:val="0"/>
      <w:marTop w:val="0"/>
      <w:marBottom w:val="0"/>
      <w:divBdr>
        <w:top w:val="none" w:sz="0" w:space="0" w:color="auto"/>
        <w:left w:val="none" w:sz="0" w:space="0" w:color="auto"/>
        <w:bottom w:val="none" w:sz="0" w:space="0" w:color="auto"/>
        <w:right w:val="none" w:sz="0" w:space="0" w:color="auto"/>
      </w:divBdr>
    </w:div>
    <w:div w:id="1045717573">
      <w:bodyDiv w:val="1"/>
      <w:marLeft w:val="0"/>
      <w:marRight w:val="0"/>
      <w:marTop w:val="0"/>
      <w:marBottom w:val="0"/>
      <w:divBdr>
        <w:top w:val="none" w:sz="0" w:space="0" w:color="auto"/>
        <w:left w:val="none" w:sz="0" w:space="0" w:color="auto"/>
        <w:bottom w:val="none" w:sz="0" w:space="0" w:color="auto"/>
        <w:right w:val="none" w:sz="0" w:space="0" w:color="auto"/>
      </w:divBdr>
    </w:div>
    <w:div w:id="1382749520">
      <w:bodyDiv w:val="1"/>
      <w:marLeft w:val="0"/>
      <w:marRight w:val="0"/>
      <w:marTop w:val="0"/>
      <w:marBottom w:val="0"/>
      <w:divBdr>
        <w:top w:val="none" w:sz="0" w:space="0" w:color="auto"/>
        <w:left w:val="none" w:sz="0" w:space="0" w:color="auto"/>
        <w:bottom w:val="none" w:sz="0" w:space="0" w:color="auto"/>
        <w:right w:val="none" w:sz="0" w:space="0" w:color="auto"/>
      </w:divBdr>
    </w:div>
    <w:div w:id="1679768714">
      <w:bodyDiv w:val="1"/>
      <w:marLeft w:val="0"/>
      <w:marRight w:val="0"/>
      <w:marTop w:val="0"/>
      <w:marBottom w:val="0"/>
      <w:divBdr>
        <w:top w:val="none" w:sz="0" w:space="0" w:color="auto"/>
        <w:left w:val="none" w:sz="0" w:space="0" w:color="auto"/>
        <w:bottom w:val="none" w:sz="0" w:space="0" w:color="auto"/>
        <w:right w:val="none" w:sz="0" w:space="0" w:color="auto"/>
      </w:divBdr>
    </w:div>
    <w:div w:id="1958635275">
      <w:bodyDiv w:val="1"/>
      <w:marLeft w:val="0"/>
      <w:marRight w:val="0"/>
      <w:marTop w:val="0"/>
      <w:marBottom w:val="0"/>
      <w:divBdr>
        <w:top w:val="none" w:sz="0" w:space="0" w:color="auto"/>
        <w:left w:val="none" w:sz="0" w:space="0" w:color="auto"/>
        <w:bottom w:val="none" w:sz="0" w:space="0" w:color="auto"/>
        <w:right w:val="none" w:sz="0" w:space="0" w:color="auto"/>
      </w:divBdr>
    </w:div>
    <w:div w:id="198404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3.jpg"/><Relationship Id="rId26"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chart" Target="charts/chart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4.xml"/><Relationship Id="rId25" Type="http://schemas.openxmlformats.org/officeDocument/2006/relationships/image" Target="media/image6.jpe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jpeg"/><Relationship Id="rId32" Type="http://schemas.openxmlformats.org/officeDocument/2006/relationships/hyperlink" Target="http://www.fhwa.dot.gov/policy/ohpi/hss/hsspubs.cfm"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4.jpeg"/><Relationship Id="rId28" Type="http://schemas.openxmlformats.org/officeDocument/2006/relationships/chart" Target="charts/chart9.xml"/><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image" Target="media/image8.png"/><Relationship Id="rId30" Type="http://schemas.openxmlformats.org/officeDocument/2006/relationships/chart" Target="charts/chart10.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Gray\Dropbox\Thesis\ThesisTables(fert,ps,etc).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C:\Users\Gray\Dropbox\Thesis\TotalCO2Database_620.xlsx" TargetMode="External"/><Relationship Id="rId1" Type="http://schemas.openxmlformats.org/officeDocument/2006/relationships/themeOverride" Target="../theme/themeOverride1.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Gray\Dropbox\Thesis\TotalCO2Database_620.xlsx" TargetMode="External"/><Relationship Id="rId1" Type="http://schemas.openxmlformats.org/officeDocument/2006/relationships/themeOverride" Target="../theme/themeOverride2.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Gray\Dropbox\Thesis\ThesisTables(fert,ps,etc).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Gray\Dropbox\Thesis\ThesisTables(fert,ps,etc).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Gray\Dropbox\Thesis\ThesisTables(fert,ps,etc).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Gray\Dropbox\Thesis\ThesisTables(fert,ps,etc).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Gray\Dropbox\Thesis\ThesisTables(fert,ps,etc).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Gray\Dropbox\Thesis\ThesisTables(fert,ps,etc).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Gray\Dropbox\Thesis\TotalCO2Database_6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SOC 2008</c:v>
          </c:tx>
          <c:spPr>
            <a:pattFill prst="pct50">
              <a:fgClr>
                <a:schemeClr val="tx1"/>
              </a:fgClr>
              <a:bgClr>
                <a:schemeClr val="bg1"/>
              </a:bgClr>
            </a:pattFill>
            <a:ln>
              <a:solidFill>
                <a:schemeClr val="tx1"/>
              </a:solidFill>
            </a:ln>
          </c:spPr>
          <c:invertIfNegative val="0"/>
          <c:errBars>
            <c:errBarType val="both"/>
            <c:errValType val="cust"/>
            <c:noEndCap val="0"/>
            <c:plus>
              <c:numRef>
                <c:f>'[SOC Database.xlsx]Graphs'!$B$3:$H$3</c:f>
                <c:numCache>
                  <c:formatCode>General</c:formatCode>
                  <c:ptCount val="7"/>
                  <c:pt idx="0">
                    <c:v>0.52772276857260236</c:v>
                  </c:pt>
                  <c:pt idx="1">
                    <c:v>0.4642068720304221</c:v>
                  </c:pt>
                  <c:pt idx="2">
                    <c:v>0.32065038651628086</c:v>
                  </c:pt>
                  <c:pt idx="3">
                    <c:v>0.42646963202216798</c:v>
                  </c:pt>
                  <c:pt idx="4">
                    <c:v>0.3226417169757122</c:v>
                  </c:pt>
                  <c:pt idx="5">
                    <c:v>0.2466805995064128</c:v>
                  </c:pt>
                  <c:pt idx="6">
                    <c:v>0.23830200234794127</c:v>
                  </c:pt>
                </c:numCache>
              </c:numRef>
            </c:plus>
            <c:minus>
              <c:numRef>
                <c:f>'[SOC Database.xlsx]Graphs'!$B$3:$H$3</c:f>
                <c:numCache>
                  <c:formatCode>General</c:formatCode>
                  <c:ptCount val="7"/>
                  <c:pt idx="0">
                    <c:v>0.52772276857260236</c:v>
                  </c:pt>
                  <c:pt idx="1">
                    <c:v>0.4642068720304221</c:v>
                  </c:pt>
                  <c:pt idx="2">
                    <c:v>0.32065038651628086</c:v>
                  </c:pt>
                  <c:pt idx="3">
                    <c:v>0.42646963202216798</c:v>
                  </c:pt>
                  <c:pt idx="4">
                    <c:v>0.3226417169757122</c:v>
                  </c:pt>
                  <c:pt idx="5">
                    <c:v>0.2466805995064128</c:v>
                  </c:pt>
                  <c:pt idx="6">
                    <c:v>0.23830200234794127</c:v>
                  </c:pt>
                </c:numCache>
              </c:numRef>
            </c:minus>
          </c:errBars>
          <c:cat>
            <c:strRef>
              <c:f>'[SOC Database.xlsx]Graphs'!$B$1:$H$1</c:f>
              <c:strCache>
                <c:ptCount val="7"/>
                <c:pt idx="0">
                  <c:v>0-5cm</c:v>
                </c:pt>
                <c:pt idx="1">
                  <c:v>5-10cm</c:v>
                </c:pt>
                <c:pt idx="2">
                  <c:v>10-15cm</c:v>
                </c:pt>
                <c:pt idx="3">
                  <c:v>15-30cm</c:v>
                </c:pt>
                <c:pt idx="4">
                  <c:v>30-60cm</c:v>
                </c:pt>
                <c:pt idx="5">
                  <c:v>60-90cm</c:v>
                </c:pt>
                <c:pt idx="6">
                  <c:v>90-120cm</c:v>
                </c:pt>
              </c:strCache>
            </c:strRef>
          </c:cat>
          <c:val>
            <c:numRef>
              <c:f>'[SOC Database.xlsx]Graphs'!$B$2:$H$2</c:f>
              <c:numCache>
                <c:formatCode>General</c:formatCode>
                <c:ptCount val="7"/>
                <c:pt idx="0">
                  <c:v>2.0322848569285177</c:v>
                </c:pt>
                <c:pt idx="1">
                  <c:v>1.4455703211517152</c:v>
                </c:pt>
                <c:pt idx="2">
                  <c:v>1.0147856817145466</c:v>
                </c:pt>
                <c:pt idx="3">
                  <c:v>0.77594585213467449</c:v>
                </c:pt>
                <c:pt idx="4">
                  <c:v>0.45118983234180643</c:v>
                </c:pt>
                <c:pt idx="5">
                  <c:v>0.29618863049095584</c:v>
                </c:pt>
                <c:pt idx="6">
                  <c:v>0.23580711354309189</c:v>
                </c:pt>
              </c:numCache>
            </c:numRef>
          </c:val>
        </c:ser>
        <c:ser>
          <c:idx val="1"/>
          <c:order val="1"/>
          <c:tx>
            <c:v>SOC 2009</c:v>
          </c:tx>
          <c:spPr>
            <a:pattFill prst="ltDnDiag">
              <a:fgClr>
                <a:schemeClr val="tx1"/>
              </a:fgClr>
              <a:bgClr>
                <a:schemeClr val="bg1"/>
              </a:bgClr>
            </a:pattFill>
            <a:ln>
              <a:solidFill>
                <a:schemeClr val="tx1"/>
              </a:solidFill>
            </a:ln>
          </c:spPr>
          <c:invertIfNegative val="0"/>
          <c:errBars>
            <c:errBarType val="both"/>
            <c:errValType val="cust"/>
            <c:noEndCap val="0"/>
            <c:plus>
              <c:numRef>
                <c:f>'[SOC Database.xlsx]Graphs'!$B$6:$H$6</c:f>
                <c:numCache>
                  <c:formatCode>General</c:formatCode>
                  <c:ptCount val="7"/>
                  <c:pt idx="0">
                    <c:v>0.54911240990895982</c:v>
                  </c:pt>
                  <c:pt idx="1">
                    <c:v>0.36499475676671744</c:v>
                  </c:pt>
                  <c:pt idx="2">
                    <c:v>0.27398147646676801</c:v>
                  </c:pt>
                  <c:pt idx="3">
                    <c:v>0.32006263225102499</c:v>
                  </c:pt>
                  <c:pt idx="4">
                    <c:v>0.34451440031946978</c:v>
                  </c:pt>
                  <c:pt idx="5">
                    <c:v>0.24971111924572092</c:v>
                  </c:pt>
                  <c:pt idx="6">
                    <c:v>0.25989384078646688</c:v>
                  </c:pt>
                </c:numCache>
              </c:numRef>
            </c:plus>
            <c:minus>
              <c:numRef>
                <c:f>'[SOC Database.xlsx]Graphs'!$B$6:$H$6</c:f>
                <c:numCache>
                  <c:formatCode>General</c:formatCode>
                  <c:ptCount val="7"/>
                  <c:pt idx="0">
                    <c:v>0.54911240990895982</c:v>
                  </c:pt>
                  <c:pt idx="1">
                    <c:v>0.36499475676671744</c:v>
                  </c:pt>
                  <c:pt idx="2">
                    <c:v>0.27398147646676801</c:v>
                  </c:pt>
                  <c:pt idx="3">
                    <c:v>0.32006263225102499</c:v>
                  </c:pt>
                  <c:pt idx="4">
                    <c:v>0.34451440031946978</c:v>
                  </c:pt>
                  <c:pt idx="5">
                    <c:v>0.24971111924572092</c:v>
                  </c:pt>
                  <c:pt idx="6">
                    <c:v>0.25989384078646688</c:v>
                  </c:pt>
                </c:numCache>
              </c:numRef>
            </c:minus>
          </c:errBars>
          <c:val>
            <c:numRef>
              <c:f>'[SOC Database.xlsx]Graphs'!$B$5:$H$5</c:f>
              <c:numCache>
                <c:formatCode>General</c:formatCode>
                <c:ptCount val="7"/>
                <c:pt idx="0">
                  <c:v>1.9444767441860467</c:v>
                </c:pt>
                <c:pt idx="1">
                  <c:v>1.2893991264313547</c:v>
                </c:pt>
                <c:pt idx="2">
                  <c:v>0.92876438806671513</c:v>
                </c:pt>
                <c:pt idx="3">
                  <c:v>0.75397796817625584</c:v>
                </c:pt>
                <c:pt idx="4">
                  <c:v>0.43905372894947847</c:v>
                </c:pt>
                <c:pt idx="5">
                  <c:v>0.3316106804478901</c:v>
                </c:pt>
                <c:pt idx="6">
                  <c:v>0.27539779681762555</c:v>
                </c:pt>
              </c:numCache>
            </c:numRef>
          </c:val>
        </c:ser>
        <c:ser>
          <c:idx val="2"/>
          <c:order val="2"/>
          <c:tx>
            <c:v>SOC 2010</c:v>
          </c:tx>
          <c:spPr>
            <a:pattFill prst="dashDnDiag">
              <a:fgClr>
                <a:schemeClr val="tx1"/>
              </a:fgClr>
              <a:bgClr>
                <a:schemeClr val="bg1"/>
              </a:bgClr>
            </a:pattFill>
            <a:ln>
              <a:solidFill>
                <a:schemeClr val="tx1"/>
              </a:solidFill>
            </a:ln>
          </c:spPr>
          <c:invertIfNegative val="0"/>
          <c:errBars>
            <c:errBarType val="both"/>
            <c:errValType val="cust"/>
            <c:noEndCap val="0"/>
            <c:plus>
              <c:numRef>
                <c:f>'[SOC Database.xlsx]Graphs'!$B$9:$H$9</c:f>
                <c:numCache>
                  <c:formatCode>General</c:formatCode>
                  <c:ptCount val="7"/>
                  <c:pt idx="0">
                    <c:v>0.5703310270705686</c:v>
                  </c:pt>
                  <c:pt idx="1">
                    <c:v>0.39530091901353953</c:v>
                  </c:pt>
                  <c:pt idx="2">
                    <c:v>0.28340757523296806</c:v>
                  </c:pt>
                  <c:pt idx="3">
                    <c:v>0.27292404564243666</c:v>
                  </c:pt>
                  <c:pt idx="4">
                    <c:v>0.3222395213998977</c:v>
                  </c:pt>
                  <c:pt idx="5">
                    <c:v>0.26375980800536164</c:v>
                  </c:pt>
                  <c:pt idx="6">
                    <c:v>0.51926534302436633</c:v>
                  </c:pt>
                </c:numCache>
              </c:numRef>
            </c:plus>
            <c:minus>
              <c:numRef>
                <c:f>'[SOC Database.xlsx]Graphs'!$B$9:$H$9</c:f>
                <c:numCache>
                  <c:formatCode>General</c:formatCode>
                  <c:ptCount val="7"/>
                  <c:pt idx="0">
                    <c:v>0.5703310270705686</c:v>
                  </c:pt>
                  <c:pt idx="1">
                    <c:v>0.39530091901353953</c:v>
                  </c:pt>
                  <c:pt idx="2">
                    <c:v>0.28340757523296806</c:v>
                  </c:pt>
                  <c:pt idx="3">
                    <c:v>0.27292404564243666</c:v>
                  </c:pt>
                  <c:pt idx="4">
                    <c:v>0.3222395213998977</c:v>
                  </c:pt>
                  <c:pt idx="5">
                    <c:v>0.26375980800536164</c:v>
                  </c:pt>
                  <c:pt idx="6">
                    <c:v>0.51926534302436633</c:v>
                  </c:pt>
                </c:numCache>
              </c:numRef>
            </c:minus>
          </c:errBars>
          <c:val>
            <c:numRef>
              <c:f>'[SOC Database.xlsx]Graphs'!$B$8:$H$8</c:f>
              <c:numCache>
                <c:formatCode>General</c:formatCode>
                <c:ptCount val="7"/>
                <c:pt idx="0">
                  <c:v>1.9620227803703141</c:v>
                </c:pt>
                <c:pt idx="1">
                  <c:v>1.302793340811593</c:v>
                </c:pt>
                <c:pt idx="2">
                  <c:v>0.93129172858832554</c:v>
                </c:pt>
                <c:pt idx="3">
                  <c:v>0.69301471579426743</c:v>
                </c:pt>
                <c:pt idx="4">
                  <c:v>0.5606944071395058</c:v>
                </c:pt>
                <c:pt idx="5">
                  <c:v>0.35728542725829537</c:v>
                </c:pt>
                <c:pt idx="6">
                  <c:v>0.34405655729951284</c:v>
                </c:pt>
              </c:numCache>
            </c:numRef>
          </c:val>
        </c:ser>
        <c:ser>
          <c:idx val="3"/>
          <c:order val="3"/>
          <c:tx>
            <c:v>SOC 2011</c:v>
          </c:tx>
          <c:spPr>
            <a:pattFill prst="horzBrick">
              <a:fgClr>
                <a:schemeClr val="tx1"/>
              </a:fgClr>
              <a:bgClr>
                <a:schemeClr val="bg1"/>
              </a:bgClr>
            </a:pattFill>
            <a:ln>
              <a:solidFill>
                <a:schemeClr val="tx1"/>
              </a:solidFill>
            </a:ln>
          </c:spPr>
          <c:invertIfNegative val="0"/>
          <c:errBars>
            <c:errBarType val="both"/>
            <c:errValType val="cust"/>
            <c:noEndCap val="0"/>
            <c:plus>
              <c:numRef>
                <c:f>'[SOC Database.xlsx]Graphs'!$B$12:$H$12</c:f>
                <c:numCache>
                  <c:formatCode>General</c:formatCode>
                  <c:ptCount val="7"/>
                  <c:pt idx="0">
                    <c:v>0.53821705756046445</c:v>
                  </c:pt>
                  <c:pt idx="1">
                    <c:v>0.42448307754310477</c:v>
                  </c:pt>
                  <c:pt idx="2">
                    <c:v>0.31030792610628721</c:v>
                  </c:pt>
                  <c:pt idx="3">
                    <c:v>0.33130290542035873</c:v>
                  </c:pt>
                  <c:pt idx="4">
                    <c:v>0.26173344399877763</c:v>
                  </c:pt>
                  <c:pt idx="5">
                    <c:v>0.27008098051491769</c:v>
                  </c:pt>
                  <c:pt idx="6">
                    <c:v>0.37580591061247504</c:v>
                  </c:pt>
                </c:numCache>
              </c:numRef>
            </c:plus>
            <c:minus>
              <c:numRef>
                <c:f>'[SOC Database.xlsx]Graphs'!$B$12:$H$12</c:f>
                <c:numCache>
                  <c:formatCode>General</c:formatCode>
                  <c:ptCount val="7"/>
                  <c:pt idx="0">
                    <c:v>0.53821705756046445</c:v>
                  </c:pt>
                  <c:pt idx="1">
                    <c:v>0.42448307754310477</c:v>
                  </c:pt>
                  <c:pt idx="2">
                    <c:v>0.31030792610628721</c:v>
                  </c:pt>
                  <c:pt idx="3">
                    <c:v>0.33130290542035873</c:v>
                  </c:pt>
                  <c:pt idx="4">
                    <c:v>0.26173344399877763</c:v>
                  </c:pt>
                  <c:pt idx="5">
                    <c:v>0.27008098051491769</c:v>
                  </c:pt>
                  <c:pt idx="6">
                    <c:v>0.37580591061247504</c:v>
                  </c:pt>
                </c:numCache>
              </c:numRef>
            </c:minus>
          </c:errBars>
          <c:val>
            <c:numRef>
              <c:f>'[SOC Database.xlsx]Graphs'!$B$11:$H$11</c:f>
              <c:numCache>
                <c:formatCode>General</c:formatCode>
                <c:ptCount val="7"/>
                <c:pt idx="0">
                  <c:v>1.9471772085641317</c:v>
                </c:pt>
                <c:pt idx="1">
                  <c:v>1.2567594532229474</c:v>
                </c:pt>
                <c:pt idx="2">
                  <c:v>0.92492780838035726</c:v>
                </c:pt>
                <c:pt idx="3">
                  <c:v>0.72032482485100413</c:v>
                </c:pt>
                <c:pt idx="4">
                  <c:v>0.47901826002635062</c:v>
                </c:pt>
                <c:pt idx="5">
                  <c:v>0.37755996830040411</c:v>
                </c:pt>
                <c:pt idx="6">
                  <c:v>0.31971122076114017</c:v>
                </c:pt>
              </c:numCache>
            </c:numRef>
          </c:val>
        </c:ser>
        <c:dLbls>
          <c:showLegendKey val="0"/>
          <c:showVal val="0"/>
          <c:showCatName val="0"/>
          <c:showSerName val="0"/>
          <c:showPercent val="0"/>
          <c:showBubbleSize val="0"/>
        </c:dLbls>
        <c:gapWidth val="150"/>
        <c:axId val="81353344"/>
        <c:axId val="81359232"/>
      </c:barChart>
      <c:catAx>
        <c:axId val="81353344"/>
        <c:scaling>
          <c:orientation val="minMax"/>
        </c:scaling>
        <c:delete val="0"/>
        <c:axPos val="b"/>
        <c:numFmt formatCode="General" sourceLinked="1"/>
        <c:majorTickMark val="out"/>
        <c:minorTickMark val="none"/>
        <c:tickLblPos val="nextTo"/>
        <c:crossAx val="81359232"/>
        <c:crosses val="autoZero"/>
        <c:auto val="1"/>
        <c:lblAlgn val="ctr"/>
        <c:lblOffset val="100"/>
        <c:noMultiLvlLbl val="0"/>
      </c:catAx>
      <c:valAx>
        <c:axId val="81359232"/>
        <c:scaling>
          <c:orientation val="minMax"/>
          <c:min val="0"/>
        </c:scaling>
        <c:delete val="0"/>
        <c:axPos val="l"/>
        <c:majorGridlines/>
        <c:title>
          <c:tx>
            <c:rich>
              <a:bodyPr rot="-5400000" vert="horz"/>
              <a:lstStyle/>
              <a:p>
                <a:pPr>
                  <a:defRPr/>
                </a:pPr>
                <a:r>
                  <a:rPr lang="en-US"/>
                  <a:t>Soil Organic Carbon (%)</a:t>
                </a:r>
              </a:p>
            </c:rich>
          </c:tx>
          <c:overlay val="0"/>
        </c:title>
        <c:numFmt formatCode="General" sourceLinked="1"/>
        <c:majorTickMark val="out"/>
        <c:minorTickMark val="none"/>
        <c:tickLblPos val="nextTo"/>
        <c:crossAx val="81353344"/>
        <c:crosses val="autoZero"/>
        <c:crossBetween val="between"/>
      </c:valAx>
    </c:plotArea>
    <c:legend>
      <c:legendPos val="r"/>
      <c:overlay val="0"/>
    </c:legend>
    <c:plotVisOnly val="1"/>
    <c:dispBlanksAs val="gap"/>
    <c:showDLblsOverMax val="0"/>
  </c:chart>
  <c:txPr>
    <a:bodyPr/>
    <a:lstStyle/>
    <a:p>
      <a:pPr>
        <a:defRPr>
          <a:solidFill>
            <a:sysClr val="windowText" lastClr="000000"/>
          </a:solidFill>
          <a:latin typeface="Times New Roman" pitchFamily="18" charset="0"/>
          <a:cs typeface="Times New Roman" pitchFamily="18" charset="0"/>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37415440510419"/>
          <c:y val="0.10887074445662924"/>
          <c:w val="0.63321568600969425"/>
          <c:h val="0.73836090192494841"/>
        </c:manualLayout>
      </c:layout>
      <c:scatterChart>
        <c:scatterStyle val="lineMarker"/>
        <c:varyColors val="0"/>
        <c:ser>
          <c:idx val="0"/>
          <c:order val="0"/>
          <c:tx>
            <c:v>Cover</c:v>
          </c:tx>
          <c:spPr>
            <a:ln>
              <a:noFill/>
            </a:ln>
          </c:spPr>
          <c:marker>
            <c:symbol val="x"/>
            <c:size val="4"/>
            <c:spPr>
              <a:noFill/>
              <a:ln>
                <a:solidFill>
                  <a:schemeClr val="tx1"/>
                </a:solidFill>
              </a:ln>
            </c:spPr>
          </c:marker>
          <c:xVal>
            <c:numRef>
              <c:f>total!$A$2:$A$445</c:f>
              <c:numCache>
                <c:formatCode>[$-409]d\-mmm\-yy;@</c:formatCode>
                <c:ptCount val="444"/>
                <c:pt idx="0">
                  <c:v>40330</c:v>
                </c:pt>
                <c:pt idx="1">
                  <c:v>40331</c:v>
                </c:pt>
                <c:pt idx="2">
                  <c:v>40332</c:v>
                </c:pt>
                <c:pt idx="3">
                  <c:v>40333</c:v>
                </c:pt>
                <c:pt idx="4">
                  <c:v>40334</c:v>
                </c:pt>
                <c:pt idx="5">
                  <c:v>40335</c:v>
                </c:pt>
                <c:pt idx="6">
                  <c:v>40336</c:v>
                </c:pt>
                <c:pt idx="7">
                  <c:v>40337</c:v>
                </c:pt>
                <c:pt idx="8">
                  <c:v>40338</c:v>
                </c:pt>
                <c:pt idx="9">
                  <c:v>40339</c:v>
                </c:pt>
                <c:pt idx="10">
                  <c:v>40340</c:v>
                </c:pt>
                <c:pt idx="11">
                  <c:v>40341</c:v>
                </c:pt>
                <c:pt idx="12">
                  <c:v>40342</c:v>
                </c:pt>
                <c:pt idx="13">
                  <c:v>40343</c:v>
                </c:pt>
                <c:pt idx="14">
                  <c:v>40344</c:v>
                </c:pt>
                <c:pt idx="15">
                  <c:v>40345</c:v>
                </c:pt>
                <c:pt idx="16">
                  <c:v>40346</c:v>
                </c:pt>
                <c:pt idx="17">
                  <c:v>40347</c:v>
                </c:pt>
                <c:pt idx="18">
                  <c:v>40348</c:v>
                </c:pt>
                <c:pt idx="19">
                  <c:v>40349</c:v>
                </c:pt>
                <c:pt idx="20">
                  <c:v>40350</c:v>
                </c:pt>
                <c:pt idx="21">
                  <c:v>40351</c:v>
                </c:pt>
                <c:pt idx="22">
                  <c:v>40352</c:v>
                </c:pt>
                <c:pt idx="23">
                  <c:v>40353</c:v>
                </c:pt>
                <c:pt idx="24">
                  <c:v>40354</c:v>
                </c:pt>
                <c:pt idx="25">
                  <c:v>40355</c:v>
                </c:pt>
                <c:pt idx="26">
                  <c:v>40356</c:v>
                </c:pt>
                <c:pt idx="27">
                  <c:v>40357</c:v>
                </c:pt>
                <c:pt idx="28">
                  <c:v>40358</c:v>
                </c:pt>
                <c:pt idx="29">
                  <c:v>40359</c:v>
                </c:pt>
                <c:pt idx="30">
                  <c:v>40360</c:v>
                </c:pt>
                <c:pt idx="31">
                  <c:v>40361</c:v>
                </c:pt>
                <c:pt idx="32">
                  <c:v>40362</c:v>
                </c:pt>
                <c:pt idx="33">
                  <c:v>40363</c:v>
                </c:pt>
                <c:pt idx="34">
                  <c:v>40364</c:v>
                </c:pt>
                <c:pt idx="35">
                  <c:v>40365</c:v>
                </c:pt>
                <c:pt idx="36">
                  <c:v>40366</c:v>
                </c:pt>
                <c:pt idx="37">
                  <c:v>40367</c:v>
                </c:pt>
                <c:pt idx="38">
                  <c:v>40368</c:v>
                </c:pt>
                <c:pt idx="39">
                  <c:v>40369</c:v>
                </c:pt>
                <c:pt idx="40">
                  <c:v>40370</c:v>
                </c:pt>
                <c:pt idx="41">
                  <c:v>40371</c:v>
                </c:pt>
                <c:pt idx="42">
                  <c:v>40372</c:v>
                </c:pt>
                <c:pt idx="43">
                  <c:v>40373</c:v>
                </c:pt>
                <c:pt idx="44">
                  <c:v>40374</c:v>
                </c:pt>
                <c:pt idx="45">
                  <c:v>40375</c:v>
                </c:pt>
                <c:pt idx="46">
                  <c:v>40376</c:v>
                </c:pt>
                <c:pt idx="47">
                  <c:v>40377</c:v>
                </c:pt>
                <c:pt idx="48">
                  <c:v>40378</c:v>
                </c:pt>
                <c:pt idx="49">
                  <c:v>40379</c:v>
                </c:pt>
                <c:pt idx="50">
                  <c:v>40380</c:v>
                </c:pt>
                <c:pt idx="51">
                  <c:v>40381</c:v>
                </c:pt>
                <c:pt idx="52">
                  <c:v>40382</c:v>
                </c:pt>
                <c:pt idx="53">
                  <c:v>40383</c:v>
                </c:pt>
                <c:pt idx="54">
                  <c:v>40384</c:v>
                </c:pt>
                <c:pt idx="55">
                  <c:v>40385</c:v>
                </c:pt>
                <c:pt idx="56">
                  <c:v>40386</c:v>
                </c:pt>
                <c:pt idx="57">
                  <c:v>40387</c:v>
                </c:pt>
                <c:pt idx="58">
                  <c:v>40388</c:v>
                </c:pt>
                <c:pt idx="59">
                  <c:v>40389</c:v>
                </c:pt>
                <c:pt idx="60">
                  <c:v>40390</c:v>
                </c:pt>
                <c:pt idx="61">
                  <c:v>40391</c:v>
                </c:pt>
                <c:pt idx="62">
                  <c:v>40392</c:v>
                </c:pt>
                <c:pt idx="63">
                  <c:v>40393</c:v>
                </c:pt>
                <c:pt idx="64">
                  <c:v>40394</c:v>
                </c:pt>
                <c:pt idx="65">
                  <c:v>40395</c:v>
                </c:pt>
                <c:pt idx="66">
                  <c:v>40396</c:v>
                </c:pt>
                <c:pt idx="67">
                  <c:v>40397</c:v>
                </c:pt>
                <c:pt idx="68">
                  <c:v>40398</c:v>
                </c:pt>
                <c:pt idx="69">
                  <c:v>40399</c:v>
                </c:pt>
                <c:pt idx="70">
                  <c:v>40400</c:v>
                </c:pt>
                <c:pt idx="71">
                  <c:v>40401</c:v>
                </c:pt>
                <c:pt idx="72">
                  <c:v>40402</c:v>
                </c:pt>
                <c:pt idx="73">
                  <c:v>40403</c:v>
                </c:pt>
                <c:pt idx="74">
                  <c:v>40404</c:v>
                </c:pt>
                <c:pt idx="75">
                  <c:v>40405</c:v>
                </c:pt>
                <c:pt idx="76">
                  <c:v>40406</c:v>
                </c:pt>
                <c:pt idx="77">
                  <c:v>40407</c:v>
                </c:pt>
                <c:pt idx="78">
                  <c:v>40408</c:v>
                </c:pt>
                <c:pt idx="79">
                  <c:v>40409</c:v>
                </c:pt>
                <c:pt idx="80">
                  <c:v>40410</c:v>
                </c:pt>
                <c:pt idx="81">
                  <c:v>40411</c:v>
                </c:pt>
                <c:pt idx="82">
                  <c:v>40412</c:v>
                </c:pt>
                <c:pt idx="83">
                  <c:v>40413</c:v>
                </c:pt>
                <c:pt idx="84">
                  <c:v>40414</c:v>
                </c:pt>
                <c:pt idx="85">
                  <c:v>40415</c:v>
                </c:pt>
                <c:pt idx="86">
                  <c:v>40416</c:v>
                </c:pt>
                <c:pt idx="87">
                  <c:v>40417</c:v>
                </c:pt>
                <c:pt idx="88">
                  <c:v>40418</c:v>
                </c:pt>
                <c:pt idx="89">
                  <c:v>40419</c:v>
                </c:pt>
                <c:pt idx="90">
                  <c:v>40420</c:v>
                </c:pt>
                <c:pt idx="91">
                  <c:v>40421</c:v>
                </c:pt>
                <c:pt idx="92">
                  <c:v>40422</c:v>
                </c:pt>
                <c:pt idx="93">
                  <c:v>40423</c:v>
                </c:pt>
                <c:pt idx="94">
                  <c:v>40424</c:v>
                </c:pt>
                <c:pt idx="95">
                  <c:v>40425</c:v>
                </c:pt>
                <c:pt idx="96">
                  <c:v>40426</c:v>
                </c:pt>
                <c:pt idx="97">
                  <c:v>40427</c:v>
                </c:pt>
                <c:pt idx="98">
                  <c:v>40428</c:v>
                </c:pt>
                <c:pt idx="99">
                  <c:v>40429</c:v>
                </c:pt>
                <c:pt idx="100">
                  <c:v>40430</c:v>
                </c:pt>
                <c:pt idx="101">
                  <c:v>40431</c:v>
                </c:pt>
                <c:pt idx="102">
                  <c:v>40432</c:v>
                </c:pt>
                <c:pt idx="103">
                  <c:v>40433</c:v>
                </c:pt>
                <c:pt idx="104">
                  <c:v>40434</c:v>
                </c:pt>
                <c:pt idx="105">
                  <c:v>40435</c:v>
                </c:pt>
                <c:pt idx="106">
                  <c:v>40436</c:v>
                </c:pt>
                <c:pt idx="107">
                  <c:v>40437</c:v>
                </c:pt>
                <c:pt idx="108">
                  <c:v>40438</c:v>
                </c:pt>
                <c:pt idx="109">
                  <c:v>40439</c:v>
                </c:pt>
                <c:pt idx="110">
                  <c:v>40440</c:v>
                </c:pt>
                <c:pt idx="111">
                  <c:v>40441</c:v>
                </c:pt>
                <c:pt idx="112">
                  <c:v>40442</c:v>
                </c:pt>
                <c:pt idx="113">
                  <c:v>40443</c:v>
                </c:pt>
                <c:pt idx="114">
                  <c:v>40444</c:v>
                </c:pt>
                <c:pt idx="115">
                  <c:v>40445</c:v>
                </c:pt>
                <c:pt idx="116">
                  <c:v>40446</c:v>
                </c:pt>
                <c:pt idx="117">
                  <c:v>40447</c:v>
                </c:pt>
                <c:pt idx="118">
                  <c:v>40448</c:v>
                </c:pt>
                <c:pt idx="119">
                  <c:v>40449</c:v>
                </c:pt>
                <c:pt idx="120">
                  <c:v>40450</c:v>
                </c:pt>
                <c:pt idx="121">
                  <c:v>40451</c:v>
                </c:pt>
                <c:pt idx="122">
                  <c:v>40452</c:v>
                </c:pt>
                <c:pt idx="123">
                  <c:v>40453</c:v>
                </c:pt>
                <c:pt idx="124">
                  <c:v>40454</c:v>
                </c:pt>
                <c:pt idx="125">
                  <c:v>40455</c:v>
                </c:pt>
                <c:pt idx="126">
                  <c:v>40456</c:v>
                </c:pt>
                <c:pt idx="127">
                  <c:v>40457</c:v>
                </c:pt>
                <c:pt idx="128">
                  <c:v>40458</c:v>
                </c:pt>
                <c:pt idx="129">
                  <c:v>40459</c:v>
                </c:pt>
                <c:pt idx="130">
                  <c:v>40460</c:v>
                </c:pt>
                <c:pt idx="131">
                  <c:v>40461</c:v>
                </c:pt>
                <c:pt idx="132">
                  <c:v>40462</c:v>
                </c:pt>
                <c:pt idx="133">
                  <c:v>40463</c:v>
                </c:pt>
                <c:pt idx="134">
                  <c:v>40464</c:v>
                </c:pt>
                <c:pt idx="135">
                  <c:v>40465</c:v>
                </c:pt>
                <c:pt idx="136">
                  <c:v>40466</c:v>
                </c:pt>
                <c:pt idx="137">
                  <c:v>40467</c:v>
                </c:pt>
                <c:pt idx="138">
                  <c:v>40468</c:v>
                </c:pt>
                <c:pt idx="139">
                  <c:v>40469</c:v>
                </c:pt>
                <c:pt idx="140">
                  <c:v>40470</c:v>
                </c:pt>
                <c:pt idx="141">
                  <c:v>40471</c:v>
                </c:pt>
                <c:pt idx="142">
                  <c:v>40472</c:v>
                </c:pt>
                <c:pt idx="143">
                  <c:v>40473</c:v>
                </c:pt>
                <c:pt idx="144">
                  <c:v>40474</c:v>
                </c:pt>
                <c:pt idx="145">
                  <c:v>40475</c:v>
                </c:pt>
                <c:pt idx="146">
                  <c:v>40476</c:v>
                </c:pt>
                <c:pt idx="147">
                  <c:v>40477</c:v>
                </c:pt>
                <c:pt idx="148">
                  <c:v>40478</c:v>
                </c:pt>
                <c:pt idx="149">
                  <c:v>40479</c:v>
                </c:pt>
                <c:pt idx="150">
                  <c:v>40480</c:v>
                </c:pt>
                <c:pt idx="151">
                  <c:v>40481</c:v>
                </c:pt>
                <c:pt idx="152">
                  <c:v>40482</c:v>
                </c:pt>
                <c:pt idx="153">
                  <c:v>40483</c:v>
                </c:pt>
                <c:pt idx="154">
                  <c:v>40484</c:v>
                </c:pt>
                <c:pt idx="155">
                  <c:v>40485</c:v>
                </c:pt>
                <c:pt idx="156">
                  <c:v>40486</c:v>
                </c:pt>
                <c:pt idx="157">
                  <c:v>40487</c:v>
                </c:pt>
                <c:pt idx="158">
                  <c:v>40488</c:v>
                </c:pt>
                <c:pt idx="159">
                  <c:v>40489</c:v>
                </c:pt>
                <c:pt idx="160">
                  <c:v>40490</c:v>
                </c:pt>
                <c:pt idx="161">
                  <c:v>40491</c:v>
                </c:pt>
                <c:pt idx="162">
                  <c:v>40492</c:v>
                </c:pt>
                <c:pt idx="163">
                  <c:v>40493</c:v>
                </c:pt>
                <c:pt idx="164">
                  <c:v>40494</c:v>
                </c:pt>
                <c:pt idx="165">
                  <c:v>40495</c:v>
                </c:pt>
                <c:pt idx="166">
                  <c:v>40496</c:v>
                </c:pt>
                <c:pt idx="167">
                  <c:v>40497</c:v>
                </c:pt>
                <c:pt idx="168">
                  <c:v>40498</c:v>
                </c:pt>
                <c:pt idx="169">
                  <c:v>40499</c:v>
                </c:pt>
                <c:pt idx="170">
                  <c:v>40500</c:v>
                </c:pt>
                <c:pt idx="171">
                  <c:v>40501</c:v>
                </c:pt>
                <c:pt idx="172">
                  <c:v>40502</c:v>
                </c:pt>
                <c:pt idx="173">
                  <c:v>40503</c:v>
                </c:pt>
                <c:pt idx="174">
                  <c:v>40504</c:v>
                </c:pt>
                <c:pt idx="175">
                  <c:v>40505</c:v>
                </c:pt>
                <c:pt idx="176">
                  <c:v>40506</c:v>
                </c:pt>
                <c:pt idx="177">
                  <c:v>40507</c:v>
                </c:pt>
                <c:pt idx="178">
                  <c:v>40508</c:v>
                </c:pt>
                <c:pt idx="179">
                  <c:v>40509</c:v>
                </c:pt>
                <c:pt idx="180">
                  <c:v>40510</c:v>
                </c:pt>
                <c:pt idx="181">
                  <c:v>40511</c:v>
                </c:pt>
                <c:pt idx="182">
                  <c:v>40512</c:v>
                </c:pt>
                <c:pt idx="183">
                  <c:v>40513</c:v>
                </c:pt>
                <c:pt idx="184">
                  <c:v>40514</c:v>
                </c:pt>
                <c:pt idx="185">
                  <c:v>40515</c:v>
                </c:pt>
                <c:pt idx="186">
                  <c:v>40516</c:v>
                </c:pt>
                <c:pt idx="187">
                  <c:v>40517</c:v>
                </c:pt>
                <c:pt idx="188">
                  <c:v>40518</c:v>
                </c:pt>
                <c:pt idx="189">
                  <c:v>40519</c:v>
                </c:pt>
                <c:pt idx="190">
                  <c:v>40520</c:v>
                </c:pt>
                <c:pt idx="191">
                  <c:v>40521</c:v>
                </c:pt>
                <c:pt idx="192">
                  <c:v>40522</c:v>
                </c:pt>
                <c:pt idx="193">
                  <c:v>40523</c:v>
                </c:pt>
                <c:pt idx="194">
                  <c:v>40524</c:v>
                </c:pt>
                <c:pt idx="195">
                  <c:v>40525</c:v>
                </c:pt>
                <c:pt idx="196">
                  <c:v>40526</c:v>
                </c:pt>
                <c:pt idx="197">
                  <c:v>40527</c:v>
                </c:pt>
                <c:pt idx="198">
                  <c:v>40528</c:v>
                </c:pt>
                <c:pt idx="199">
                  <c:v>40529</c:v>
                </c:pt>
                <c:pt idx="200">
                  <c:v>40530</c:v>
                </c:pt>
                <c:pt idx="201">
                  <c:v>40531</c:v>
                </c:pt>
                <c:pt idx="202">
                  <c:v>40532</c:v>
                </c:pt>
                <c:pt idx="203">
                  <c:v>40533</c:v>
                </c:pt>
                <c:pt idx="204">
                  <c:v>40534</c:v>
                </c:pt>
                <c:pt idx="205">
                  <c:v>40535</c:v>
                </c:pt>
                <c:pt idx="206">
                  <c:v>40536</c:v>
                </c:pt>
                <c:pt idx="207">
                  <c:v>40537</c:v>
                </c:pt>
                <c:pt idx="208">
                  <c:v>40538</c:v>
                </c:pt>
                <c:pt idx="209">
                  <c:v>40539</c:v>
                </c:pt>
                <c:pt idx="210">
                  <c:v>40540</c:v>
                </c:pt>
                <c:pt idx="211">
                  <c:v>40541</c:v>
                </c:pt>
                <c:pt idx="212">
                  <c:v>40542</c:v>
                </c:pt>
                <c:pt idx="213">
                  <c:v>40543</c:v>
                </c:pt>
                <c:pt idx="214">
                  <c:v>40544</c:v>
                </c:pt>
                <c:pt idx="215">
                  <c:v>40545</c:v>
                </c:pt>
                <c:pt idx="216">
                  <c:v>40546</c:v>
                </c:pt>
                <c:pt idx="217">
                  <c:v>40547</c:v>
                </c:pt>
                <c:pt idx="218">
                  <c:v>40548</c:v>
                </c:pt>
                <c:pt idx="219">
                  <c:v>40549</c:v>
                </c:pt>
                <c:pt idx="220">
                  <c:v>40550</c:v>
                </c:pt>
                <c:pt idx="221">
                  <c:v>40551</c:v>
                </c:pt>
                <c:pt idx="222">
                  <c:v>40552</c:v>
                </c:pt>
                <c:pt idx="223">
                  <c:v>40553</c:v>
                </c:pt>
                <c:pt idx="224">
                  <c:v>40554</c:v>
                </c:pt>
                <c:pt idx="225">
                  <c:v>40555</c:v>
                </c:pt>
                <c:pt idx="226">
                  <c:v>40556</c:v>
                </c:pt>
                <c:pt idx="227">
                  <c:v>40557</c:v>
                </c:pt>
                <c:pt idx="228">
                  <c:v>40558</c:v>
                </c:pt>
                <c:pt idx="229">
                  <c:v>40559</c:v>
                </c:pt>
                <c:pt idx="230">
                  <c:v>40560</c:v>
                </c:pt>
                <c:pt idx="231">
                  <c:v>40561</c:v>
                </c:pt>
                <c:pt idx="232">
                  <c:v>40562</c:v>
                </c:pt>
                <c:pt idx="233">
                  <c:v>40563</c:v>
                </c:pt>
                <c:pt idx="234">
                  <c:v>40564</c:v>
                </c:pt>
                <c:pt idx="235">
                  <c:v>40565</c:v>
                </c:pt>
                <c:pt idx="236">
                  <c:v>40566</c:v>
                </c:pt>
                <c:pt idx="237">
                  <c:v>40567</c:v>
                </c:pt>
                <c:pt idx="238">
                  <c:v>40568</c:v>
                </c:pt>
                <c:pt idx="239">
                  <c:v>40569</c:v>
                </c:pt>
                <c:pt idx="240">
                  <c:v>40570</c:v>
                </c:pt>
                <c:pt idx="241">
                  <c:v>40571</c:v>
                </c:pt>
                <c:pt idx="242">
                  <c:v>40572</c:v>
                </c:pt>
                <c:pt idx="243">
                  <c:v>40573</c:v>
                </c:pt>
                <c:pt idx="244">
                  <c:v>40574</c:v>
                </c:pt>
                <c:pt idx="245">
                  <c:v>40575</c:v>
                </c:pt>
                <c:pt idx="246">
                  <c:v>40576</c:v>
                </c:pt>
                <c:pt idx="247">
                  <c:v>40577</c:v>
                </c:pt>
                <c:pt idx="248">
                  <c:v>40578</c:v>
                </c:pt>
                <c:pt idx="249">
                  <c:v>40579</c:v>
                </c:pt>
                <c:pt idx="250">
                  <c:v>40580</c:v>
                </c:pt>
                <c:pt idx="251">
                  <c:v>40581</c:v>
                </c:pt>
                <c:pt idx="252">
                  <c:v>40582</c:v>
                </c:pt>
                <c:pt idx="253">
                  <c:v>40583</c:v>
                </c:pt>
                <c:pt idx="254">
                  <c:v>40584</c:v>
                </c:pt>
                <c:pt idx="255">
                  <c:v>40585</c:v>
                </c:pt>
                <c:pt idx="256">
                  <c:v>40586</c:v>
                </c:pt>
                <c:pt idx="257">
                  <c:v>40587</c:v>
                </c:pt>
                <c:pt idx="258">
                  <c:v>40588</c:v>
                </c:pt>
                <c:pt idx="259">
                  <c:v>40589</c:v>
                </c:pt>
                <c:pt idx="260">
                  <c:v>40590</c:v>
                </c:pt>
                <c:pt idx="261">
                  <c:v>40591</c:v>
                </c:pt>
                <c:pt idx="262">
                  <c:v>40592</c:v>
                </c:pt>
                <c:pt idx="263">
                  <c:v>40593</c:v>
                </c:pt>
                <c:pt idx="264">
                  <c:v>40594</c:v>
                </c:pt>
                <c:pt idx="265">
                  <c:v>40595</c:v>
                </c:pt>
                <c:pt idx="266">
                  <c:v>40596</c:v>
                </c:pt>
                <c:pt idx="267">
                  <c:v>40597</c:v>
                </c:pt>
                <c:pt idx="268">
                  <c:v>40598</c:v>
                </c:pt>
                <c:pt idx="269">
                  <c:v>40599</c:v>
                </c:pt>
                <c:pt idx="270">
                  <c:v>40600</c:v>
                </c:pt>
                <c:pt idx="271">
                  <c:v>40601</c:v>
                </c:pt>
                <c:pt idx="272">
                  <c:v>40602</c:v>
                </c:pt>
                <c:pt idx="273">
                  <c:v>40603</c:v>
                </c:pt>
                <c:pt idx="274">
                  <c:v>40604</c:v>
                </c:pt>
                <c:pt idx="275">
                  <c:v>40605</c:v>
                </c:pt>
                <c:pt idx="276">
                  <c:v>40606</c:v>
                </c:pt>
                <c:pt idx="277">
                  <c:v>40607</c:v>
                </c:pt>
                <c:pt idx="278">
                  <c:v>40608</c:v>
                </c:pt>
                <c:pt idx="279">
                  <c:v>40609</c:v>
                </c:pt>
                <c:pt idx="280">
                  <c:v>40610</c:v>
                </c:pt>
                <c:pt idx="281">
                  <c:v>40611</c:v>
                </c:pt>
                <c:pt idx="282">
                  <c:v>40612</c:v>
                </c:pt>
                <c:pt idx="283">
                  <c:v>40613</c:v>
                </c:pt>
                <c:pt idx="284">
                  <c:v>40614</c:v>
                </c:pt>
                <c:pt idx="285">
                  <c:v>40615</c:v>
                </c:pt>
                <c:pt idx="286">
                  <c:v>40616</c:v>
                </c:pt>
                <c:pt idx="287">
                  <c:v>40617</c:v>
                </c:pt>
                <c:pt idx="288">
                  <c:v>40618</c:v>
                </c:pt>
                <c:pt idx="289">
                  <c:v>40619</c:v>
                </c:pt>
                <c:pt idx="290">
                  <c:v>40620</c:v>
                </c:pt>
                <c:pt idx="291">
                  <c:v>40621</c:v>
                </c:pt>
                <c:pt idx="292">
                  <c:v>40622</c:v>
                </c:pt>
                <c:pt idx="293">
                  <c:v>40623</c:v>
                </c:pt>
                <c:pt idx="294">
                  <c:v>40624</c:v>
                </c:pt>
                <c:pt idx="295">
                  <c:v>40625</c:v>
                </c:pt>
                <c:pt idx="296">
                  <c:v>40626</c:v>
                </c:pt>
                <c:pt idx="297">
                  <c:v>40627</c:v>
                </c:pt>
                <c:pt idx="298">
                  <c:v>40628</c:v>
                </c:pt>
                <c:pt idx="299">
                  <c:v>40629</c:v>
                </c:pt>
                <c:pt idx="300">
                  <c:v>40630</c:v>
                </c:pt>
                <c:pt idx="301">
                  <c:v>40631</c:v>
                </c:pt>
                <c:pt idx="302">
                  <c:v>40632</c:v>
                </c:pt>
                <c:pt idx="303">
                  <c:v>40633</c:v>
                </c:pt>
                <c:pt idx="304">
                  <c:v>40634</c:v>
                </c:pt>
                <c:pt idx="305">
                  <c:v>40635</c:v>
                </c:pt>
                <c:pt idx="306">
                  <c:v>40636</c:v>
                </c:pt>
                <c:pt idx="307">
                  <c:v>40637</c:v>
                </c:pt>
                <c:pt idx="308">
                  <c:v>40638</c:v>
                </c:pt>
                <c:pt idx="309">
                  <c:v>40639</c:v>
                </c:pt>
                <c:pt idx="310">
                  <c:v>40640</c:v>
                </c:pt>
                <c:pt idx="311">
                  <c:v>40641</c:v>
                </c:pt>
                <c:pt idx="312">
                  <c:v>40642</c:v>
                </c:pt>
                <c:pt idx="313">
                  <c:v>40643</c:v>
                </c:pt>
                <c:pt idx="314">
                  <c:v>40644</c:v>
                </c:pt>
                <c:pt idx="315">
                  <c:v>40645</c:v>
                </c:pt>
                <c:pt idx="316">
                  <c:v>40646</c:v>
                </c:pt>
                <c:pt idx="317">
                  <c:v>40647</c:v>
                </c:pt>
                <c:pt idx="318">
                  <c:v>40648</c:v>
                </c:pt>
                <c:pt idx="319">
                  <c:v>40649</c:v>
                </c:pt>
                <c:pt idx="320">
                  <c:v>40650</c:v>
                </c:pt>
                <c:pt idx="321">
                  <c:v>40651</c:v>
                </c:pt>
                <c:pt idx="322">
                  <c:v>40652</c:v>
                </c:pt>
                <c:pt idx="323">
                  <c:v>40653</c:v>
                </c:pt>
                <c:pt idx="324">
                  <c:v>40654</c:v>
                </c:pt>
                <c:pt idx="325">
                  <c:v>40655</c:v>
                </c:pt>
                <c:pt idx="326">
                  <c:v>40656</c:v>
                </c:pt>
                <c:pt idx="327">
                  <c:v>40657</c:v>
                </c:pt>
                <c:pt idx="328">
                  <c:v>40658</c:v>
                </c:pt>
                <c:pt idx="329">
                  <c:v>40659</c:v>
                </c:pt>
                <c:pt idx="330">
                  <c:v>40660</c:v>
                </c:pt>
                <c:pt idx="331">
                  <c:v>40661</c:v>
                </c:pt>
                <c:pt idx="332">
                  <c:v>40662</c:v>
                </c:pt>
                <c:pt idx="333">
                  <c:v>40663</c:v>
                </c:pt>
                <c:pt idx="334">
                  <c:v>40664</c:v>
                </c:pt>
                <c:pt idx="335">
                  <c:v>40665</c:v>
                </c:pt>
                <c:pt idx="336">
                  <c:v>40666</c:v>
                </c:pt>
                <c:pt idx="337">
                  <c:v>40667</c:v>
                </c:pt>
                <c:pt idx="338">
                  <c:v>40668</c:v>
                </c:pt>
                <c:pt idx="339">
                  <c:v>40669</c:v>
                </c:pt>
                <c:pt idx="340">
                  <c:v>40670</c:v>
                </c:pt>
                <c:pt idx="341">
                  <c:v>40671</c:v>
                </c:pt>
                <c:pt idx="342">
                  <c:v>40672</c:v>
                </c:pt>
                <c:pt idx="343">
                  <c:v>40673</c:v>
                </c:pt>
                <c:pt idx="344">
                  <c:v>40674</c:v>
                </c:pt>
                <c:pt idx="345">
                  <c:v>40675</c:v>
                </c:pt>
                <c:pt idx="346">
                  <c:v>40676</c:v>
                </c:pt>
                <c:pt idx="347">
                  <c:v>40677</c:v>
                </c:pt>
                <c:pt idx="348">
                  <c:v>40678</c:v>
                </c:pt>
                <c:pt idx="349">
                  <c:v>40679</c:v>
                </c:pt>
                <c:pt idx="350">
                  <c:v>40680</c:v>
                </c:pt>
                <c:pt idx="351">
                  <c:v>40681</c:v>
                </c:pt>
                <c:pt idx="352">
                  <c:v>40682</c:v>
                </c:pt>
                <c:pt idx="353">
                  <c:v>40683</c:v>
                </c:pt>
                <c:pt idx="354">
                  <c:v>40684</c:v>
                </c:pt>
                <c:pt idx="355">
                  <c:v>40685</c:v>
                </c:pt>
                <c:pt idx="356">
                  <c:v>40686</c:v>
                </c:pt>
                <c:pt idx="357">
                  <c:v>40687</c:v>
                </c:pt>
                <c:pt idx="358">
                  <c:v>40688</c:v>
                </c:pt>
                <c:pt idx="359">
                  <c:v>40689</c:v>
                </c:pt>
                <c:pt idx="360">
                  <c:v>40690</c:v>
                </c:pt>
                <c:pt idx="361">
                  <c:v>40691</c:v>
                </c:pt>
                <c:pt idx="362">
                  <c:v>40692</c:v>
                </c:pt>
                <c:pt idx="363">
                  <c:v>40693</c:v>
                </c:pt>
                <c:pt idx="364">
                  <c:v>40694</c:v>
                </c:pt>
                <c:pt idx="365">
                  <c:v>40695</c:v>
                </c:pt>
                <c:pt idx="366">
                  <c:v>40696</c:v>
                </c:pt>
                <c:pt idx="367">
                  <c:v>40697</c:v>
                </c:pt>
                <c:pt idx="368">
                  <c:v>40698</c:v>
                </c:pt>
                <c:pt idx="369">
                  <c:v>40699</c:v>
                </c:pt>
                <c:pt idx="370">
                  <c:v>40700</c:v>
                </c:pt>
                <c:pt idx="371">
                  <c:v>40701</c:v>
                </c:pt>
                <c:pt idx="372">
                  <c:v>40702</c:v>
                </c:pt>
                <c:pt idx="373">
                  <c:v>40703</c:v>
                </c:pt>
                <c:pt idx="374">
                  <c:v>40704</c:v>
                </c:pt>
                <c:pt idx="375">
                  <c:v>40705</c:v>
                </c:pt>
                <c:pt idx="376">
                  <c:v>40706</c:v>
                </c:pt>
                <c:pt idx="377">
                  <c:v>40707</c:v>
                </c:pt>
                <c:pt idx="378">
                  <c:v>40708</c:v>
                </c:pt>
                <c:pt idx="379">
                  <c:v>40709</c:v>
                </c:pt>
                <c:pt idx="380">
                  <c:v>40710</c:v>
                </c:pt>
                <c:pt idx="381">
                  <c:v>40711</c:v>
                </c:pt>
                <c:pt idx="382">
                  <c:v>40712</c:v>
                </c:pt>
                <c:pt idx="383">
                  <c:v>40713</c:v>
                </c:pt>
                <c:pt idx="384">
                  <c:v>40714</c:v>
                </c:pt>
                <c:pt idx="385">
                  <c:v>40715</c:v>
                </c:pt>
                <c:pt idx="386">
                  <c:v>40716</c:v>
                </c:pt>
                <c:pt idx="387">
                  <c:v>40717</c:v>
                </c:pt>
                <c:pt idx="388">
                  <c:v>40718</c:v>
                </c:pt>
                <c:pt idx="389">
                  <c:v>40719</c:v>
                </c:pt>
                <c:pt idx="390">
                  <c:v>40720</c:v>
                </c:pt>
                <c:pt idx="391">
                  <c:v>40721</c:v>
                </c:pt>
                <c:pt idx="392">
                  <c:v>40722</c:v>
                </c:pt>
                <c:pt idx="393">
                  <c:v>40723</c:v>
                </c:pt>
                <c:pt idx="394">
                  <c:v>40724</c:v>
                </c:pt>
                <c:pt idx="395">
                  <c:v>40725</c:v>
                </c:pt>
                <c:pt idx="396">
                  <c:v>40726</c:v>
                </c:pt>
                <c:pt idx="397">
                  <c:v>40727</c:v>
                </c:pt>
                <c:pt idx="398">
                  <c:v>40728</c:v>
                </c:pt>
                <c:pt idx="399">
                  <c:v>40729</c:v>
                </c:pt>
                <c:pt idx="400">
                  <c:v>40730</c:v>
                </c:pt>
                <c:pt idx="401">
                  <c:v>40731</c:v>
                </c:pt>
                <c:pt idx="402">
                  <c:v>40732</c:v>
                </c:pt>
                <c:pt idx="403">
                  <c:v>40733</c:v>
                </c:pt>
                <c:pt idx="404">
                  <c:v>40734</c:v>
                </c:pt>
                <c:pt idx="405">
                  <c:v>40735</c:v>
                </c:pt>
                <c:pt idx="406">
                  <c:v>40736</c:v>
                </c:pt>
                <c:pt idx="407">
                  <c:v>40737</c:v>
                </c:pt>
                <c:pt idx="408">
                  <c:v>40738</c:v>
                </c:pt>
                <c:pt idx="409">
                  <c:v>40739</c:v>
                </c:pt>
                <c:pt idx="410">
                  <c:v>40740</c:v>
                </c:pt>
                <c:pt idx="411">
                  <c:v>40741</c:v>
                </c:pt>
                <c:pt idx="412">
                  <c:v>40742</c:v>
                </c:pt>
                <c:pt idx="413">
                  <c:v>40743</c:v>
                </c:pt>
                <c:pt idx="414">
                  <c:v>40744</c:v>
                </c:pt>
                <c:pt idx="415">
                  <c:v>40745</c:v>
                </c:pt>
                <c:pt idx="416">
                  <c:v>40746</c:v>
                </c:pt>
                <c:pt idx="417">
                  <c:v>40747</c:v>
                </c:pt>
                <c:pt idx="418">
                  <c:v>40748</c:v>
                </c:pt>
                <c:pt idx="419">
                  <c:v>40749</c:v>
                </c:pt>
                <c:pt idx="420">
                  <c:v>40750</c:v>
                </c:pt>
                <c:pt idx="421">
                  <c:v>40751</c:v>
                </c:pt>
                <c:pt idx="422">
                  <c:v>40752</c:v>
                </c:pt>
                <c:pt idx="423">
                  <c:v>40753</c:v>
                </c:pt>
                <c:pt idx="424">
                  <c:v>40754</c:v>
                </c:pt>
                <c:pt idx="425">
                  <c:v>40755</c:v>
                </c:pt>
                <c:pt idx="426">
                  <c:v>40756</c:v>
                </c:pt>
                <c:pt idx="427">
                  <c:v>40757</c:v>
                </c:pt>
                <c:pt idx="428">
                  <c:v>40758</c:v>
                </c:pt>
                <c:pt idx="429">
                  <c:v>40759</c:v>
                </c:pt>
                <c:pt idx="430">
                  <c:v>40760</c:v>
                </c:pt>
                <c:pt idx="431">
                  <c:v>40761</c:v>
                </c:pt>
                <c:pt idx="432">
                  <c:v>40762</c:v>
                </c:pt>
                <c:pt idx="433">
                  <c:v>40763</c:v>
                </c:pt>
                <c:pt idx="434">
                  <c:v>40764</c:v>
                </c:pt>
                <c:pt idx="435">
                  <c:v>40765</c:v>
                </c:pt>
                <c:pt idx="436">
                  <c:v>40766</c:v>
                </c:pt>
                <c:pt idx="437">
                  <c:v>40767</c:v>
                </c:pt>
                <c:pt idx="438">
                  <c:v>40768</c:v>
                </c:pt>
                <c:pt idx="439">
                  <c:v>40769</c:v>
                </c:pt>
                <c:pt idx="440">
                  <c:v>40770</c:v>
                </c:pt>
                <c:pt idx="441">
                  <c:v>40771</c:v>
                </c:pt>
                <c:pt idx="442">
                  <c:v>40772</c:v>
                </c:pt>
                <c:pt idx="443">
                  <c:v>40773</c:v>
                </c:pt>
              </c:numCache>
            </c:numRef>
          </c:xVal>
          <c:yVal>
            <c:numRef>
              <c:f>total!$E$2:$E$445</c:f>
              <c:numCache>
                <c:formatCode>General</c:formatCode>
                <c:ptCount val="444"/>
                <c:pt idx="0">
                  <c:v>422.47103443999998</c:v>
                </c:pt>
                <c:pt idx="1">
                  <c:v>499.48079274000003</c:v>
                </c:pt>
                <c:pt idx="2">
                  <c:v>599.16781766999998</c:v>
                </c:pt>
                <c:pt idx="3">
                  <c:v>569.74651993999998</c:v>
                </c:pt>
                <c:pt idx="4">
                  <c:v>617.05507944999999</c:v>
                </c:pt>
                <c:pt idx="5">
                  <c:v>565.14399598</c:v>
                </c:pt>
                <c:pt idx="6">
                  <c:v>542.37694977000001</c:v>
                </c:pt>
                <c:pt idx="7">
                  <c:v>541.62042473999998</c:v>
                </c:pt>
                <c:pt idx="8">
                  <c:v>500.02739197</c:v>
                </c:pt>
                <c:pt idx="9">
                  <c:v>507.39459899000002</c:v>
                </c:pt>
                <c:pt idx="10">
                  <c:v>632.91437886999995</c:v>
                </c:pt>
                <c:pt idx="11">
                  <c:v>629.81698323000001</c:v>
                </c:pt>
                <c:pt idx="12">
                  <c:v>686.10878229000002</c:v>
                </c:pt>
                <c:pt idx="13">
                  <c:v>689.67355983000004</c:v>
                </c:pt>
                <c:pt idx="14">
                  <c:v>667.45311286000003</c:v>
                </c:pt>
                <c:pt idx="15">
                  <c:v>672.44380149999995</c:v>
                </c:pt>
                <c:pt idx="16">
                  <c:v>708.42429001999994</c:v>
                </c:pt>
                <c:pt idx="17">
                  <c:v>654.14460986999995</c:v>
                </c:pt>
                <c:pt idx="18">
                  <c:v>635.06908887999998</c:v>
                </c:pt>
                <c:pt idx="19">
                  <c:v>714.90426348000005</c:v>
                </c:pt>
                <c:pt idx="20">
                  <c:v>662.02672921999999</c:v>
                </c:pt>
                <c:pt idx="21">
                  <c:v>645.44655253999997</c:v>
                </c:pt>
                <c:pt idx="22">
                  <c:v>651.69679593000001</c:v>
                </c:pt>
                <c:pt idx="23">
                  <c:v>631.55046396</c:v>
                </c:pt>
                <c:pt idx="24">
                  <c:v>612.65852041999995</c:v>
                </c:pt>
                <c:pt idx="25">
                  <c:v>543.69987833000005</c:v>
                </c:pt>
                <c:pt idx="26">
                  <c:v>557.82431933999999</c:v>
                </c:pt>
                <c:pt idx="27">
                  <c:v>588.02986812999995</c:v>
                </c:pt>
                <c:pt idx="28">
                  <c:v>630.67252986000005</c:v>
                </c:pt>
                <c:pt idx="29">
                  <c:v>561.48415766000005</c:v>
                </c:pt>
                <c:pt idx="30">
                  <c:v>486.70304550999998</c:v>
                </c:pt>
                <c:pt idx="31">
                  <c:v>371.71124211</c:v>
                </c:pt>
                <c:pt idx="32">
                  <c:v>372.96287513999999</c:v>
                </c:pt>
                <c:pt idx="33">
                  <c:v>346.62312959000002</c:v>
                </c:pt>
                <c:pt idx="34">
                  <c:v>355.55091702999999</c:v>
                </c:pt>
                <c:pt idx="35">
                  <c:v>324.16503075999998</c:v>
                </c:pt>
                <c:pt idx="36">
                  <c:v>311.18924033000002</c:v>
                </c:pt>
                <c:pt idx="37">
                  <c:v>295.71018385999997</c:v>
                </c:pt>
                <c:pt idx="38">
                  <c:v>345.41110521000002</c:v>
                </c:pt>
                <c:pt idx="39">
                  <c:v>475.89780854000003</c:v>
                </c:pt>
                <c:pt idx="40">
                  <c:v>394.62087944000001</c:v>
                </c:pt>
                <c:pt idx="41">
                  <c:v>400.87746019000002</c:v>
                </c:pt>
                <c:pt idx="45">
                  <c:v>540.48818347999998</c:v>
                </c:pt>
                <c:pt idx="46">
                  <c:v>482.63919905</c:v>
                </c:pt>
                <c:pt idx="47">
                  <c:v>432.62140857000003</c:v>
                </c:pt>
                <c:pt idx="48">
                  <c:v>474.41644540999999</c:v>
                </c:pt>
                <c:pt idx="49">
                  <c:v>530.61211269</c:v>
                </c:pt>
                <c:pt idx="50">
                  <c:v>563.55172865999998</c:v>
                </c:pt>
                <c:pt idx="51">
                  <c:v>560.37923503000002</c:v>
                </c:pt>
                <c:pt idx="52">
                  <c:v>593.02055674999997</c:v>
                </c:pt>
                <c:pt idx="53">
                  <c:v>609.11750800000004</c:v>
                </c:pt>
                <c:pt idx="54">
                  <c:v>596.08626549999997</c:v>
                </c:pt>
                <c:pt idx="55">
                  <c:v>554.98834072</c:v>
                </c:pt>
                <c:pt idx="56">
                  <c:v>482.37778202999999</c:v>
                </c:pt>
                <c:pt idx="57">
                  <c:v>512.93188684999996</c:v>
                </c:pt>
                <c:pt idx="58">
                  <c:v>599.69857344000002</c:v>
                </c:pt>
                <c:pt idx="59">
                  <c:v>597.83696737000002</c:v>
                </c:pt>
                <c:pt idx="60">
                  <c:v>493.48404466</c:v>
                </c:pt>
                <c:pt idx="61">
                  <c:v>597.21115085999998</c:v>
                </c:pt>
                <c:pt idx="62">
                  <c:v>551.61368459000005</c:v>
                </c:pt>
                <c:pt idx="63">
                  <c:v>491.90762078</c:v>
                </c:pt>
                <c:pt idx="64">
                  <c:v>467.00962973999998</c:v>
                </c:pt>
                <c:pt idx="65">
                  <c:v>453.65359635999999</c:v>
                </c:pt>
                <c:pt idx="66">
                  <c:v>449.74026272999998</c:v>
                </c:pt>
                <c:pt idx="67">
                  <c:v>399.82545472999999</c:v>
                </c:pt>
                <c:pt idx="68">
                  <c:v>368.87526349000001</c:v>
                </c:pt>
                <c:pt idx="69">
                  <c:v>359.77319804000001</c:v>
                </c:pt>
                <c:pt idx="70">
                  <c:v>346.83701624000003</c:v>
                </c:pt>
                <c:pt idx="71">
                  <c:v>324.43436952000002</c:v>
                </c:pt>
                <c:pt idx="72">
                  <c:v>344.43673267999998</c:v>
                </c:pt>
                <c:pt idx="73">
                  <c:v>293.86442123</c:v>
                </c:pt>
                <c:pt idx="74">
                  <c:v>262.25672658000002</c:v>
                </c:pt>
                <c:pt idx="75">
                  <c:v>269.11694301</c:v>
                </c:pt>
                <c:pt idx="76">
                  <c:v>348.16786653999998</c:v>
                </c:pt>
                <c:pt idx="77">
                  <c:v>444.17128795999997</c:v>
                </c:pt>
                <c:pt idx="78">
                  <c:v>439.48162500000001</c:v>
                </c:pt>
                <c:pt idx="79">
                  <c:v>471.42995395000003</c:v>
                </c:pt>
                <c:pt idx="80">
                  <c:v>466.85911691000001</c:v>
                </c:pt>
                <c:pt idx="81">
                  <c:v>494.36335645999998</c:v>
                </c:pt>
                <c:pt idx="82">
                  <c:v>486.19605490999999</c:v>
                </c:pt>
                <c:pt idx="83">
                  <c:v>482.19558228</c:v>
                </c:pt>
                <c:pt idx="84">
                  <c:v>437.58833200999999</c:v>
                </c:pt>
                <c:pt idx="85">
                  <c:v>415.88279734000002</c:v>
                </c:pt>
                <c:pt idx="86">
                  <c:v>390.62040681000002</c:v>
                </c:pt>
                <c:pt idx="87">
                  <c:v>348.87290035000001</c:v>
                </c:pt>
                <c:pt idx="88">
                  <c:v>369.86065758000001</c:v>
                </c:pt>
                <c:pt idx="89">
                  <c:v>351.33655773999999</c:v>
                </c:pt>
                <c:pt idx="90">
                  <c:v>341.77503207000001</c:v>
                </c:pt>
                <c:pt idx="91">
                  <c:v>316.41758078999999</c:v>
                </c:pt>
                <c:pt idx="92">
                  <c:v>279.87464961000001</c:v>
                </c:pt>
                <c:pt idx="93">
                  <c:v>260.75159826999999</c:v>
                </c:pt>
                <c:pt idx="94">
                  <c:v>203.42997455</c:v>
                </c:pt>
                <c:pt idx="95">
                  <c:v>208.33180207999999</c:v>
                </c:pt>
                <c:pt idx="96">
                  <c:v>173.43831245000001</c:v>
                </c:pt>
                <c:pt idx="97">
                  <c:v>174.05620723000001</c:v>
                </c:pt>
                <c:pt idx="98">
                  <c:v>184.99611357000001</c:v>
                </c:pt>
                <c:pt idx="99">
                  <c:v>277.45060085</c:v>
                </c:pt>
                <c:pt idx="100">
                  <c:v>259.38113931999999</c:v>
                </c:pt>
                <c:pt idx="101">
                  <c:v>234.08340569000001</c:v>
                </c:pt>
                <c:pt idx="102">
                  <c:v>341.91280125999998</c:v>
                </c:pt>
                <c:pt idx="103">
                  <c:v>394.57334907000001</c:v>
                </c:pt>
                <c:pt idx="104">
                  <c:v>343.10588236000001</c:v>
                </c:pt>
                <c:pt idx="105">
                  <c:v>333.95628654000001</c:v>
                </c:pt>
                <c:pt idx="106">
                  <c:v>340.55508595999999</c:v>
                </c:pt>
                <c:pt idx="107">
                  <c:v>344.58724549999999</c:v>
                </c:pt>
                <c:pt idx="108">
                  <c:v>380.74201201</c:v>
                </c:pt>
                <c:pt idx="109">
                  <c:v>368.07516896999999</c:v>
                </c:pt>
                <c:pt idx="110">
                  <c:v>364.93024294999998</c:v>
                </c:pt>
                <c:pt idx="111">
                  <c:v>357.45213174000003</c:v>
                </c:pt>
                <c:pt idx="112">
                  <c:v>349.71260351000001</c:v>
                </c:pt>
                <c:pt idx="113">
                  <c:v>380.30631698000002</c:v>
                </c:pt>
                <c:pt idx="114">
                  <c:v>378.10407658999998</c:v>
                </c:pt>
                <c:pt idx="115">
                  <c:v>338.15480237999998</c:v>
                </c:pt>
                <c:pt idx="116">
                  <c:v>306.65009019000001</c:v>
                </c:pt>
                <c:pt idx="117">
                  <c:v>319.80808037999998</c:v>
                </c:pt>
                <c:pt idx="118">
                  <c:v>247.95008584999999</c:v>
                </c:pt>
                <c:pt idx="119">
                  <c:v>228.19329626999999</c:v>
                </c:pt>
                <c:pt idx="120">
                  <c:v>252.13275822</c:v>
                </c:pt>
                <c:pt idx="121">
                  <c:v>267.79401444000001</c:v>
                </c:pt>
                <c:pt idx="122">
                  <c:v>228.89040832000001</c:v>
                </c:pt>
                <c:pt idx="123">
                  <c:v>222.78275604999999</c:v>
                </c:pt>
                <c:pt idx="124">
                  <c:v>196.0152372</c:v>
                </c:pt>
                <c:pt idx="125">
                  <c:v>167.01379105000001</c:v>
                </c:pt>
                <c:pt idx="126">
                  <c:v>160.89821703999999</c:v>
                </c:pt>
                <c:pt idx="127">
                  <c:v>159.80501859</c:v>
                </c:pt>
                <c:pt idx="128">
                  <c:v>174.54735436000001</c:v>
                </c:pt>
                <c:pt idx="129">
                  <c:v>173.88985094</c:v>
                </c:pt>
                <c:pt idx="130">
                  <c:v>186.10515548000001</c:v>
                </c:pt>
                <c:pt idx="131">
                  <c:v>180.82928465000001</c:v>
                </c:pt>
                <c:pt idx="132">
                  <c:v>186.86564138</c:v>
                </c:pt>
                <c:pt idx="133">
                  <c:v>184.25147114000001</c:v>
                </c:pt>
                <c:pt idx="134">
                  <c:v>210.70212088</c:v>
                </c:pt>
                <c:pt idx="135">
                  <c:v>217.69700667999999</c:v>
                </c:pt>
                <c:pt idx="136">
                  <c:v>169.55666572999999</c:v>
                </c:pt>
                <c:pt idx="137">
                  <c:v>143.45457203999999</c:v>
                </c:pt>
                <c:pt idx="138">
                  <c:v>135.05754038000001</c:v>
                </c:pt>
                <c:pt idx="139">
                  <c:v>136.23787783</c:v>
                </c:pt>
                <c:pt idx="140">
                  <c:v>152.03380344000001</c:v>
                </c:pt>
                <c:pt idx="141">
                  <c:v>184.09303657999999</c:v>
                </c:pt>
                <c:pt idx="142">
                  <c:v>148.73836460000001</c:v>
                </c:pt>
                <c:pt idx="143">
                  <c:v>145.6251255</c:v>
                </c:pt>
                <c:pt idx="144">
                  <c:v>123.10365284</c:v>
                </c:pt>
                <c:pt idx="145">
                  <c:v>138.61439623000001</c:v>
                </c:pt>
                <c:pt idx="146">
                  <c:v>165.44528890999999</c:v>
                </c:pt>
                <c:pt idx="147">
                  <c:v>185.28921750000001</c:v>
                </c:pt>
                <c:pt idx="148">
                  <c:v>167.51285992000001</c:v>
                </c:pt>
                <c:pt idx="149">
                  <c:v>167.44948608999999</c:v>
                </c:pt>
                <c:pt idx="150">
                  <c:v>125.94755318999999</c:v>
                </c:pt>
                <c:pt idx="151">
                  <c:v>113.0430583</c:v>
                </c:pt>
                <c:pt idx="152">
                  <c:v>118.23971186</c:v>
                </c:pt>
                <c:pt idx="153">
                  <c:v>115.48295052</c:v>
                </c:pt>
                <c:pt idx="154">
                  <c:v>121.42424651</c:v>
                </c:pt>
                <c:pt idx="155">
                  <c:v>121.94708056</c:v>
                </c:pt>
                <c:pt idx="156">
                  <c:v>114.35014341999999</c:v>
                </c:pt>
                <c:pt idx="157">
                  <c:v>89.982908148000007</c:v>
                </c:pt>
                <c:pt idx="158">
                  <c:v>85.521725672000002</c:v>
                </c:pt>
                <c:pt idx="159">
                  <c:v>64.204855429999995</c:v>
                </c:pt>
                <c:pt idx="160">
                  <c:v>78.868723790000004</c:v>
                </c:pt>
                <c:pt idx="161">
                  <c:v>81.070964169000007</c:v>
                </c:pt>
                <c:pt idx="162">
                  <c:v>75.156480185999996</c:v>
                </c:pt>
                <c:pt idx="170">
                  <c:v>175.52964864</c:v>
                </c:pt>
                <c:pt idx="171">
                  <c:v>136.35934434000001</c:v>
                </c:pt>
                <c:pt idx="172">
                  <c:v>125.82872727</c:v>
                </c:pt>
                <c:pt idx="173">
                  <c:v>141.67218324000001</c:v>
                </c:pt>
                <c:pt idx="174">
                  <c:v>152.54079403</c:v>
                </c:pt>
                <c:pt idx="175">
                  <c:v>125.06824138</c:v>
                </c:pt>
                <c:pt idx="176">
                  <c:v>133.59730185000001</c:v>
                </c:pt>
                <c:pt idx="177">
                  <c:v>142.53301099999999</c:v>
                </c:pt>
                <c:pt idx="178">
                  <c:v>97.743560998000007</c:v>
                </c:pt>
                <c:pt idx="179">
                  <c:v>99.306781981</c:v>
                </c:pt>
                <c:pt idx="180">
                  <c:v>78.768381900999998</c:v>
                </c:pt>
                <c:pt idx="181">
                  <c:v>88.226925112999993</c:v>
                </c:pt>
                <c:pt idx="182">
                  <c:v>39.724825254999999</c:v>
                </c:pt>
                <c:pt idx="183">
                  <c:v>46.827494575000003</c:v>
                </c:pt>
                <c:pt idx="185">
                  <c:v>50.111477741000002</c:v>
                </c:pt>
                <c:pt idx="186">
                  <c:v>47.886643096999997</c:v>
                </c:pt>
                <c:pt idx="187">
                  <c:v>38.338320302</c:v>
                </c:pt>
                <c:pt idx="188">
                  <c:v>35.484213042999997</c:v>
                </c:pt>
                <c:pt idx="191">
                  <c:v>58.400836920000003</c:v>
                </c:pt>
                <c:pt idx="192">
                  <c:v>44.188699452000002</c:v>
                </c:pt>
                <c:pt idx="193">
                  <c:v>51.810894415</c:v>
                </c:pt>
                <c:pt idx="194">
                  <c:v>29.509230199000001</c:v>
                </c:pt>
                <c:pt idx="195">
                  <c:v>19.460806342000001</c:v>
                </c:pt>
                <c:pt idx="196">
                  <c:v>31.753079165999999</c:v>
                </c:pt>
                <c:pt idx="197">
                  <c:v>38.855847060999999</c:v>
                </c:pt>
                <c:pt idx="198">
                  <c:v>40.047128360000002</c:v>
                </c:pt>
                <c:pt idx="199">
                  <c:v>32.451867274000001</c:v>
                </c:pt>
                <c:pt idx="200">
                  <c:v>35.519860819999998</c:v>
                </c:pt>
                <c:pt idx="201">
                  <c:v>33.287127828999999</c:v>
                </c:pt>
                <c:pt idx="202">
                  <c:v>33.761237207999997</c:v>
                </c:pt>
                <c:pt idx="203">
                  <c:v>40.634402762999997</c:v>
                </c:pt>
                <c:pt idx="204">
                  <c:v>34.170272728999997</c:v>
                </c:pt>
                <c:pt idx="205">
                  <c:v>32.354919322000001</c:v>
                </c:pt>
                <c:pt idx="206">
                  <c:v>38.242551990999999</c:v>
                </c:pt>
                <c:pt idx="207">
                  <c:v>40.974901672999998</c:v>
                </c:pt>
                <c:pt idx="209">
                  <c:v>18.285206421000002</c:v>
                </c:pt>
                <c:pt idx="210">
                  <c:v>30.614026382999999</c:v>
                </c:pt>
                <c:pt idx="211">
                  <c:v>34.033774983000001</c:v>
                </c:pt>
                <c:pt idx="212">
                  <c:v>61.007867763</c:v>
                </c:pt>
                <c:pt idx="213">
                  <c:v>83.590073670999999</c:v>
                </c:pt>
                <c:pt idx="215">
                  <c:v>72.605277533999995</c:v>
                </c:pt>
                <c:pt idx="216">
                  <c:v>58.891779204999999</c:v>
                </c:pt>
                <c:pt idx="217">
                  <c:v>53.751564936999998</c:v>
                </c:pt>
                <c:pt idx="218">
                  <c:v>50.727225230999998</c:v>
                </c:pt>
                <c:pt idx="219">
                  <c:v>33.334631350000002</c:v>
                </c:pt>
                <c:pt idx="222">
                  <c:v>28.416822617000001</c:v>
                </c:pt>
                <c:pt idx="225">
                  <c:v>15.82000116</c:v>
                </c:pt>
                <c:pt idx="226">
                  <c:v>38.341163434999999</c:v>
                </c:pt>
                <c:pt idx="227">
                  <c:v>42.732064086999998</c:v>
                </c:pt>
                <c:pt idx="228">
                  <c:v>37.135662662999998</c:v>
                </c:pt>
                <c:pt idx="229">
                  <c:v>43.252634782999998</c:v>
                </c:pt>
                <c:pt idx="230">
                  <c:v>48.692221330999999</c:v>
                </c:pt>
                <c:pt idx="233">
                  <c:v>40.620873445000001</c:v>
                </c:pt>
                <c:pt idx="234">
                  <c:v>37.200434604999998</c:v>
                </c:pt>
                <c:pt idx="235">
                  <c:v>36.982146989</c:v>
                </c:pt>
                <c:pt idx="236">
                  <c:v>44.160992925000002</c:v>
                </c:pt>
                <c:pt idx="237">
                  <c:v>51.691915661000003</c:v>
                </c:pt>
                <c:pt idx="238">
                  <c:v>63.732942192000003</c:v>
                </c:pt>
                <c:pt idx="239">
                  <c:v>55.895712643000003</c:v>
                </c:pt>
                <c:pt idx="240">
                  <c:v>30.586456838</c:v>
                </c:pt>
                <c:pt idx="241">
                  <c:v>39.183251294000002</c:v>
                </c:pt>
                <c:pt idx="242">
                  <c:v>53.311481673999999</c:v>
                </c:pt>
                <c:pt idx="243">
                  <c:v>50.836058231000003</c:v>
                </c:pt>
                <c:pt idx="244">
                  <c:v>76.707276934000006</c:v>
                </c:pt>
                <c:pt idx="245">
                  <c:v>87.878369082999995</c:v>
                </c:pt>
                <c:pt idx="246">
                  <c:v>45.075783278999999</c:v>
                </c:pt>
                <c:pt idx="247">
                  <c:v>33.568787894000003</c:v>
                </c:pt>
                <c:pt idx="248">
                  <c:v>34.630306838000003</c:v>
                </c:pt>
                <c:pt idx="249">
                  <c:v>44.958402401000001</c:v>
                </c:pt>
                <c:pt idx="250">
                  <c:v>43.160793271000003</c:v>
                </c:pt>
                <c:pt idx="251">
                  <c:v>44.916663229000001</c:v>
                </c:pt>
                <c:pt idx="252">
                  <c:v>30.843226417</c:v>
                </c:pt>
                <c:pt idx="253">
                  <c:v>39.937857192000003</c:v>
                </c:pt>
                <c:pt idx="254">
                  <c:v>30.51206702</c:v>
                </c:pt>
                <c:pt idx="255">
                  <c:v>33.069350739000001</c:v>
                </c:pt>
                <c:pt idx="256">
                  <c:v>35.440709274</c:v>
                </c:pt>
                <c:pt idx="257">
                  <c:v>39.76356569</c:v>
                </c:pt>
                <c:pt idx="258">
                  <c:v>53.182627859</c:v>
                </c:pt>
                <c:pt idx="259">
                  <c:v>46.730958442999999</c:v>
                </c:pt>
                <c:pt idx="260">
                  <c:v>51.874806919000001</c:v>
                </c:pt>
                <c:pt idx="261">
                  <c:v>64.733739599000003</c:v>
                </c:pt>
                <c:pt idx="262">
                  <c:v>83.241517637000001</c:v>
                </c:pt>
                <c:pt idx="263">
                  <c:v>100.47919773</c:v>
                </c:pt>
                <c:pt idx="264">
                  <c:v>74.844485977999994</c:v>
                </c:pt>
                <c:pt idx="265">
                  <c:v>89.219781691999998</c:v>
                </c:pt>
                <c:pt idx="266">
                  <c:v>103.02471298</c:v>
                </c:pt>
                <c:pt idx="267">
                  <c:v>81.242700154000005</c:v>
                </c:pt>
                <c:pt idx="268">
                  <c:v>90.297136695000006</c:v>
                </c:pt>
                <c:pt idx="269">
                  <c:v>72.298790779000001</c:v>
                </c:pt>
                <c:pt idx="270">
                  <c:v>91.991052296999996</c:v>
                </c:pt>
                <c:pt idx="271">
                  <c:v>80.060258098000006</c:v>
                </c:pt>
                <c:pt idx="272">
                  <c:v>73.756568666999996</c:v>
                </c:pt>
                <c:pt idx="273">
                  <c:v>82.438782532999994</c:v>
                </c:pt>
                <c:pt idx="274">
                  <c:v>119.41681394</c:v>
                </c:pt>
                <c:pt idx="275">
                  <c:v>114.40847116</c:v>
                </c:pt>
                <c:pt idx="276">
                  <c:v>123.59818850000001</c:v>
                </c:pt>
                <c:pt idx="277">
                  <c:v>152.22392490999999</c:v>
                </c:pt>
                <c:pt idx="278">
                  <c:v>30.091116155000002</c:v>
                </c:pt>
                <c:pt idx="279">
                  <c:v>67.959584852000006</c:v>
                </c:pt>
                <c:pt idx="280">
                  <c:v>88.084795415000002</c:v>
                </c:pt>
                <c:pt idx="281">
                  <c:v>52.843206793</c:v>
                </c:pt>
                <c:pt idx="282">
                  <c:v>44.804128370000001</c:v>
                </c:pt>
                <c:pt idx="283">
                  <c:v>67.982734242999996</c:v>
                </c:pt>
                <c:pt idx="284">
                  <c:v>92.039925839999995</c:v>
                </c:pt>
                <c:pt idx="285">
                  <c:v>127.36932348000001</c:v>
                </c:pt>
                <c:pt idx="286">
                  <c:v>130.49726562999999</c:v>
                </c:pt>
                <c:pt idx="287">
                  <c:v>112.57303578</c:v>
                </c:pt>
                <c:pt idx="288">
                  <c:v>108.39036341000001</c:v>
                </c:pt>
                <c:pt idx="289">
                  <c:v>157.69098217999999</c:v>
                </c:pt>
                <c:pt idx="290">
                  <c:v>192.44518718</c:v>
                </c:pt>
                <c:pt idx="291">
                  <c:v>191.42063497000001</c:v>
                </c:pt>
                <c:pt idx="292">
                  <c:v>214.09790158999999</c:v>
                </c:pt>
                <c:pt idx="293">
                  <c:v>247.07341460999999</c:v>
                </c:pt>
                <c:pt idx="294">
                  <c:v>268.21914716999999</c:v>
                </c:pt>
                <c:pt idx="295">
                  <c:v>230.11035441999999</c:v>
                </c:pt>
                <c:pt idx="296">
                  <c:v>141.70991448000001</c:v>
                </c:pt>
                <c:pt idx="297">
                  <c:v>151.73805892999999</c:v>
                </c:pt>
                <c:pt idx="298">
                  <c:v>149.92134264000001</c:v>
                </c:pt>
                <c:pt idx="299">
                  <c:v>104.87311618</c:v>
                </c:pt>
                <c:pt idx="300">
                  <c:v>88.953195246999996</c:v>
                </c:pt>
                <c:pt idx="301">
                  <c:v>162.40599467000001</c:v>
                </c:pt>
                <c:pt idx="302">
                  <c:v>133.31211963000001</c:v>
                </c:pt>
                <c:pt idx="303">
                  <c:v>124.58765655000001</c:v>
                </c:pt>
                <c:pt idx="304">
                  <c:v>144.91283276999999</c:v>
                </c:pt>
                <c:pt idx="305">
                  <c:v>161.2230079</c:v>
                </c:pt>
                <c:pt idx="306">
                  <c:v>205.53212676000001</c:v>
                </c:pt>
                <c:pt idx="307">
                  <c:v>232.38653092999999</c:v>
                </c:pt>
                <c:pt idx="308">
                  <c:v>147.49955589000001</c:v>
                </c:pt>
                <c:pt idx="309">
                  <c:v>193.20008085000001</c:v>
                </c:pt>
                <c:pt idx="310">
                  <c:v>291.17527475000003</c:v>
                </c:pt>
                <c:pt idx="311">
                  <c:v>354.14349003000001</c:v>
                </c:pt>
                <c:pt idx="312">
                  <c:v>451.40118503999997</c:v>
                </c:pt>
                <c:pt idx="313">
                  <c:v>481.13935187999999</c:v>
                </c:pt>
                <c:pt idx="314">
                  <c:v>514.40004710000005</c:v>
                </c:pt>
                <c:pt idx="315">
                  <c:v>281.49596327</c:v>
                </c:pt>
                <c:pt idx="316">
                  <c:v>319.10832772999998</c:v>
                </c:pt>
                <c:pt idx="317">
                  <c:v>354.68911563</c:v>
                </c:pt>
                <c:pt idx="318">
                  <c:v>320.04309164</c:v>
                </c:pt>
                <c:pt idx="319">
                  <c:v>180.99035979000001</c:v>
                </c:pt>
                <c:pt idx="320">
                  <c:v>265.50213186000002</c:v>
                </c:pt>
                <c:pt idx="321">
                  <c:v>297.22391109</c:v>
                </c:pt>
                <c:pt idx="322">
                  <c:v>435.83313207999998</c:v>
                </c:pt>
                <c:pt idx="323">
                  <c:v>459.35541633000003</c:v>
                </c:pt>
                <c:pt idx="324">
                  <c:v>438.92096083000001</c:v>
                </c:pt>
                <c:pt idx="325">
                  <c:v>416.47724636999999</c:v>
                </c:pt>
                <c:pt idx="326">
                  <c:v>482.74789980000003</c:v>
                </c:pt>
                <c:pt idx="327">
                  <c:v>445.48409136999999</c:v>
                </c:pt>
                <c:pt idx="328">
                  <c:v>435.69779119999998</c:v>
                </c:pt>
                <c:pt idx="329">
                  <c:v>436.92383799999999</c:v>
                </c:pt>
                <c:pt idx="330">
                  <c:v>361.11416591</c:v>
                </c:pt>
                <c:pt idx="331">
                  <c:v>121.65083756</c:v>
                </c:pt>
                <c:pt idx="332">
                  <c:v>123.62323958</c:v>
                </c:pt>
                <c:pt idx="333">
                  <c:v>179.51176278</c:v>
                </c:pt>
                <c:pt idx="334">
                  <c:v>221.25069385</c:v>
                </c:pt>
                <c:pt idx="335">
                  <c:v>240.13168475000001</c:v>
                </c:pt>
                <c:pt idx="336">
                  <c:v>176.19507378</c:v>
                </c:pt>
                <c:pt idx="337">
                  <c:v>121.14377107</c:v>
                </c:pt>
                <c:pt idx="338">
                  <c:v>259.41019999999997</c:v>
                </c:pt>
                <c:pt idx="339">
                  <c:v>296.69931111</c:v>
                </c:pt>
                <c:pt idx="340">
                  <c:v>303.73209803999998</c:v>
                </c:pt>
                <c:pt idx="341">
                  <c:v>400.90279167</c:v>
                </c:pt>
                <c:pt idx="342">
                  <c:v>331.17692307999999</c:v>
                </c:pt>
                <c:pt idx="345">
                  <c:v>506.86386363999998</c:v>
                </c:pt>
                <c:pt idx="346">
                  <c:v>500.76414583000002</c:v>
                </c:pt>
                <c:pt idx="347">
                  <c:v>503.44166667000002</c:v>
                </c:pt>
                <c:pt idx="348">
                  <c:v>399.06506250000001</c:v>
                </c:pt>
                <c:pt idx="349">
                  <c:v>365.90464582999999</c:v>
                </c:pt>
                <c:pt idx="350">
                  <c:v>300.97810416999999</c:v>
                </c:pt>
                <c:pt idx="351">
                  <c:v>270.68907691999999</c:v>
                </c:pt>
                <c:pt idx="357">
                  <c:v>413.61476470999997</c:v>
                </c:pt>
                <c:pt idx="358">
                  <c:v>401.86563461999998</c:v>
                </c:pt>
                <c:pt idx="359">
                  <c:v>387.56851019999999</c:v>
                </c:pt>
                <c:pt idx="360">
                  <c:v>464.05932653000002</c:v>
                </c:pt>
                <c:pt idx="361">
                  <c:v>408.45073468999999</c:v>
                </c:pt>
                <c:pt idx="362">
                  <c:v>428.68592000000001</c:v>
                </c:pt>
                <c:pt idx="363">
                  <c:v>438.77214815000002</c:v>
                </c:pt>
                <c:pt idx="364">
                  <c:v>442.9298</c:v>
                </c:pt>
                <c:pt idx="365">
                  <c:v>435.70406122000003</c:v>
                </c:pt>
                <c:pt idx="366">
                  <c:v>396.27161538000001</c:v>
                </c:pt>
                <c:pt idx="367">
                  <c:v>376.29599999999999</c:v>
                </c:pt>
                <c:pt idx="368">
                  <c:v>344.40697958999999</c:v>
                </c:pt>
                <c:pt idx="369">
                  <c:v>337.01</c:v>
                </c:pt>
                <c:pt idx="370">
                  <c:v>335.61766</c:v>
                </c:pt>
                <c:pt idx="371">
                  <c:v>321.42685999999998</c:v>
                </c:pt>
                <c:pt idx="372">
                  <c:v>319.76238461999998</c:v>
                </c:pt>
                <c:pt idx="373">
                  <c:v>291.30683929000003</c:v>
                </c:pt>
                <c:pt idx="374">
                  <c:v>233.28866102000001</c:v>
                </c:pt>
                <c:pt idx="375">
                  <c:v>305.16218182</c:v>
                </c:pt>
                <c:pt idx="376">
                  <c:v>431.23700000000002</c:v>
                </c:pt>
                <c:pt idx="377">
                  <c:v>316.54586667000001</c:v>
                </c:pt>
                <c:pt idx="378">
                  <c:v>238.58630507999999</c:v>
                </c:pt>
                <c:pt idx="379">
                  <c:v>248.23529629999999</c:v>
                </c:pt>
                <c:pt idx="380">
                  <c:v>381.85898214000002</c:v>
                </c:pt>
                <c:pt idx="381">
                  <c:v>369.07243396000001</c:v>
                </c:pt>
                <c:pt idx="382">
                  <c:v>334.58888524999998</c:v>
                </c:pt>
                <c:pt idx="383">
                  <c:v>363.91877585999998</c:v>
                </c:pt>
                <c:pt idx="384">
                  <c:v>390.99640350999999</c:v>
                </c:pt>
                <c:pt idx="385">
                  <c:v>427.57321052999998</c:v>
                </c:pt>
                <c:pt idx="386">
                  <c:v>395.40601753999999</c:v>
                </c:pt>
                <c:pt idx="387">
                  <c:v>536.73326785999996</c:v>
                </c:pt>
                <c:pt idx="388">
                  <c:v>291.88554839</c:v>
                </c:pt>
                <c:pt idx="389">
                  <c:v>382.39545763000001</c:v>
                </c:pt>
                <c:pt idx="390">
                  <c:v>381.98945763</c:v>
                </c:pt>
                <c:pt idx="391">
                  <c:v>505.79670967999999</c:v>
                </c:pt>
                <c:pt idx="392">
                  <c:v>424.79138596000001</c:v>
                </c:pt>
                <c:pt idx="393">
                  <c:v>408.03341379</c:v>
                </c:pt>
                <c:pt idx="394">
                  <c:v>416.84483332999997</c:v>
                </c:pt>
                <c:pt idx="395">
                  <c:v>377.39421311000001</c:v>
                </c:pt>
                <c:pt idx="396">
                  <c:v>425.52703703999998</c:v>
                </c:pt>
                <c:pt idx="397">
                  <c:v>412.27359322000001</c:v>
                </c:pt>
                <c:pt idx="398">
                  <c:v>509.06921818000001</c:v>
                </c:pt>
                <c:pt idx="399">
                  <c:v>496.28451612999999</c:v>
                </c:pt>
                <c:pt idx="400">
                  <c:v>411.38420338999998</c:v>
                </c:pt>
                <c:pt idx="401">
                  <c:v>418.35014545000001</c:v>
                </c:pt>
                <c:pt idx="402">
                  <c:v>241.52174194</c:v>
                </c:pt>
                <c:pt idx="403">
                  <c:v>332.34503332999998</c:v>
                </c:pt>
                <c:pt idx="404">
                  <c:v>408.56790164</c:v>
                </c:pt>
                <c:pt idx="405">
                  <c:v>464.83147541</c:v>
                </c:pt>
                <c:pt idx="406">
                  <c:v>493.05285714000001</c:v>
                </c:pt>
                <c:pt idx="407">
                  <c:v>405.08546031999998</c:v>
                </c:pt>
                <c:pt idx="408">
                  <c:v>521.06860714000004</c:v>
                </c:pt>
                <c:pt idx="409">
                  <c:v>437.36601753999997</c:v>
                </c:pt>
                <c:pt idx="410">
                  <c:v>337.75580702000002</c:v>
                </c:pt>
                <c:pt idx="411">
                  <c:v>422.11955738</c:v>
                </c:pt>
                <c:pt idx="412">
                  <c:v>445.82522033999999</c:v>
                </c:pt>
                <c:pt idx="413">
                  <c:v>484.47311474999998</c:v>
                </c:pt>
                <c:pt idx="414">
                  <c:v>1514.0293548</c:v>
                </c:pt>
                <c:pt idx="415">
                  <c:v>481.27488889</c:v>
                </c:pt>
                <c:pt idx="416">
                  <c:v>419.68849180000001</c:v>
                </c:pt>
                <c:pt idx="417">
                  <c:v>384.57644828000002</c:v>
                </c:pt>
                <c:pt idx="418">
                  <c:v>284.42822414</c:v>
                </c:pt>
                <c:pt idx="419">
                  <c:v>904.66466666999997</c:v>
                </c:pt>
                <c:pt idx="420">
                  <c:v>377.60794736999998</c:v>
                </c:pt>
                <c:pt idx="421">
                  <c:v>442.81718181999997</c:v>
                </c:pt>
                <c:pt idx="422">
                  <c:v>426.1655614</c:v>
                </c:pt>
                <c:pt idx="423">
                  <c:v>433.81211863999999</c:v>
                </c:pt>
                <c:pt idx="424">
                  <c:v>405.22753447999997</c:v>
                </c:pt>
                <c:pt idx="425">
                  <c:v>306.26775472000003</c:v>
                </c:pt>
                <c:pt idx="426">
                  <c:v>411.24942105000002</c:v>
                </c:pt>
                <c:pt idx="427">
                  <c:v>433.90469643</c:v>
                </c:pt>
                <c:pt idx="428">
                  <c:v>441.26287301999997</c:v>
                </c:pt>
                <c:pt idx="429">
                  <c:v>465.49979999999999</c:v>
                </c:pt>
                <c:pt idx="430">
                  <c:v>441.14309677</c:v>
                </c:pt>
                <c:pt idx="431">
                  <c:v>564.93838095000001</c:v>
                </c:pt>
                <c:pt idx="432">
                  <c:v>481.88858729999998</c:v>
                </c:pt>
                <c:pt idx="433">
                  <c:v>429.26251667000002</c:v>
                </c:pt>
                <c:pt idx="434">
                  <c:v>438.5849</c:v>
                </c:pt>
                <c:pt idx="435">
                  <c:v>391.66263934</c:v>
                </c:pt>
                <c:pt idx="436">
                  <c:v>340.06390476000001</c:v>
                </c:pt>
                <c:pt idx="437">
                  <c:v>314.89819999999997</c:v>
                </c:pt>
                <c:pt idx="438">
                  <c:v>612.45332758999996</c:v>
                </c:pt>
                <c:pt idx="439">
                  <c:v>329.65191802999999</c:v>
                </c:pt>
                <c:pt idx="440">
                  <c:v>333.66319643000003</c:v>
                </c:pt>
                <c:pt idx="441">
                  <c:v>222.67415253999999</c:v>
                </c:pt>
                <c:pt idx="442">
                  <c:v>260.82133333000002</c:v>
                </c:pt>
                <c:pt idx="443">
                  <c:v>236.26779999999999</c:v>
                </c:pt>
              </c:numCache>
            </c:numRef>
          </c:yVal>
          <c:smooth val="0"/>
        </c:ser>
        <c:ser>
          <c:idx val="1"/>
          <c:order val="1"/>
          <c:tx>
            <c:v>Bare</c:v>
          </c:tx>
          <c:spPr>
            <a:ln w="28575">
              <a:noFill/>
            </a:ln>
          </c:spPr>
          <c:marker>
            <c:symbol val="circle"/>
            <c:size val="5"/>
            <c:spPr>
              <a:noFill/>
              <a:ln>
                <a:solidFill>
                  <a:schemeClr val="tx1"/>
                </a:solidFill>
              </a:ln>
            </c:spPr>
          </c:marker>
          <c:xVal>
            <c:numRef>
              <c:f>total!$A$2:$A$445</c:f>
              <c:numCache>
                <c:formatCode>[$-409]d\-mmm\-yy;@</c:formatCode>
                <c:ptCount val="444"/>
                <c:pt idx="0">
                  <c:v>40330</c:v>
                </c:pt>
                <c:pt idx="1">
                  <c:v>40331</c:v>
                </c:pt>
                <c:pt idx="2">
                  <c:v>40332</c:v>
                </c:pt>
                <c:pt idx="3">
                  <c:v>40333</c:v>
                </c:pt>
                <c:pt idx="4">
                  <c:v>40334</c:v>
                </c:pt>
                <c:pt idx="5">
                  <c:v>40335</c:v>
                </c:pt>
                <c:pt idx="6">
                  <c:v>40336</c:v>
                </c:pt>
                <c:pt idx="7">
                  <c:v>40337</c:v>
                </c:pt>
                <c:pt idx="8">
                  <c:v>40338</c:v>
                </c:pt>
                <c:pt idx="9">
                  <c:v>40339</c:v>
                </c:pt>
                <c:pt idx="10">
                  <c:v>40340</c:v>
                </c:pt>
                <c:pt idx="11">
                  <c:v>40341</c:v>
                </c:pt>
                <c:pt idx="12">
                  <c:v>40342</c:v>
                </c:pt>
                <c:pt idx="13">
                  <c:v>40343</c:v>
                </c:pt>
                <c:pt idx="14">
                  <c:v>40344</c:v>
                </c:pt>
                <c:pt idx="15">
                  <c:v>40345</c:v>
                </c:pt>
                <c:pt idx="16">
                  <c:v>40346</c:v>
                </c:pt>
                <c:pt idx="17">
                  <c:v>40347</c:v>
                </c:pt>
                <c:pt idx="18">
                  <c:v>40348</c:v>
                </c:pt>
                <c:pt idx="19">
                  <c:v>40349</c:v>
                </c:pt>
                <c:pt idx="20">
                  <c:v>40350</c:v>
                </c:pt>
                <c:pt idx="21">
                  <c:v>40351</c:v>
                </c:pt>
                <c:pt idx="22">
                  <c:v>40352</c:v>
                </c:pt>
                <c:pt idx="23">
                  <c:v>40353</c:v>
                </c:pt>
                <c:pt idx="24">
                  <c:v>40354</c:v>
                </c:pt>
                <c:pt idx="25">
                  <c:v>40355</c:v>
                </c:pt>
                <c:pt idx="26">
                  <c:v>40356</c:v>
                </c:pt>
                <c:pt idx="27">
                  <c:v>40357</c:v>
                </c:pt>
                <c:pt idx="28">
                  <c:v>40358</c:v>
                </c:pt>
                <c:pt idx="29">
                  <c:v>40359</c:v>
                </c:pt>
                <c:pt idx="30">
                  <c:v>40360</c:v>
                </c:pt>
                <c:pt idx="31">
                  <c:v>40361</c:v>
                </c:pt>
                <c:pt idx="32">
                  <c:v>40362</c:v>
                </c:pt>
                <c:pt idx="33">
                  <c:v>40363</c:v>
                </c:pt>
                <c:pt idx="34">
                  <c:v>40364</c:v>
                </c:pt>
                <c:pt idx="35">
                  <c:v>40365</c:v>
                </c:pt>
                <c:pt idx="36">
                  <c:v>40366</c:v>
                </c:pt>
                <c:pt idx="37">
                  <c:v>40367</c:v>
                </c:pt>
                <c:pt idx="38">
                  <c:v>40368</c:v>
                </c:pt>
                <c:pt idx="39">
                  <c:v>40369</c:v>
                </c:pt>
                <c:pt idx="40">
                  <c:v>40370</c:v>
                </c:pt>
                <c:pt idx="41">
                  <c:v>40371</c:v>
                </c:pt>
                <c:pt idx="42">
                  <c:v>40372</c:v>
                </c:pt>
                <c:pt idx="43">
                  <c:v>40373</c:v>
                </c:pt>
                <c:pt idx="44">
                  <c:v>40374</c:v>
                </c:pt>
                <c:pt idx="45">
                  <c:v>40375</c:v>
                </c:pt>
                <c:pt idx="46">
                  <c:v>40376</c:v>
                </c:pt>
                <c:pt idx="47">
                  <c:v>40377</c:v>
                </c:pt>
                <c:pt idx="48">
                  <c:v>40378</c:v>
                </c:pt>
                <c:pt idx="49">
                  <c:v>40379</c:v>
                </c:pt>
                <c:pt idx="50">
                  <c:v>40380</c:v>
                </c:pt>
                <c:pt idx="51">
                  <c:v>40381</c:v>
                </c:pt>
                <c:pt idx="52">
                  <c:v>40382</c:v>
                </c:pt>
                <c:pt idx="53">
                  <c:v>40383</c:v>
                </c:pt>
                <c:pt idx="54">
                  <c:v>40384</c:v>
                </c:pt>
                <c:pt idx="55">
                  <c:v>40385</c:v>
                </c:pt>
                <c:pt idx="56">
                  <c:v>40386</c:v>
                </c:pt>
                <c:pt idx="57">
                  <c:v>40387</c:v>
                </c:pt>
                <c:pt idx="58">
                  <c:v>40388</c:v>
                </c:pt>
                <c:pt idx="59">
                  <c:v>40389</c:v>
                </c:pt>
                <c:pt idx="60">
                  <c:v>40390</c:v>
                </c:pt>
                <c:pt idx="61">
                  <c:v>40391</c:v>
                </c:pt>
                <c:pt idx="62">
                  <c:v>40392</c:v>
                </c:pt>
                <c:pt idx="63">
                  <c:v>40393</c:v>
                </c:pt>
                <c:pt idx="64">
                  <c:v>40394</c:v>
                </c:pt>
                <c:pt idx="65">
                  <c:v>40395</c:v>
                </c:pt>
                <c:pt idx="66">
                  <c:v>40396</c:v>
                </c:pt>
                <c:pt idx="67">
                  <c:v>40397</c:v>
                </c:pt>
                <c:pt idx="68">
                  <c:v>40398</c:v>
                </c:pt>
                <c:pt idx="69">
                  <c:v>40399</c:v>
                </c:pt>
                <c:pt idx="70">
                  <c:v>40400</c:v>
                </c:pt>
                <c:pt idx="71">
                  <c:v>40401</c:v>
                </c:pt>
                <c:pt idx="72">
                  <c:v>40402</c:v>
                </c:pt>
                <c:pt idx="73">
                  <c:v>40403</c:v>
                </c:pt>
                <c:pt idx="74">
                  <c:v>40404</c:v>
                </c:pt>
                <c:pt idx="75">
                  <c:v>40405</c:v>
                </c:pt>
                <c:pt idx="76">
                  <c:v>40406</c:v>
                </c:pt>
                <c:pt idx="77">
                  <c:v>40407</c:v>
                </c:pt>
                <c:pt idx="78">
                  <c:v>40408</c:v>
                </c:pt>
                <c:pt idx="79">
                  <c:v>40409</c:v>
                </c:pt>
                <c:pt idx="80">
                  <c:v>40410</c:v>
                </c:pt>
                <c:pt idx="81">
                  <c:v>40411</c:v>
                </c:pt>
                <c:pt idx="82">
                  <c:v>40412</c:v>
                </c:pt>
                <c:pt idx="83">
                  <c:v>40413</c:v>
                </c:pt>
                <c:pt idx="84">
                  <c:v>40414</c:v>
                </c:pt>
                <c:pt idx="85">
                  <c:v>40415</c:v>
                </c:pt>
                <c:pt idx="86">
                  <c:v>40416</c:v>
                </c:pt>
                <c:pt idx="87">
                  <c:v>40417</c:v>
                </c:pt>
                <c:pt idx="88">
                  <c:v>40418</c:v>
                </c:pt>
                <c:pt idx="89">
                  <c:v>40419</c:v>
                </c:pt>
                <c:pt idx="90">
                  <c:v>40420</c:v>
                </c:pt>
                <c:pt idx="91">
                  <c:v>40421</c:v>
                </c:pt>
                <c:pt idx="92">
                  <c:v>40422</c:v>
                </c:pt>
                <c:pt idx="93">
                  <c:v>40423</c:v>
                </c:pt>
                <c:pt idx="94">
                  <c:v>40424</c:v>
                </c:pt>
                <c:pt idx="95">
                  <c:v>40425</c:v>
                </c:pt>
                <c:pt idx="96">
                  <c:v>40426</c:v>
                </c:pt>
                <c:pt idx="97">
                  <c:v>40427</c:v>
                </c:pt>
                <c:pt idx="98">
                  <c:v>40428</c:v>
                </c:pt>
                <c:pt idx="99">
                  <c:v>40429</c:v>
                </c:pt>
                <c:pt idx="100">
                  <c:v>40430</c:v>
                </c:pt>
                <c:pt idx="101">
                  <c:v>40431</c:v>
                </c:pt>
                <c:pt idx="102">
                  <c:v>40432</c:v>
                </c:pt>
                <c:pt idx="103">
                  <c:v>40433</c:v>
                </c:pt>
                <c:pt idx="104">
                  <c:v>40434</c:v>
                </c:pt>
                <c:pt idx="105">
                  <c:v>40435</c:v>
                </c:pt>
                <c:pt idx="106">
                  <c:v>40436</c:v>
                </c:pt>
                <c:pt idx="107">
                  <c:v>40437</c:v>
                </c:pt>
                <c:pt idx="108">
                  <c:v>40438</c:v>
                </c:pt>
                <c:pt idx="109">
                  <c:v>40439</c:v>
                </c:pt>
                <c:pt idx="110">
                  <c:v>40440</c:v>
                </c:pt>
                <c:pt idx="111">
                  <c:v>40441</c:v>
                </c:pt>
                <c:pt idx="112">
                  <c:v>40442</c:v>
                </c:pt>
                <c:pt idx="113">
                  <c:v>40443</c:v>
                </c:pt>
                <c:pt idx="114">
                  <c:v>40444</c:v>
                </c:pt>
                <c:pt idx="115">
                  <c:v>40445</c:v>
                </c:pt>
                <c:pt idx="116">
                  <c:v>40446</c:v>
                </c:pt>
                <c:pt idx="117">
                  <c:v>40447</c:v>
                </c:pt>
                <c:pt idx="118">
                  <c:v>40448</c:v>
                </c:pt>
                <c:pt idx="119">
                  <c:v>40449</c:v>
                </c:pt>
                <c:pt idx="120">
                  <c:v>40450</c:v>
                </c:pt>
                <c:pt idx="121">
                  <c:v>40451</c:v>
                </c:pt>
                <c:pt idx="122">
                  <c:v>40452</c:v>
                </c:pt>
                <c:pt idx="123">
                  <c:v>40453</c:v>
                </c:pt>
                <c:pt idx="124">
                  <c:v>40454</c:v>
                </c:pt>
                <c:pt idx="125">
                  <c:v>40455</c:v>
                </c:pt>
                <c:pt idx="126">
                  <c:v>40456</c:v>
                </c:pt>
                <c:pt idx="127">
                  <c:v>40457</c:v>
                </c:pt>
                <c:pt idx="128">
                  <c:v>40458</c:v>
                </c:pt>
                <c:pt idx="129">
                  <c:v>40459</c:v>
                </c:pt>
                <c:pt idx="130">
                  <c:v>40460</c:v>
                </c:pt>
                <c:pt idx="131">
                  <c:v>40461</c:v>
                </c:pt>
                <c:pt idx="132">
                  <c:v>40462</c:v>
                </c:pt>
                <c:pt idx="133">
                  <c:v>40463</c:v>
                </c:pt>
                <c:pt idx="134">
                  <c:v>40464</c:v>
                </c:pt>
                <c:pt idx="135">
                  <c:v>40465</c:v>
                </c:pt>
                <c:pt idx="136">
                  <c:v>40466</c:v>
                </c:pt>
                <c:pt idx="137">
                  <c:v>40467</c:v>
                </c:pt>
                <c:pt idx="138">
                  <c:v>40468</c:v>
                </c:pt>
                <c:pt idx="139">
                  <c:v>40469</c:v>
                </c:pt>
                <c:pt idx="140">
                  <c:v>40470</c:v>
                </c:pt>
                <c:pt idx="141">
                  <c:v>40471</c:v>
                </c:pt>
                <c:pt idx="142">
                  <c:v>40472</c:v>
                </c:pt>
                <c:pt idx="143">
                  <c:v>40473</c:v>
                </c:pt>
                <c:pt idx="144">
                  <c:v>40474</c:v>
                </c:pt>
                <c:pt idx="145">
                  <c:v>40475</c:v>
                </c:pt>
                <c:pt idx="146">
                  <c:v>40476</c:v>
                </c:pt>
                <c:pt idx="147">
                  <c:v>40477</c:v>
                </c:pt>
                <c:pt idx="148">
                  <c:v>40478</c:v>
                </c:pt>
                <c:pt idx="149">
                  <c:v>40479</c:v>
                </c:pt>
                <c:pt idx="150">
                  <c:v>40480</c:v>
                </c:pt>
                <c:pt idx="151">
                  <c:v>40481</c:v>
                </c:pt>
                <c:pt idx="152">
                  <c:v>40482</c:v>
                </c:pt>
                <c:pt idx="153">
                  <c:v>40483</c:v>
                </c:pt>
                <c:pt idx="154">
                  <c:v>40484</c:v>
                </c:pt>
                <c:pt idx="155">
                  <c:v>40485</c:v>
                </c:pt>
                <c:pt idx="156">
                  <c:v>40486</c:v>
                </c:pt>
                <c:pt idx="157">
                  <c:v>40487</c:v>
                </c:pt>
                <c:pt idx="158">
                  <c:v>40488</c:v>
                </c:pt>
                <c:pt idx="159">
                  <c:v>40489</c:v>
                </c:pt>
                <c:pt idx="160">
                  <c:v>40490</c:v>
                </c:pt>
                <c:pt idx="161">
                  <c:v>40491</c:v>
                </c:pt>
                <c:pt idx="162">
                  <c:v>40492</c:v>
                </c:pt>
                <c:pt idx="163">
                  <c:v>40493</c:v>
                </c:pt>
                <c:pt idx="164">
                  <c:v>40494</c:v>
                </c:pt>
                <c:pt idx="165">
                  <c:v>40495</c:v>
                </c:pt>
                <c:pt idx="166">
                  <c:v>40496</c:v>
                </c:pt>
                <c:pt idx="167">
                  <c:v>40497</c:v>
                </c:pt>
                <c:pt idx="168">
                  <c:v>40498</c:v>
                </c:pt>
                <c:pt idx="169">
                  <c:v>40499</c:v>
                </c:pt>
                <c:pt idx="170">
                  <c:v>40500</c:v>
                </c:pt>
                <c:pt idx="171">
                  <c:v>40501</c:v>
                </c:pt>
                <c:pt idx="172">
                  <c:v>40502</c:v>
                </c:pt>
                <c:pt idx="173">
                  <c:v>40503</c:v>
                </c:pt>
                <c:pt idx="174">
                  <c:v>40504</c:v>
                </c:pt>
                <c:pt idx="175">
                  <c:v>40505</c:v>
                </c:pt>
                <c:pt idx="176">
                  <c:v>40506</c:v>
                </c:pt>
                <c:pt idx="177">
                  <c:v>40507</c:v>
                </c:pt>
                <c:pt idx="178">
                  <c:v>40508</c:v>
                </c:pt>
                <c:pt idx="179">
                  <c:v>40509</c:v>
                </c:pt>
                <c:pt idx="180">
                  <c:v>40510</c:v>
                </c:pt>
                <c:pt idx="181">
                  <c:v>40511</c:v>
                </c:pt>
                <c:pt idx="182">
                  <c:v>40512</c:v>
                </c:pt>
                <c:pt idx="183">
                  <c:v>40513</c:v>
                </c:pt>
                <c:pt idx="184">
                  <c:v>40514</c:v>
                </c:pt>
                <c:pt idx="185">
                  <c:v>40515</c:v>
                </c:pt>
                <c:pt idx="186">
                  <c:v>40516</c:v>
                </c:pt>
                <c:pt idx="187">
                  <c:v>40517</c:v>
                </c:pt>
                <c:pt idx="188">
                  <c:v>40518</c:v>
                </c:pt>
                <c:pt idx="189">
                  <c:v>40519</c:v>
                </c:pt>
                <c:pt idx="190">
                  <c:v>40520</c:v>
                </c:pt>
                <c:pt idx="191">
                  <c:v>40521</c:v>
                </c:pt>
                <c:pt idx="192">
                  <c:v>40522</c:v>
                </c:pt>
                <c:pt idx="193">
                  <c:v>40523</c:v>
                </c:pt>
                <c:pt idx="194">
                  <c:v>40524</c:v>
                </c:pt>
                <c:pt idx="195">
                  <c:v>40525</c:v>
                </c:pt>
                <c:pt idx="196">
                  <c:v>40526</c:v>
                </c:pt>
                <c:pt idx="197">
                  <c:v>40527</c:v>
                </c:pt>
                <c:pt idx="198">
                  <c:v>40528</c:v>
                </c:pt>
                <c:pt idx="199">
                  <c:v>40529</c:v>
                </c:pt>
                <c:pt idx="200">
                  <c:v>40530</c:v>
                </c:pt>
                <c:pt idx="201">
                  <c:v>40531</c:v>
                </c:pt>
                <c:pt idx="202">
                  <c:v>40532</c:v>
                </c:pt>
                <c:pt idx="203">
                  <c:v>40533</c:v>
                </c:pt>
                <c:pt idx="204">
                  <c:v>40534</c:v>
                </c:pt>
                <c:pt idx="205">
                  <c:v>40535</c:v>
                </c:pt>
                <c:pt idx="206">
                  <c:v>40536</c:v>
                </c:pt>
                <c:pt idx="207">
                  <c:v>40537</c:v>
                </c:pt>
                <c:pt idx="208">
                  <c:v>40538</c:v>
                </c:pt>
                <c:pt idx="209">
                  <c:v>40539</c:v>
                </c:pt>
                <c:pt idx="210">
                  <c:v>40540</c:v>
                </c:pt>
                <c:pt idx="211">
                  <c:v>40541</c:v>
                </c:pt>
                <c:pt idx="212">
                  <c:v>40542</c:v>
                </c:pt>
                <c:pt idx="213">
                  <c:v>40543</c:v>
                </c:pt>
                <c:pt idx="214">
                  <c:v>40544</c:v>
                </c:pt>
                <c:pt idx="215">
                  <c:v>40545</c:v>
                </c:pt>
                <c:pt idx="216">
                  <c:v>40546</c:v>
                </c:pt>
                <c:pt idx="217">
                  <c:v>40547</c:v>
                </c:pt>
                <c:pt idx="218">
                  <c:v>40548</c:v>
                </c:pt>
                <c:pt idx="219">
                  <c:v>40549</c:v>
                </c:pt>
                <c:pt idx="220">
                  <c:v>40550</c:v>
                </c:pt>
                <c:pt idx="221">
                  <c:v>40551</c:v>
                </c:pt>
                <c:pt idx="222">
                  <c:v>40552</c:v>
                </c:pt>
                <c:pt idx="223">
                  <c:v>40553</c:v>
                </c:pt>
                <c:pt idx="224">
                  <c:v>40554</c:v>
                </c:pt>
                <c:pt idx="225">
                  <c:v>40555</c:v>
                </c:pt>
                <c:pt idx="226">
                  <c:v>40556</c:v>
                </c:pt>
                <c:pt idx="227">
                  <c:v>40557</c:v>
                </c:pt>
                <c:pt idx="228">
                  <c:v>40558</c:v>
                </c:pt>
                <c:pt idx="229">
                  <c:v>40559</c:v>
                </c:pt>
                <c:pt idx="230">
                  <c:v>40560</c:v>
                </c:pt>
                <c:pt idx="231">
                  <c:v>40561</c:v>
                </c:pt>
                <c:pt idx="232">
                  <c:v>40562</c:v>
                </c:pt>
                <c:pt idx="233">
                  <c:v>40563</c:v>
                </c:pt>
                <c:pt idx="234">
                  <c:v>40564</c:v>
                </c:pt>
                <c:pt idx="235">
                  <c:v>40565</c:v>
                </c:pt>
                <c:pt idx="236">
                  <c:v>40566</c:v>
                </c:pt>
                <c:pt idx="237">
                  <c:v>40567</c:v>
                </c:pt>
                <c:pt idx="238">
                  <c:v>40568</c:v>
                </c:pt>
                <c:pt idx="239">
                  <c:v>40569</c:v>
                </c:pt>
                <c:pt idx="240">
                  <c:v>40570</c:v>
                </c:pt>
                <c:pt idx="241">
                  <c:v>40571</c:v>
                </c:pt>
                <c:pt idx="242">
                  <c:v>40572</c:v>
                </c:pt>
                <c:pt idx="243">
                  <c:v>40573</c:v>
                </c:pt>
                <c:pt idx="244">
                  <c:v>40574</c:v>
                </c:pt>
                <c:pt idx="245">
                  <c:v>40575</c:v>
                </c:pt>
                <c:pt idx="246">
                  <c:v>40576</c:v>
                </c:pt>
                <c:pt idx="247">
                  <c:v>40577</c:v>
                </c:pt>
                <c:pt idx="248">
                  <c:v>40578</c:v>
                </c:pt>
                <c:pt idx="249">
                  <c:v>40579</c:v>
                </c:pt>
                <c:pt idx="250">
                  <c:v>40580</c:v>
                </c:pt>
                <c:pt idx="251">
                  <c:v>40581</c:v>
                </c:pt>
                <c:pt idx="252">
                  <c:v>40582</c:v>
                </c:pt>
                <c:pt idx="253">
                  <c:v>40583</c:v>
                </c:pt>
                <c:pt idx="254">
                  <c:v>40584</c:v>
                </c:pt>
                <c:pt idx="255">
                  <c:v>40585</c:v>
                </c:pt>
                <c:pt idx="256">
                  <c:v>40586</c:v>
                </c:pt>
                <c:pt idx="257">
                  <c:v>40587</c:v>
                </c:pt>
                <c:pt idx="258">
                  <c:v>40588</c:v>
                </c:pt>
                <c:pt idx="259">
                  <c:v>40589</c:v>
                </c:pt>
                <c:pt idx="260">
                  <c:v>40590</c:v>
                </c:pt>
                <c:pt idx="261">
                  <c:v>40591</c:v>
                </c:pt>
                <c:pt idx="262">
                  <c:v>40592</c:v>
                </c:pt>
                <c:pt idx="263">
                  <c:v>40593</c:v>
                </c:pt>
                <c:pt idx="264">
                  <c:v>40594</c:v>
                </c:pt>
                <c:pt idx="265">
                  <c:v>40595</c:v>
                </c:pt>
                <c:pt idx="266">
                  <c:v>40596</c:v>
                </c:pt>
                <c:pt idx="267">
                  <c:v>40597</c:v>
                </c:pt>
                <c:pt idx="268">
                  <c:v>40598</c:v>
                </c:pt>
                <c:pt idx="269">
                  <c:v>40599</c:v>
                </c:pt>
                <c:pt idx="270">
                  <c:v>40600</c:v>
                </c:pt>
                <c:pt idx="271">
                  <c:v>40601</c:v>
                </c:pt>
                <c:pt idx="272">
                  <c:v>40602</c:v>
                </c:pt>
                <c:pt idx="273">
                  <c:v>40603</c:v>
                </c:pt>
                <c:pt idx="274">
                  <c:v>40604</c:v>
                </c:pt>
                <c:pt idx="275">
                  <c:v>40605</c:v>
                </c:pt>
                <c:pt idx="276">
                  <c:v>40606</c:v>
                </c:pt>
                <c:pt idx="277">
                  <c:v>40607</c:v>
                </c:pt>
                <c:pt idx="278">
                  <c:v>40608</c:v>
                </c:pt>
                <c:pt idx="279">
                  <c:v>40609</c:v>
                </c:pt>
                <c:pt idx="280">
                  <c:v>40610</c:v>
                </c:pt>
                <c:pt idx="281">
                  <c:v>40611</c:v>
                </c:pt>
                <c:pt idx="282">
                  <c:v>40612</c:v>
                </c:pt>
                <c:pt idx="283">
                  <c:v>40613</c:v>
                </c:pt>
                <c:pt idx="284">
                  <c:v>40614</c:v>
                </c:pt>
                <c:pt idx="285">
                  <c:v>40615</c:v>
                </c:pt>
                <c:pt idx="286">
                  <c:v>40616</c:v>
                </c:pt>
                <c:pt idx="287">
                  <c:v>40617</c:v>
                </c:pt>
                <c:pt idx="288">
                  <c:v>40618</c:v>
                </c:pt>
                <c:pt idx="289">
                  <c:v>40619</c:v>
                </c:pt>
                <c:pt idx="290">
                  <c:v>40620</c:v>
                </c:pt>
                <c:pt idx="291">
                  <c:v>40621</c:v>
                </c:pt>
                <c:pt idx="292">
                  <c:v>40622</c:v>
                </c:pt>
                <c:pt idx="293">
                  <c:v>40623</c:v>
                </c:pt>
                <c:pt idx="294">
                  <c:v>40624</c:v>
                </c:pt>
                <c:pt idx="295">
                  <c:v>40625</c:v>
                </c:pt>
                <c:pt idx="296">
                  <c:v>40626</c:v>
                </c:pt>
                <c:pt idx="297">
                  <c:v>40627</c:v>
                </c:pt>
                <c:pt idx="298">
                  <c:v>40628</c:v>
                </c:pt>
                <c:pt idx="299">
                  <c:v>40629</c:v>
                </c:pt>
                <c:pt idx="300">
                  <c:v>40630</c:v>
                </c:pt>
                <c:pt idx="301">
                  <c:v>40631</c:v>
                </c:pt>
                <c:pt idx="302">
                  <c:v>40632</c:v>
                </c:pt>
                <c:pt idx="303">
                  <c:v>40633</c:v>
                </c:pt>
                <c:pt idx="304">
                  <c:v>40634</c:v>
                </c:pt>
                <c:pt idx="305">
                  <c:v>40635</c:v>
                </c:pt>
                <c:pt idx="306">
                  <c:v>40636</c:v>
                </c:pt>
                <c:pt idx="307">
                  <c:v>40637</c:v>
                </c:pt>
                <c:pt idx="308">
                  <c:v>40638</c:v>
                </c:pt>
                <c:pt idx="309">
                  <c:v>40639</c:v>
                </c:pt>
                <c:pt idx="310">
                  <c:v>40640</c:v>
                </c:pt>
                <c:pt idx="311">
                  <c:v>40641</c:v>
                </c:pt>
                <c:pt idx="312">
                  <c:v>40642</c:v>
                </c:pt>
                <c:pt idx="313">
                  <c:v>40643</c:v>
                </c:pt>
                <c:pt idx="314">
                  <c:v>40644</c:v>
                </c:pt>
                <c:pt idx="315">
                  <c:v>40645</c:v>
                </c:pt>
                <c:pt idx="316">
                  <c:v>40646</c:v>
                </c:pt>
                <c:pt idx="317">
                  <c:v>40647</c:v>
                </c:pt>
                <c:pt idx="318">
                  <c:v>40648</c:v>
                </c:pt>
                <c:pt idx="319">
                  <c:v>40649</c:v>
                </c:pt>
                <c:pt idx="320">
                  <c:v>40650</c:v>
                </c:pt>
                <c:pt idx="321">
                  <c:v>40651</c:v>
                </c:pt>
                <c:pt idx="322">
                  <c:v>40652</c:v>
                </c:pt>
                <c:pt idx="323">
                  <c:v>40653</c:v>
                </c:pt>
                <c:pt idx="324">
                  <c:v>40654</c:v>
                </c:pt>
                <c:pt idx="325">
                  <c:v>40655</c:v>
                </c:pt>
                <c:pt idx="326">
                  <c:v>40656</c:v>
                </c:pt>
                <c:pt idx="327">
                  <c:v>40657</c:v>
                </c:pt>
                <c:pt idx="328">
                  <c:v>40658</c:v>
                </c:pt>
                <c:pt idx="329">
                  <c:v>40659</c:v>
                </c:pt>
                <c:pt idx="330">
                  <c:v>40660</c:v>
                </c:pt>
                <c:pt idx="331">
                  <c:v>40661</c:v>
                </c:pt>
                <c:pt idx="332">
                  <c:v>40662</c:v>
                </c:pt>
                <c:pt idx="333">
                  <c:v>40663</c:v>
                </c:pt>
                <c:pt idx="334">
                  <c:v>40664</c:v>
                </c:pt>
                <c:pt idx="335">
                  <c:v>40665</c:v>
                </c:pt>
                <c:pt idx="336">
                  <c:v>40666</c:v>
                </c:pt>
                <c:pt idx="337">
                  <c:v>40667</c:v>
                </c:pt>
                <c:pt idx="338">
                  <c:v>40668</c:v>
                </c:pt>
                <c:pt idx="339">
                  <c:v>40669</c:v>
                </c:pt>
                <c:pt idx="340">
                  <c:v>40670</c:v>
                </c:pt>
                <c:pt idx="341">
                  <c:v>40671</c:v>
                </c:pt>
                <c:pt idx="342">
                  <c:v>40672</c:v>
                </c:pt>
                <c:pt idx="343">
                  <c:v>40673</c:v>
                </c:pt>
                <c:pt idx="344">
                  <c:v>40674</c:v>
                </c:pt>
                <c:pt idx="345">
                  <c:v>40675</c:v>
                </c:pt>
                <c:pt idx="346">
                  <c:v>40676</c:v>
                </c:pt>
                <c:pt idx="347">
                  <c:v>40677</c:v>
                </c:pt>
                <c:pt idx="348">
                  <c:v>40678</c:v>
                </c:pt>
                <c:pt idx="349">
                  <c:v>40679</c:v>
                </c:pt>
                <c:pt idx="350">
                  <c:v>40680</c:v>
                </c:pt>
                <c:pt idx="351">
                  <c:v>40681</c:v>
                </c:pt>
                <c:pt idx="352">
                  <c:v>40682</c:v>
                </c:pt>
                <c:pt idx="353">
                  <c:v>40683</c:v>
                </c:pt>
                <c:pt idx="354">
                  <c:v>40684</c:v>
                </c:pt>
                <c:pt idx="355">
                  <c:v>40685</c:v>
                </c:pt>
                <c:pt idx="356">
                  <c:v>40686</c:v>
                </c:pt>
                <c:pt idx="357">
                  <c:v>40687</c:v>
                </c:pt>
                <c:pt idx="358">
                  <c:v>40688</c:v>
                </c:pt>
                <c:pt idx="359">
                  <c:v>40689</c:v>
                </c:pt>
                <c:pt idx="360">
                  <c:v>40690</c:v>
                </c:pt>
                <c:pt idx="361">
                  <c:v>40691</c:v>
                </c:pt>
                <c:pt idx="362">
                  <c:v>40692</c:v>
                </c:pt>
                <c:pt idx="363">
                  <c:v>40693</c:v>
                </c:pt>
                <c:pt idx="364">
                  <c:v>40694</c:v>
                </c:pt>
                <c:pt idx="365">
                  <c:v>40695</c:v>
                </c:pt>
                <c:pt idx="366">
                  <c:v>40696</c:v>
                </c:pt>
                <c:pt idx="367">
                  <c:v>40697</c:v>
                </c:pt>
                <c:pt idx="368">
                  <c:v>40698</c:v>
                </c:pt>
                <c:pt idx="369">
                  <c:v>40699</c:v>
                </c:pt>
                <c:pt idx="370">
                  <c:v>40700</c:v>
                </c:pt>
                <c:pt idx="371">
                  <c:v>40701</c:v>
                </c:pt>
                <c:pt idx="372">
                  <c:v>40702</c:v>
                </c:pt>
                <c:pt idx="373">
                  <c:v>40703</c:v>
                </c:pt>
                <c:pt idx="374">
                  <c:v>40704</c:v>
                </c:pt>
                <c:pt idx="375">
                  <c:v>40705</c:v>
                </c:pt>
                <c:pt idx="376">
                  <c:v>40706</c:v>
                </c:pt>
                <c:pt idx="377">
                  <c:v>40707</c:v>
                </c:pt>
                <c:pt idx="378">
                  <c:v>40708</c:v>
                </c:pt>
                <c:pt idx="379">
                  <c:v>40709</c:v>
                </c:pt>
                <c:pt idx="380">
                  <c:v>40710</c:v>
                </c:pt>
                <c:pt idx="381">
                  <c:v>40711</c:v>
                </c:pt>
                <c:pt idx="382">
                  <c:v>40712</c:v>
                </c:pt>
                <c:pt idx="383">
                  <c:v>40713</c:v>
                </c:pt>
                <c:pt idx="384">
                  <c:v>40714</c:v>
                </c:pt>
                <c:pt idx="385">
                  <c:v>40715</c:v>
                </c:pt>
                <c:pt idx="386">
                  <c:v>40716</c:v>
                </c:pt>
                <c:pt idx="387">
                  <c:v>40717</c:v>
                </c:pt>
                <c:pt idx="388">
                  <c:v>40718</c:v>
                </c:pt>
                <c:pt idx="389">
                  <c:v>40719</c:v>
                </c:pt>
                <c:pt idx="390">
                  <c:v>40720</c:v>
                </c:pt>
                <c:pt idx="391">
                  <c:v>40721</c:v>
                </c:pt>
                <c:pt idx="392">
                  <c:v>40722</c:v>
                </c:pt>
                <c:pt idx="393">
                  <c:v>40723</c:v>
                </c:pt>
                <c:pt idx="394">
                  <c:v>40724</c:v>
                </c:pt>
                <c:pt idx="395">
                  <c:v>40725</c:v>
                </c:pt>
                <c:pt idx="396">
                  <c:v>40726</c:v>
                </c:pt>
                <c:pt idx="397">
                  <c:v>40727</c:v>
                </c:pt>
                <c:pt idx="398">
                  <c:v>40728</c:v>
                </c:pt>
                <c:pt idx="399">
                  <c:v>40729</c:v>
                </c:pt>
                <c:pt idx="400">
                  <c:v>40730</c:v>
                </c:pt>
                <c:pt idx="401">
                  <c:v>40731</c:v>
                </c:pt>
                <c:pt idx="402">
                  <c:v>40732</c:v>
                </c:pt>
                <c:pt idx="403">
                  <c:v>40733</c:v>
                </c:pt>
                <c:pt idx="404">
                  <c:v>40734</c:v>
                </c:pt>
                <c:pt idx="405">
                  <c:v>40735</c:v>
                </c:pt>
                <c:pt idx="406">
                  <c:v>40736</c:v>
                </c:pt>
                <c:pt idx="407">
                  <c:v>40737</c:v>
                </c:pt>
                <c:pt idx="408">
                  <c:v>40738</c:v>
                </c:pt>
                <c:pt idx="409">
                  <c:v>40739</c:v>
                </c:pt>
                <c:pt idx="410">
                  <c:v>40740</c:v>
                </c:pt>
                <c:pt idx="411">
                  <c:v>40741</c:v>
                </c:pt>
                <c:pt idx="412">
                  <c:v>40742</c:v>
                </c:pt>
                <c:pt idx="413">
                  <c:v>40743</c:v>
                </c:pt>
                <c:pt idx="414">
                  <c:v>40744</c:v>
                </c:pt>
                <c:pt idx="415">
                  <c:v>40745</c:v>
                </c:pt>
                <c:pt idx="416">
                  <c:v>40746</c:v>
                </c:pt>
                <c:pt idx="417">
                  <c:v>40747</c:v>
                </c:pt>
                <c:pt idx="418">
                  <c:v>40748</c:v>
                </c:pt>
                <c:pt idx="419">
                  <c:v>40749</c:v>
                </c:pt>
                <c:pt idx="420">
                  <c:v>40750</c:v>
                </c:pt>
                <c:pt idx="421">
                  <c:v>40751</c:v>
                </c:pt>
                <c:pt idx="422">
                  <c:v>40752</c:v>
                </c:pt>
                <c:pt idx="423">
                  <c:v>40753</c:v>
                </c:pt>
                <c:pt idx="424">
                  <c:v>40754</c:v>
                </c:pt>
                <c:pt idx="425">
                  <c:v>40755</c:v>
                </c:pt>
                <c:pt idx="426">
                  <c:v>40756</c:v>
                </c:pt>
                <c:pt idx="427">
                  <c:v>40757</c:v>
                </c:pt>
                <c:pt idx="428">
                  <c:v>40758</c:v>
                </c:pt>
                <c:pt idx="429">
                  <c:v>40759</c:v>
                </c:pt>
                <c:pt idx="430">
                  <c:v>40760</c:v>
                </c:pt>
                <c:pt idx="431">
                  <c:v>40761</c:v>
                </c:pt>
                <c:pt idx="432">
                  <c:v>40762</c:v>
                </c:pt>
                <c:pt idx="433">
                  <c:v>40763</c:v>
                </c:pt>
                <c:pt idx="434">
                  <c:v>40764</c:v>
                </c:pt>
                <c:pt idx="435">
                  <c:v>40765</c:v>
                </c:pt>
                <c:pt idx="436">
                  <c:v>40766</c:v>
                </c:pt>
                <c:pt idx="437">
                  <c:v>40767</c:v>
                </c:pt>
                <c:pt idx="438">
                  <c:v>40768</c:v>
                </c:pt>
                <c:pt idx="439">
                  <c:v>40769</c:v>
                </c:pt>
                <c:pt idx="440">
                  <c:v>40770</c:v>
                </c:pt>
                <c:pt idx="441">
                  <c:v>40771</c:v>
                </c:pt>
                <c:pt idx="442">
                  <c:v>40772</c:v>
                </c:pt>
                <c:pt idx="443">
                  <c:v>40773</c:v>
                </c:pt>
              </c:numCache>
            </c:numRef>
          </c:xVal>
          <c:yVal>
            <c:numRef>
              <c:f>total!$G$2:$G$445</c:f>
              <c:numCache>
                <c:formatCode>General</c:formatCode>
                <c:ptCount val="444"/>
                <c:pt idx="0">
                  <c:v>468.71280125999999</c:v>
                </c:pt>
                <c:pt idx="1">
                  <c:v>537.18821792999995</c:v>
                </c:pt>
                <c:pt idx="2">
                  <c:v>509.87409986</c:v>
                </c:pt>
                <c:pt idx="3">
                  <c:v>487.69326149</c:v>
                </c:pt>
                <c:pt idx="4">
                  <c:v>509.47801343999998</c:v>
                </c:pt>
                <c:pt idx="5">
                  <c:v>474.47981922999998</c:v>
                </c:pt>
                <c:pt idx="6">
                  <c:v>475.60470458999998</c:v>
                </c:pt>
                <c:pt idx="7">
                  <c:v>441.47790044999999</c:v>
                </c:pt>
                <c:pt idx="8">
                  <c:v>475.69976534</c:v>
                </c:pt>
                <c:pt idx="9">
                  <c:v>590.53313416000003</c:v>
                </c:pt>
                <c:pt idx="10">
                  <c:v>599.24703495000006</c:v>
                </c:pt>
                <c:pt idx="11">
                  <c:v>633.73823857000002</c:v>
                </c:pt>
                <c:pt idx="12">
                  <c:v>645.31980489</c:v>
                </c:pt>
                <c:pt idx="13">
                  <c:v>629.72984423000003</c:v>
                </c:pt>
                <c:pt idx="14">
                  <c:v>754.08513008</c:v>
                </c:pt>
                <c:pt idx="15">
                  <c:v>706.07945852</c:v>
                </c:pt>
                <c:pt idx="16">
                  <c:v>606.15478173999998</c:v>
                </c:pt>
                <c:pt idx="17">
                  <c:v>609.16503838000006</c:v>
                </c:pt>
                <c:pt idx="18">
                  <c:v>576.55920600000002</c:v>
                </c:pt>
                <c:pt idx="19">
                  <c:v>569.82573721999995</c:v>
                </c:pt>
                <c:pt idx="20">
                  <c:v>565.05685698000002</c:v>
                </c:pt>
                <c:pt idx="21">
                  <c:v>519.68119908000006</c:v>
                </c:pt>
                <c:pt idx="22">
                  <c:v>510.00498056999999</c:v>
                </c:pt>
                <c:pt idx="23">
                  <c:v>486.89282254</c:v>
                </c:pt>
                <c:pt idx="24">
                  <c:v>471.46956258</c:v>
                </c:pt>
                <c:pt idx="25">
                  <c:v>428.64470112999999</c:v>
                </c:pt>
                <c:pt idx="26">
                  <c:v>466.79574308000002</c:v>
                </c:pt>
                <c:pt idx="27">
                  <c:v>459.57112717000001</c:v>
                </c:pt>
                <c:pt idx="28">
                  <c:v>567.60765339</c:v>
                </c:pt>
                <c:pt idx="29">
                  <c:v>478.83676960999998</c:v>
                </c:pt>
                <c:pt idx="30">
                  <c:v>399.04912538000002</c:v>
                </c:pt>
                <c:pt idx="31">
                  <c:v>273.50558032999999</c:v>
                </c:pt>
                <c:pt idx="32">
                  <c:v>250.35829115999999</c:v>
                </c:pt>
                <c:pt idx="33">
                  <c:v>234.64158284000001</c:v>
                </c:pt>
                <c:pt idx="34">
                  <c:v>224.81864014000001</c:v>
                </c:pt>
                <c:pt idx="35">
                  <c:v>207.43836895000001</c:v>
                </c:pt>
                <c:pt idx="36">
                  <c:v>217.37221582999999</c:v>
                </c:pt>
                <c:pt idx="37">
                  <c:v>188.79062128000001</c:v>
                </c:pt>
                <c:pt idx="38">
                  <c:v>198.40759904999999</c:v>
                </c:pt>
                <c:pt idx="39">
                  <c:v>290.63235621000001</c:v>
                </c:pt>
                <c:pt idx="40">
                  <c:v>240.75715682000001</c:v>
                </c:pt>
                <c:pt idx="41">
                  <c:v>272.93838459</c:v>
                </c:pt>
                <c:pt idx="45">
                  <c:v>342.51741115999999</c:v>
                </c:pt>
                <c:pt idx="46">
                  <c:v>289.07969752999998</c:v>
                </c:pt>
                <c:pt idx="47">
                  <c:v>266.94638956</c:v>
                </c:pt>
                <c:pt idx="48">
                  <c:v>317.15430149000002</c:v>
                </c:pt>
                <c:pt idx="49">
                  <c:v>332.60167106</c:v>
                </c:pt>
                <c:pt idx="50">
                  <c:v>320.8933571</c:v>
                </c:pt>
                <c:pt idx="51">
                  <c:v>321.71594934000001</c:v>
                </c:pt>
                <c:pt idx="52">
                  <c:v>366.63341446999999</c:v>
                </c:pt>
                <c:pt idx="53">
                  <c:v>331.17576002999999</c:v>
                </c:pt>
                <c:pt idx="54">
                  <c:v>338.59049741000001</c:v>
                </c:pt>
                <c:pt idx="55">
                  <c:v>299.26703971000001</c:v>
                </c:pt>
                <c:pt idx="56">
                  <c:v>281.74417741000002</c:v>
                </c:pt>
                <c:pt idx="57">
                  <c:v>280.17567528000001</c:v>
                </c:pt>
                <c:pt idx="58">
                  <c:v>356.25595081</c:v>
                </c:pt>
                <c:pt idx="59">
                  <c:v>346.36963429999997</c:v>
                </c:pt>
                <c:pt idx="60">
                  <c:v>336.97446489999999</c:v>
                </c:pt>
                <c:pt idx="61">
                  <c:v>352.32677374999997</c:v>
                </c:pt>
                <c:pt idx="62">
                  <c:v>354.14877116000002</c:v>
                </c:pt>
                <c:pt idx="63">
                  <c:v>320.79829637</c:v>
                </c:pt>
                <c:pt idx="64">
                  <c:v>318.58021251999998</c:v>
                </c:pt>
                <c:pt idx="65">
                  <c:v>307.64822792000001</c:v>
                </c:pt>
                <c:pt idx="66">
                  <c:v>288.41427238</c:v>
                </c:pt>
                <c:pt idx="67">
                  <c:v>261.81310981000001</c:v>
                </c:pt>
                <c:pt idx="68">
                  <c:v>237.84196093</c:v>
                </c:pt>
                <c:pt idx="69">
                  <c:v>219.55861275999999</c:v>
                </c:pt>
                <c:pt idx="70">
                  <c:v>215.24919274000001</c:v>
                </c:pt>
                <c:pt idx="71">
                  <c:v>200.21375302000001</c:v>
                </c:pt>
                <c:pt idx="72">
                  <c:v>186.27151176999999</c:v>
                </c:pt>
                <c:pt idx="73">
                  <c:v>167.78219866000001</c:v>
                </c:pt>
                <c:pt idx="74">
                  <c:v>148.48486930000001</c:v>
                </c:pt>
                <c:pt idx="75">
                  <c:v>154.67966057999999</c:v>
                </c:pt>
                <c:pt idx="76">
                  <c:v>203.73100026</c:v>
                </c:pt>
                <c:pt idx="77">
                  <c:v>261.00509355000003</c:v>
                </c:pt>
                <c:pt idx="78">
                  <c:v>268.22970948</c:v>
                </c:pt>
                <c:pt idx="79">
                  <c:v>306.57087292</c:v>
                </c:pt>
                <c:pt idx="80">
                  <c:v>320.81413982999999</c:v>
                </c:pt>
                <c:pt idx="81">
                  <c:v>300.69295075000002</c:v>
                </c:pt>
                <c:pt idx="82">
                  <c:v>328.49821595999998</c:v>
                </c:pt>
                <c:pt idx="83">
                  <c:v>316.33044179000001</c:v>
                </c:pt>
                <c:pt idx="84">
                  <c:v>301.81783612999999</c:v>
                </c:pt>
                <c:pt idx="85">
                  <c:v>271.23996611000001</c:v>
                </c:pt>
                <c:pt idx="86">
                  <c:v>274.02841436</c:v>
                </c:pt>
                <c:pt idx="87">
                  <c:v>213.3162911</c:v>
                </c:pt>
                <c:pt idx="88">
                  <c:v>238.82563289999999</c:v>
                </c:pt>
                <c:pt idx="89">
                  <c:v>212.41321411999999</c:v>
                </c:pt>
                <c:pt idx="90">
                  <c:v>196.34794977999999</c:v>
                </c:pt>
                <c:pt idx="91">
                  <c:v>190.08978465999999</c:v>
                </c:pt>
                <c:pt idx="92">
                  <c:v>171.20438515000001</c:v>
                </c:pt>
                <c:pt idx="93">
                  <c:v>151.66940395</c:v>
                </c:pt>
                <c:pt idx="94">
                  <c:v>114.4531259</c:v>
                </c:pt>
                <c:pt idx="95">
                  <c:v>118.10676462000001</c:v>
                </c:pt>
                <c:pt idx="96">
                  <c:v>105.42235598000001</c:v>
                </c:pt>
                <c:pt idx="97">
                  <c:v>100.06726786999999</c:v>
                </c:pt>
                <c:pt idx="98">
                  <c:v>95.266700717999996</c:v>
                </c:pt>
                <c:pt idx="99">
                  <c:v>138.55102241</c:v>
                </c:pt>
                <c:pt idx="100">
                  <c:v>147.26492318999999</c:v>
                </c:pt>
                <c:pt idx="101">
                  <c:v>118.22630585</c:v>
                </c:pt>
                <c:pt idx="102">
                  <c:v>154.56049024000001</c:v>
                </c:pt>
                <c:pt idx="103">
                  <c:v>219.98638606</c:v>
                </c:pt>
                <c:pt idx="104">
                  <c:v>214.77388905000001</c:v>
                </c:pt>
                <c:pt idx="105">
                  <c:v>222.45796519999999</c:v>
                </c:pt>
                <c:pt idx="106">
                  <c:v>215.24919274000001</c:v>
                </c:pt>
                <c:pt idx="107">
                  <c:v>210.81302506</c:v>
                </c:pt>
                <c:pt idx="108">
                  <c:v>227.57540148000001</c:v>
                </c:pt>
                <c:pt idx="109">
                  <c:v>234.99013887999999</c:v>
                </c:pt>
                <c:pt idx="110">
                  <c:v>226.24455116999999</c:v>
                </c:pt>
                <c:pt idx="111">
                  <c:v>237.50924836999999</c:v>
                </c:pt>
                <c:pt idx="112">
                  <c:v>199.84935353</c:v>
                </c:pt>
                <c:pt idx="113">
                  <c:v>222.20446989999999</c:v>
                </c:pt>
                <c:pt idx="114">
                  <c:v>226.35545538</c:v>
                </c:pt>
                <c:pt idx="115">
                  <c:v>204.99847672999999</c:v>
                </c:pt>
                <c:pt idx="116">
                  <c:v>201.40201223</c:v>
                </c:pt>
                <c:pt idx="117">
                  <c:v>179.52219952999999</c:v>
                </c:pt>
                <c:pt idx="118">
                  <c:v>142.19501728</c:v>
                </c:pt>
                <c:pt idx="119">
                  <c:v>154.60044329999999</c:v>
                </c:pt>
                <c:pt idx="120">
                  <c:v>176.95555967999999</c:v>
                </c:pt>
                <c:pt idx="121">
                  <c:v>176.98724658</c:v>
                </c:pt>
                <c:pt idx="122">
                  <c:v>179.17364351000001</c:v>
                </c:pt>
                <c:pt idx="123">
                  <c:v>178.44484453000001</c:v>
                </c:pt>
                <c:pt idx="124">
                  <c:v>162.88657078</c:v>
                </c:pt>
                <c:pt idx="125">
                  <c:v>146.90052370000001</c:v>
                </c:pt>
                <c:pt idx="126">
                  <c:v>142.16333037000001</c:v>
                </c:pt>
                <c:pt idx="127">
                  <c:v>135.69920034</c:v>
                </c:pt>
                <c:pt idx="128">
                  <c:v>133.02165628</c:v>
                </c:pt>
                <c:pt idx="129">
                  <c:v>136.76071188</c:v>
                </c:pt>
                <c:pt idx="130">
                  <c:v>142.38513875999999</c:v>
                </c:pt>
                <c:pt idx="131">
                  <c:v>133.27515156000001</c:v>
                </c:pt>
                <c:pt idx="132">
                  <c:v>138.55102241</c:v>
                </c:pt>
                <c:pt idx="133">
                  <c:v>137.34691975000001</c:v>
                </c:pt>
                <c:pt idx="134">
                  <c:v>145.75979487999999</c:v>
                </c:pt>
                <c:pt idx="135">
                  <c:v>151.87536886999999</c:v>
                </c:pt>
                <c:pt idx="136">
                  <c:v>128.93404464</c:v>
                </c:pt>
                <c:pt idx="137">
                  <c:v>122.64419262</c:v>
                </c:pt>
                <c:pt idx="138">
                  <c:v>113.31239705</c:v>
                </c:pt>
                <c:pt idx="139">
                  <c:v>112.99552794</c:v>
                </c:pt>
                <c:pt idx="140">
                  <c:v>110.95172212</c:v>
                </c:pt>
                <c:pt idx="141">
                  <c:v>138.50349204</c:v>
                </c:pt>
                <c:pt idx="142">
                  <c:v>116.13253223</c:v>
                </c:pt>
                <c:pt idx="143">
                  <c:v>112.80540648</c:v>
                </c:pt>
                <c:pt idx="144">
                  <c:v>101.44564853999999</c:v>
                </c:pt>
                <c:pt idx="145">
                  <c:v>102.17444750999999</c:v>
                </c:pt>
                <c:pt idx="146">
                  <c:v>124.00672983</c:v>
                </c:pt>
                <c:pt idx="147">
                  <c:v>112.77371955</c:v>
                </c:pt>
                <c:pt idx="148">
                  <c:v>93.618981293000004</c:v>
                </c:pt>
                <c:pt idx="149">
                  <c:v>126.22481367</c:v>
                </c:pt>
                <c:pt idx="150">
                  <c:v>120.17261349</c:v>
                </c:pt>
                <c:pt idx="151">
                  <c:v>103.61620200999999</c:v>
                </c:pt>
                <c:pt idx="152">
                  <c:v>111.37949543000001</c:v>
                </c:pt>
                <c:pt idx="153">
                  <c:v>112.20335514</c:v>
                </c:pt>
                <c:pt idx="154">
                  <c:v>107.57706598999999</c:v>
                </c:pt>
                <c:pt idx="155">
                  <c:v>100.7802234</c:v>
                </c:pt>
                <c:pt idx="156">
                  <c:v>83.178143813000005</c:v>
                </c:pt>
                <c:pt idx="157">
                  <c:v>75.082137817000003</c:v>
                </c:pt>
                <c:pt idx="158">
                  <c:v>71.026213088999995</c:v>
                </c:pt>
                <c:pt idx="159">
                  <c:v>48.512100654000001</c:v>
                </c:pt>
                <c:pt idx="160">
                  <c:v>68.095173735000003</c:v>
                </c:pt>
                <c:pt idx="161">
                  <c:v>72.996879176999997</c:v>
                </c:pt>
                <c:pt idx="162">
                  <c:v>65.667956282000006</c:v>
                </c:pt>
                <c:pt idx="185">
                  <c:v>62.328587612</c:v>
                </c:pt>
                <c:pt idx="186">
                  <c:v>58.363483782000003</c:v>
                </c:pt>
                <c:pt idx="187">
                  <c:v>40.651106681000002</c:v>
                </c:pt>
                <c:pt idx="188">
                  <c:v>29.886153406999998</c:v>
                </c:pt>
                <c:pt idx="189">
                  <c:v>22.914733453</c:v>
                </c:pt>
                <c:pt idx="190">
                  <c:v>17.911309129999999</c:v>
                </c:pt>
                <c:pt idx="191">
                  <c:v>48.010723032999998</c:v>
                </c:pt>
                <c:pt idx="192">
                  <c:v>38.692153802999997</c:v>
                </c:pt>
                <c:pt idx="193">
                  <c:v>87.793870650000002</c:v>
                </c:pt>
                <c:pt idx="194">
                  <c:v>10.237968607999999</c:v>
                </c:pt>
                <c:pt idx="195">
                  <c:v>53.638702997999999</c:v>
                </c:pt>
                <c:pt idx="196">
                  <c:v>86.418776116999993</c:v>
                </c:pt>
                <c:pt idx="197">
                  <c:v>74.529240904999995</c:v>
                </c:pt>
                <c:pt idx="198">
                  <c:v>34.354010600999999</c:v>
                </c:pt>
                <c:pt idx="199">
                  <c:v>10.314555401</c:v>
                </c:pt>
                <c:pt idx="200">
                  <c:v>19.243162520999999</c:v>
                </c:pt>
                <c:pt idx="202">
                  <c:v>30.805362569</c:v>
                </c:pt>
                <c:pt idx="203">
                  <c:v>45.219660775000001</c:v>
                </c:pt>
                <c:pt idx="204">
                  <c:v>23.490564043999999</c:v>
                </c:pt>
                <c:pt idx="205">
                  <c:v>34.052868021000002</c:v>
                </c:pt>
                <c:pt idx="206">
                  <c:v>75.592297101</c:v>
                </c:pt>
                <c:pt idx="209">
                  <c:v>16.883598702</c:v>
                </c:pt>
                <c:pt idx="210">
                  <c:v>34.613476171999999</c:v>
                </c:pt>
                <c:pt idx="211">
                  <c:v>20.406462983000001</c:v>
                </c:pt>
                <c:pt idx="215">
                  <c:v>29.304056151000001</c:v>
                </c:pt>
                <c:pt idx="216">
                  <c:v>112.75524156</c:v>
                </c:pt>
                <c:pt idx="217">
                  <c:v>80.363456568999993</c:v>
                </c:pt>
                <c:pt idx="218">
                  <c:v>35.572674695000003</c:v>
                </c:pt>
                <c:pt idx="225">
                  <c:v>6.6151074249999997</c:v>
                </c:pt>
                <c:pt idx="226">
                  <c:v>35.478156415000001</c:v>
                </c:pt>
                <c:pt idx="227">
                  <c:v>35.845002610000002</c:v>
                </c:pt>
                <c:pt idx="228">
                  <c:v>19.797861443999999</c:v>
                </c:pt>
                <c:pt idx="229">
                  <c:v>20.222015635999998</c:v>
                </c:pt>
                <c:pt idx="230">
                  <c:v>21.718852311999999</c:v>
                </c:pt>
                <c:pt idx="231">
                  <c:v>20.944951972999998</c:v>
                </c:pt>
                <c:pt idx="233">
                  <c:v>66.776510709999997</c:v>
                </c:pt>
                <c:pt idx="234">
                  <c:v>29.080766882999999</c:v>
                </c:pt>
                <c:pt idx="235">
                  <c:v>17.913728677999998</c:v>
                </c:pt>
                <c:pt idx="236">
                  <c:v>20.708989344999999</c:v>
                </c:pt>
                <c:pt idx="237">
                  <c:v>28.789676993</c:v>
                </c:pt>
                <c:pt idx="238">
                  <c:v>46.424658063999999</c:v>
                </c:pt>
                <c:pt idx="239">
                  <c:v>26.992409321</c:v>
                </c:pt>
                <c:pt idx="240">
                  <c:v>32.016455813</c:v>
                </c:pt>
                <c:pt idx="241">
                  <c:v>26.214834026999998</c:v>
                </c:pt>
                <c:pt idx="242">
                  <c:v>40.364526538</c:v>
                </c:pt>
                <c:pt idx="243">
                  <c:v>45.800581751000003</c:v>
                </c:pt>
                <c:pt idx="244">
                  <c:v>55.832152188000002</c:v>
                </c:pt>
                <c:pt idx="245">
                  <c:v>129.34597449</c:v>
                </c:pt>
                <c:pt idx="246">
                  <c:v>22.555083915000001</c:v>
                </c:pt>
                <c:pt idx="247">
                  <c:v>50.284881052999999</c:v>
                </c:pt>
                <c:pt idx="248">
                  <c:v>91.591639689000004</c:v>
                </c:pt>
                <c:pt idx="249">
                  <c:v>23.794893151</c:v>
                </c:pt>
                <c:pt idx="250">
                  <c:v>35.402328685000001</c:v>
                </c:pt>
                <c:pt idx="251">
                  <c:v>64.061813074</c:v>
                </c:pt>
                <c:pt idx="252">
                  <c:v>21.642683729000002</c:v>
                </c:pt>
                <c:pt idx="253">
                  <c:v>53.187412809000001</c:v>
                </c:pt>
                <c:pt idx="254">
                  <c:v>35.58800832</c:v>
                </c:pt>
                <c:pt idx="255">
                  <c:v>24.241884332000001</c:v>
                </c:pt>
                <c:pt idx="256">
                  <c:v>23.673259452</c:v>
                </c:pt>
                <c:pt idx="257">
                  <c:v>35.809142901000001</c:v>
                </c:pt>
                <c:pt idx="258">
                  <c:v>35.455406271999998</c:v>
                </c:pt>
                <c:pt idx="259">
                  <c:v>48.128515669000002</c:v>
                </c:pt>
                <c:pt idx="260">
                  <c:v>46.526949016000003</c:v>
                </c:pt>
                <c:pt idx="261">
                  <c:v>51.030044240999999</c:v>
                </c:pt>
                <c:pt idx="262">
                  <c:v>58.282793341000001</c:v>
                </c:pt>
                <c:pt idx="263">
                  <c:v>74.840278522999995</c:v>
                </c:pt>
                <c:pt idx="264">
                  <c:v>69.845025393</c:v>
                </c:pt>
                <c:pt idx="265">
                  <c:v>71.137117282000006</c:v>
                </c:pt>
                <c:pt idx="266">
                  <c:v>58.747534717999997</c:v>
                </c:pt>
                <c:pt idx="267">
                  <c:v>68.762998553000003</c:v>
                </c:pt>
                <c:pt idx="268">
                  <c:v>45.174974106999997</c:v>
                </c:pt>
                <c:pt idx="269">
                  <c:v>33.546629369000001</c:v>
                </c:pt>
                <c:pt idx="270">
                  <c:v>52.886246063999998</c:v>
                </c:pt>
                <c:pt idx="271">
                  <c:v>36.115239615</c:v>
                </c:pt>
                <c:pt idx="272">
                  <c:v>34.348612531000001</c:v>
                </c:pt>
                <c:pt idx="273">
                  <c:v>44.118743709</c:v>
                </c:pt>
                <c:pt idx="274">
                  <c:v>69.686782952000002</c:v>
                </c:pt>
                <c:pt idx="275">
                  <c:v>93.497514804000005</c:v>
                </c:pt>
                <c:pt idx="276">
                  <c:v>113.92501068999999</c:v>
                </c:pt>
                <c:pt idx="277">
                  <c:v>118.02318463</c:v>
                </c:pt>
                <c:pt idx="278">
                  <c:v>15.898977959</c:v>
                </c:pt>
                <c:pt idx="279">
                  <c:v>39.836242775000002</c:v>
                </c:pt>
                <c:pt idx="280">
                  <c:v>64.489534077000002</c:v>
                </c:pt>
                <c:pt idx="281">
                  <c:v>22.200968669000002</c:v>
                </c:pt>
                <c:pt idx="282">
                  <c:v>86.779889479999994</c:v>
                </c:pt>
                <c:pt idx="283">
                  <c:v>31.821468196000001</c:v>
                </c:pt>
                <c:pt idx="284">
                  <c:v>58.035937207000003</c:v>
                </c:pt>
                <c:pt idx="285">
                  <c:v>90.793564985000003</c:v>
                </c:pt>
                <c:pt idx="286">
                  <c:v>99.321080800000004</c:v>
                </c:pt>
                <c:pt idx="287">
                  <c:v>48.977403537000001</c:v>
                </c:pt>
                <c:pt idx="288">
                  <c:v>44.995414939</c:v>
                </c:pt>
                <c:pt idx="289">
                  <c:v>126.82209846000001</c:v>
                </c:pt>
                <c:pt idx="290">
                  <c:v>137.66907003</c:v>
                </c:pt>
                <c:pt idx="291">
                  <c:v>131.32112533</c:v>
                </c:pt>
                <c:pt idx="292">
                  <c:v>135.96853909000001</c:v>
                </c:pt>
                <c:pt idx="293">
                  <c:v>151.03038457</c:v>
                </c:pt>
                <c:pt idx="294">
                  <c:v>155.48767683</c:v>
                </c:pt>
                <c:pt idx="295">
                  <c:v>125.65973040999999</c:v>
                </c:pt>
                <c:pt idx="296">
                  <c:v>56.529450881000002</c:v>
                </c:pt>
                <c:pt idx="297">
                  <c:v>75.583847254999995</c:v>
                </c:pt>
                <c:pt idx="298">
                  <c:v>75.573284950000001</c:v>
                </c:pt>
                <c:pt idx="299">
                  <c:v>36.101954990999999</c:v>
                </c:pt>
                <c:pt idx="300">
                  <c:v>35.931331786000001</c:v>
                </c:pt>
                <c:pt idx="301">
                  <c:v>82.593772457</c:v>
                </c:pt>
                <c:pt idx="302">
                  <c:v>43.822999197000001</c:v>
                </c:pt>
                <c:pt idx="303">
                  <c:v>44.699670427999997</c:v>
                </c:pt>
                <c:pt idx="304">
                  <c:v>63.753874680000003</c:v>
                </c:pt>
                <c:pt idx="305">
                  <c:v>78.424015053000005</c:v>
                </c:pt>
                <c:pt idx="306">
                  <c:v>115.44254161000001</c:v>
                </c:pt>
                <c:pt idx="307">
                  <c:v>102.06882448</c:v>
                </c:pt>
                <c:pt idx="308">
                  <c:v>54.118475805000003</c:v>
                </c:pt>
                <c:pt idx="309">
                  <c:v>106.9240451</c:v>
                </c:pt>
                <c:pt idx="310">
                  <c:v>155.792496</c:v>
                </c:pt>
                <c:pt idx="311">
                  <c:v>175.85179890000001</c:v>
                </c:pt>
                <c:pt idx="312">
                  <c:v>212.68255286999999</c:v>
                </c:pt>
                <c:pt idx="313">
                  <c:v>247.68602824000001</c:v>
                </c:pt>
                <c:pt idx="314">
                  <c:v>258.34867409999998</c:v>
                </c:pt>
                <c:pt idx="315">
                  <c:v>90.888625718</c:v>
                </c:pt>
                <c:pt idx="316">
                  <c:v>163.22984564000001</c:v>
                </c:pt>
                <c:pt idx="317">
                  <c:v>200.52383209000001</c:v>
                </c:pt>
                <c:pt idx="318">
                  <c:v>150.49698821000001</c:v>
                </c:pt>
                <c:pt idx="319">
                  <c:v>31.745004601000002</c:v>
                </c:pt>
                <c:pt idx="320">
                  <c:v>124.4397843</c:v>
                </c:pt>
                <c:pt idx="321">
                  <c:v>171.60575270999999</c:v>
                </c:pt>
                <c:pt idx="322">
                  <c:v>241.63382806999999</c:v>
                </c:pt>
                <c:pt idx="323">
                  <c:v>188.45790869999999</c:v>
                </c:pt>
                <c:pt idx="324">
                  <c:v>214.59961104000001</c:v>
                </c:pt>
                <c:pt idx="325">
                  <c:v>255.69753581000001</c:v>
                </c:pt>
                <c:pt idx="326">
                  <c:v>264.81280414000003</c:v>
                </c:pt>
                <c:pt idx="327">
                  <c:v>268.61523357999999</c:v>
                </c:pt>
                <c:pt idx="328">
                  <c:v>283.76157747000002</c:v>
                </c:pt>
                <c:pt idx="329">
                  <c:v>271.73111324000001</c:v>
                </c:pt>
                <c:pt idx="330">
                  <c:v>214.06621469000001</c:v>
                </c:pt>
                <c:pt idx="331">
                  <c:v>60.184008057</c:v>
                </c:pt>
                <c:pt idx="332">
                  <c:v>152.77844587000001</c:v>
                </c:pt>
                <c:pt idx="333">
                  <c:v>233.77547390999999</c:v>
                </c:pt>
                <c:pt idx="334">
                  <c:v>229.96571281000001</c:v>
                </c:pt>
                <c:pt idx="335">
                  <c:v>263.96253867000001</c:v>
                </c:pt>
                <c:pt idx="336">
                  <c:v>180.01334667</c:v>
                </c:pt>
                <c:pt idx="337">
                  <c:v>76.243991250999997</c:v>
                </c:pt>
                <c:pt idx="338">
                  <c:v>164.50260327999999</c:v>
                </c:pt>
                <c:pt idx="339">
                  <c:v>180.61011683999999</c:v>
                </c:pt>
                <c:pt idx="340">
                  <c:v>201.69247558000001</c:v>
                </c:pt>
                <c:pt idx="341">
                  <c:v>253.96531795000001</c:v>
                </c:pt>
                <c:pt idx="342">
                  <c:v>210.91475674</c:v>
                </c:pt>
                <c:pt idx="345">
                  <c:v>290.58045124</c:v>
                </c:pt>
                <c:pt idx="346">
                  <c:v>231.85825804000001</c:v>
                </c:pt>
                <c:pt idx="347">
                  <c:v>212.98033820000001</c:v>
                </c:pt>
                <c:pt idx="348">
                  <c:v>133.20189192000001</c:v>
                </c:pt>
                <c:pt idx="349">
                  <c:v>159.01013739000001</c:v>
                </c:pt>
                <c:pt idx="350">
                  <c:v>80.301889943000006</c:v>
                </c:pt>
                <c:pt idx="351">
                  <c:v>77.310920007999997</c:v>
                </c:pt>
                <c:pt idx="357">
                  <c:v>286.95667443000002</c:v>
                </c:pt>
                <c:pt idx="358">
                  <c:v>265.44654237999998</c:v>
                </c:pt>
                <c:pt idx="359">
                  <c:v>196.53279008999999</c:v>
                </c:pt>
                <c:pt idx="360">
                  <c:v>222.04603535000001</c:v>
                </c:pt>
                <c:pt idx="361">
                  <c:v>277.04395215</c:v>
                </c:pt>
                <c:pt idx="362">
                  <c:v>287.35276083000002</c:v>
                </c:pt>
                <c:pt idx="363">
                  <c:v>293.54227096</c:v>
                </c:pt>
                <c:pt idx="364">
                  <c:v>296.77961713000002</c:v>
                </c:pt>
                <c:pt idx="365">
                  <c:v>293.27821336</c:v>
                </c:pt>
                <c:pt idx="366">
                  <c:v>273.59535990000001</c:v>
                </c:pt>
                <c:pt idx="367">
                  <c:v>258.48598406999997</c:v>
                </c:pt>
                <c:pt idx="368">
                  <c:v>252.69784149</c:v>
                </c:pt>
                <c:pt idx="369">
                  <c:v>245.90099887</c:v>
                </c:pt>
                <c:pt idx="370">
                  <c:v>238.18523583000001</c:v>
                </c:pt>
                <c:pt idx="371">
                  <c:v>234.40393098999999</c:v>
                </c:pt>
                <c:pt idx="372">
                  <c:v>226.46107841</c:v>
                </c:pt>
                <c:pt idx="373">
                  <c:v>214.02495454999999</c:v>
                </c:pt>
                <c:pt idx="374">
                  <c:v>194.697</c:v>
                </c:pt>
                <c:pt idx="375">
                  <c:v>221.99098305000001</c:v>
                </c:pt>
                <c:pt idx="376">
                  <c:v>280.05894737</c:v>
                </c:pt>
                <c:pt idx="377">
                  <c:v>317.37366037999999</c:v>
                </c:pt>
                <c:pt idx="378">
                  <c:v>218.67973684</c:v>
                </c:pt>
                <c:pt idx="379">
                  <c:v>148.21178182</c:v>
                </c:pt>
                <c:pt idx="380">
                  <c:v>224.76216948999999</c:v>
                </c:pt>
                <c:pt idx="381">
                  <c:v>278.08209090999998</c:v>
                </c:pt>
                <c:pt idx="382">
                  <c:v>198.96889286000001</c:v>
                </c:pt>
                <c:pt idx="383">
                  <c:v>128.02912963</c:v>
                </c:pt>
                <c:pt idx="384">
                  <c:v>184.84396552000001</c:v>
                </c:pt>
                <c:pt idx="385">
                  <c:v>283.35454838999999</c:v>
                </c:pt>
                <c:pt idx="386">
                  <c:v>163.48477586000001</c:v>
                </c:pt>
                <c:pt idx="387">
                  <c:v>177.72424138</c:v>
                </c:pt>
                <c:pt idx="388">
                  <c:v>119.11524638</c:v>
                </c:pt>
                <c:pt idx="389">
                  <c:v>264.85508333000001</c:v>
                </c:pt>
                <c:pt idx="390">
                  <c:v>221.70280556</c:v>
                </c:pt>
                <c:pt idx="391">
                  <c:v>284.22627777999998</c:v>
                </c:pt>
                <c:pt idx="392">
                  <c:v>307.38412499999998</c:v>
                </c:pt>
                <c:pt idx="393">
                  <c:v>349.34820832999998</c:v>
                </c:pt>
                <c:pt idx="394">
                  <c:v>345.42956944000002</c:v>
                </c:pt>
                <c:pt idx="395">
                  <c:v>343.45970833000001</c:v>
                </c:pt>
                <c:pt idx="396">
                  <c:v>344.50012500000003</c:v>
                </c:pt>
                <c:pt idx="397">
                  <c:v>364.13015278</c:v>
                </c:pt>
                <c:pt idx="398">
                  <c:v>343.11115278</c:v>
                </c:pt>
                <c:pt idx="399">
                  <c:v>346.68124999999998</c:v>
                </c:pt>
                <c:pt idx="400">
                  <c:v>326.64452777999998</c:v>
                </c:pt>
                <c:pt idx="401">
                  <c:v>250.76451514999999</c:v>
                </c:pt>
                <c:pt idx="402">
                  <c:v>100.833</c:v>
                </c:pt>
                <c:pt idx="403">
                  <c:v>185.62716667000001</c:v>
                </c:pt>
                <c:pt idx="404">
                  <c:v>351.57690278000001</c:v>
                </c:pt>
                <c:pt idx="405">
                  <c:v>400.91336110999998</c:v>
                </c:pt>
                <c:pt idx="406">
                  <c:v>307.46863889000002</c:v>
                </c:pt>
                <c:pt idx="407">
                  <c:v>372.06245833000003</c:v>
                </c:pt>
                <c:pt idx="408">
                  <c:v>395.09881944</c:v>
                </c:pt>
                <c:pt idx="409">
                  <c:v>315.08943055999998</c:v>
                </c:pt>
                <c:pt idx="410">
                  <c:v>229.78291666999999</c:v>
                </c:pt>
                <c:pt idx="411">
                  <c:v>310.69020833000002</c:v>
                </c:pt>
                <c:pt idx="412">
                  <c:v>395.03541667000002</c:v>
                </c:pt>
                <c:pt idx="413">
                  <c:v>379.91027778</c:v>
                </c:pt>
                <c:pt idx="414">
                  <c:v>396.36627778000002</c:v>
                </c:pt>
                <c:pt idx="415">
                  <c:v>321.61683333000002</c:v>
                </c:pt>
                <c:pt idx="416">
                  <c:v>335.30556944</c:v>
                </c:pt>
                <c:pt idx="417">
                  <c:v>374.58684721999998</c:v>
                </c:pt>
                <c:pt idx="418">
                  <c:v>190.91893056000001</c:v>
                </c:pt>
                <c:pt idx="419">
                  <c:v>261.37479166999998</c:v>
                </c:pt>
                <c:pt idx="420">
                  <c:v>359.69930556000003</c:v>
                </c:pt>
                <c:pt idx="421">
                  <c:v>427.36144444000001</c:v>
                </c:pt>
                <c:pt idx="422">
                  <c:v>441.07654166999998</c:v>
                </c:pt>
                <c:pt idx="423">
                  <c:v>425.27534722000001</c:v>
                </c:pt>
                <c:pt idx="424">
                  <c:v>343.90331944000002</c:v>
                </c:pt>
                <c:pt idx="425">
                  <c:v>256.29434722000002</c:v>
                </c:pt>
                <c:pt idx="426">
                  <c:v>387.816125</c:v>
                </c:pt>
                <c:pt idx="427">
                  <c:v>417.16343055999999</c:v>
                </c:pt>
                <c:pt idx="428">
                  <c:v>411.72390278</c:v>
                </c:pt>
                <c:pt idx="429">
                  <c:v>390.90563888999998</c:v>
                </c:pt>
                <c:pt idx="430">
                  <c:v>358.32620832999999</c:v>
                </c:pt>
                <c:pt idx="431">
                  <c:v>362.25006944</c:v>
                </c:pt>
                <c:pt idx="432">
                  <c:v>348.17576388999998</c:v>
                </c:pt>
                <c:pt idx="433">
                  <c:v>328.06512500000002</c:v>
                </c:pt>
                <c:pt idx="434">
                  <c:v>324.40004167000001</c:v>
                </c:pt>
                <c:pt idx="435">
                  <c:v>307.70101389000001</c:v>
                </c:pt>
                <c:pt idx="436">
                  <c:v>319.19805556</c:v>
                </c:pt>
                <c:pt idx="437">
                  <c:v>288.91073611000002</c:v>
                </c:pt>
                <c:pt idx="438">
                  <c:v>266.29680556</c:v>
                </c:pt>
                <c:pt idx="439">
                  <c:v>265.04512499999998</c:v>
                </c:pt>
                <c:pt idx="440">
                  <c:v>211.86929167</c:v>
                </c:pt>
                <c:pt idx="441">
                  <c:v>196.86554167</c:v>
                </c:pt>
                <c:pt idx="442">
                  <c:v>200.88973611</c:v>
                </c:pt>
                <c:pt idx="443">
                  <c:v>190.02335484</c:v>
                </c:pt>
              </c:numCache>
            </c:numRef>
          </c:yVal>
          <c:smooth val="0"/>
        </c:ser>
        <c:dLbls>
          <c:showLegendKey val="0"/>
          <c:showVal val="0"/>
          <c:showCatName val="0"/>
          <c:showSerName val="0"/>
          <c:showPercent val="0"/>
          <c:showBubbleSize val="0"/>
        </c:dLbls>
        <c:axId val="81752448"/>
        <c:axId val="81754368"/>
      </c:scatterChart>
      <c:scatterChart>
        <c:scatterStyle val="lineMarker"/>
        <c:varyColors val="0"/>
        <c:ser>
          <c:idx val="2"/>
          <c:order val="2"/>
          <c:tx>
            <c:v>Temperature</c:v>
          </c:tx>
          <c:spPr>
            <a:ln w="9525">
              <a:solidFill>
                <a:schemeClr val="tx1"/>
              </a:solidFill>
            </a:ln>
          </c:spPr>
          <c:marker>
            <c:spPr>
              <a:noFill/>
              <a:ln>
                <a:solidFill>
                  <a:schemeClr val="tx1"/>
                </a:solidFill>
              </a:ln>
            </c:spPr>
          </c:marker>
          <c:xVal>
            <c:numRef>
              <c:f>total!$A$2:$A$445</c:f>
              <c:numCache>
                <c:formatCode>[$-409]d\-mmm\-yy;@</c:formatCode>
                <c:ptCount val="444"/>
                <c:pt idx="0">
                  <c:v>40330</c:v>
                </c:pt>
                <c:pt idx="1">
                  <c:v>40331</c:v>
                </c:pt>
                <c:pt idx="2">
                  <c:v>40332</c:v>
                </c:pt>
                <c:pt idx="3">
                  <c:v>40333</c:v>
                </c:pt>
                <c:pt idx="4">
                  <c:v>40334</c:v>
                </c:pt>
                <c:pt idx="5">
                  <c:v>40335</c:v>
                </c:pt>
                <c:pt idx="6">
                  <c:v>40336</c:v>
                </c:pt>
                <c:pt idx="7">
                  <c:v>40337</c:v>
                </c:pt>
                <c:pt idx="8">
                  <c:v>40338</c:v>
                </c:pt>
                <c:pt idx="9">
                  <c:v>40339</c:v>
                </c:pt>
                <c:pt idx="10">
                  <c:v>40340</c:v>
                </c:pt>
                <c:pt idx="11">
                  <c:v>40341</c:v>
                </c:pt>
                <c:pt idx="12">
                  <c:v>40342</c:v>
                </c:pt>
                <c:pt idx="13">
                  <c:v>40343</c:v>
                </c:pt>
                <c:pt idx="14">
                  <c:v>40344</c:v>
                </c:pt>
                <c:pt idx="15">
                  <c:v>40345</c:v>
                </c:pt>
                <c:pt idx="16">
                  <c:v>40346</c:v>
                </c:pt>
                <c:pt idx="17">
                  <c:v>40347</c:v>
                </c:pt>
                <c:pt idx="18">
                  <c:v>40348</c:v>
                </c:pt>
                <c:pt idx="19">
                  <c:v>40349</c:v>
                </c:pt>
                <c:pt idx="20">
                  <c:v>40350</c:v>
                </c:pt>
                <c:pt idx="21">
                  <c:v>40351</c:v>
                </c:pt>
                <c:pt idx="22">
                  <c:v>40352</c:v>
                </c:pt>
                <c:pt idx="23">
                  <c:v>40353</c:v>
                </c:pt>
                <c:pt idx="24">
                  <c:v>40354</c:v>
                </c:pt>
                <c:pt idx="25">
                  <c:v>40355</c:v>
                </c:pt>
                <c:pt idx="26">
                  <c:v>40356</c:v>
                </c:pt>
                <c:pt idx="27">
                  <c:v>40357</c:v>
                </c:pt>
                <c:pt idx="28">
                  <c:v>40358</c:v>
                </c:pt>
                <c:pt idx="29">
                  <c:v>40359</c:v>
                </c:pt>
                <c:pt idx="30">
                  <c:v>40360</c:v>
                </c:pt>
                <c:pt idx="31">
                  <c:v>40361</c:v>
                </c:pt>
                <c:pt idx="32">
                  <c:v>40362</c:v>
                </c:pt>
                <c:pt idx="33">
                  <c:v>40363</c:v>
                </c:pt>
                <c:pt idx="34">
                  <c:v>40364</c:v>
                </c:pt>
                <c:pt idx="35">
                  <c:v>40365</c:v>
                </c:pt>
                <c:pt idx="36">
                  <c:v>40366</c:v>
                </c:pt>
                <c:pt idx="37">
                  <c:v>40367</c:v>
                </c:pt>
                <c:pt idx="38">
                  <c:v>40368</c:v>
                </c:pt>
                <c:pt idx="39">
                  <c:v>40369</c:v>
                </c:pt>
                <c:pt idx="40">
                  <c:v>40370</c:v>
                </c:pt>
                <c:pt idx="41">
                  <c:v>40371</c:v>
                </c:pt>
                <c:pt idx="42">
                  <c:v>40372</c:v>
                </c:pt>
                <c:pt idx="43">
                  <c:v>40373</c:v>
                </c:pt>
                <c:pt idx="44">
                  <c:v>40374</c:v>
                </c:pt>
                <c:pt idx="45">
                  <c:v>40375</c:v>
                </c:pt>
                <c:pt idx="46">
                  <c:v>40376</c:v>
                </c:pt>
                <c:pt idx="47">
                  <c:v>40377</c:v>
                </c:pt>
                <c:pt idx="48">
                  <c:v>40378</c:v>
                </c:pt>
                <c:pt idx="49">
                  <c:v>40379</c:v>
                </c:pt>
                <c:pt idx="50">
                  <c:v>40380</c:v>
                </c:pt>
                <c:pt idx="51">
                  <c:v>40381</c:v>
                </c:pt>
                <c:pt idx="52">
                  <c:v>40382</c:v>
                </c:pt>
                <c:pt idx="53">
                  <c:v>40383</c:v>
                </c:pt>
                <c:pt idx="54">
                  <c:v>40384</c:v>
                </c:pt>
                <c:pt idx="55">
                  <c:v>40385</c:v>
                </c:pt>
                <c:pt idx="56">
                  <c:v>40386</c:v>
                </c:pt>
                <c:pt idx="57">
                  <c:v>40387</c:v>
                </c:pt>
                <c:pt idx="58">
                  <c:v>40388</c:v>
                </c:pt>
                <c:pt idx="59">
                  <c:v>40389</c:v>
                </c:pt>
                <c:pt idx="60">
                  <c:v>40390</c:v>
                </c:pt>
                <c:pt idx="61">
                  <c:v>40391</c:v>
                </c:pt>
                <c:pt idx="62">
                  <c:v>40392</c:v>
                </c:pt>
                <c:pt idx="63">
                  <c:v>40393</c:v>
                </c:pt>
                <c:pt idx="64">
                  <c:v>40394</c:v>
                </c:pt>
                <c:pt idx="65">
                  <c:v>40395</c:v>
                </c:pt>
                <c:pt idx="66">
                  <c:v>40396</c:v>
                </c:pt>
                <c:pt idx="67">
                  <c:v>40397</c:v>
                </c:pt>
                <c:pt idx="68">
                  <c:v>40398</c:v>
                </c:pt>
                <c:pt idx="69">
                  <c:v>40399</c:v>
                </c:pt>
                <c:pt idx="70">
                  <c:v>40400</c:v>
                </c:pt>
                <c:pt idx="71">
                  <c:v>40401</c:v>
                </c:pt>
                <c:pt idx="72">
                  <c:v>40402</c:v>
                </c:pt>
                <c:pt idx="73">
                  <c:v>40403</c:v>
                </c:pt>
                <c:pt idx="74">
                  <c:v>40404</c:v>
                </c:pt>
                <c:pt idx="75">
                  <c:v>40405</c:v>
                </c:pt>
                <c:pt idx="76">
                  <c:v>40406</c:v>
                </c:pt>
                <c:pt idx="77">
                  <c:v>40407</c:v>
                </c:pt>
                <c:pt idx="78">
                  <c:v>40408</c:v>
                </c:pt>
                <c:pt idx="79">
                  <c:v>40409</c:v>
                </c:pt>
                <c:pt idx="80">
                  <c:v>40410</c:v>
                </c:pt>
                <c:pt idx="81">
                  <c:v>40411</c:v>
                </c:pt>
                <c:pt idx="82">
                  <c:v>40412</c:v>
                </c:pt>
                <c:pt idx="83">
                  <c:v>40413</c:v>
                </c:pt>
                <c:pt idx="84">
                  <c:v>40414</c:v>
                </c:pt>
                <c:pt idx="85">
                  <c:v>40415</c:v>
                </c:pt>
                <c:pt idx="86">
                  <c:v>40416</c:v>
                </c:pt>
                <c:pt idx="87">
                  <c:v>40417</c:v>
                </c:pt>
                <c:pt idx="88">
                  <c:v>40418</c:v>
                </c:pt>
                <c:pt idx="89">
                  <c:v>40419</c:v>
                </c:pt>
                <c:pt idx="90">
                  <c:v>40420</c:v>
                </c:pt>
                <c:pt idx="91">
                  <c:v>40421</c:v>
                </c:pt>
                <c:pt idx="92">
                  <c:v>40422</c:v>
                </c:pt>
                <c:pt idx="93">
                  <c:v>40423</c:v>
                </c:pt>
                <c:pt idx="94">
                  <c:v>40424</c:v>
                </c:pt>
                <c:pt idx="95">
                  <c:v>40425</c:v>
                </c:pt>
                <c:pt idx="96">
                  <c:v>40426</c:v>
                </c:pt>
                <c:pt idx="97">
                  <c:v>40427</c:v>
                </c:pt>
                <c:pt idx="98">
                  <c:v>40428</c:v>
                </c:pt>
                <c:pt idx="99">
                  <c:v>40429</c:v>
                </c:pt>
                <c:pt idx="100">
                  <c:v>40430</c:v>
                </c:pt>
                <c:pt idx="101">
                  <c:v>40431</c:v>
                </c:pt>
                <c:pt idx="102">
                  <c:v>40432</c:v>
                </c:pt>
                <c:pt idx="103">
                  <c:v>40433</c:v>
                </c:pt>
                <c:pt idx="104">
                  <c:v>40434</c:v>
                </c:pt>
                <c:pt idx="105">
                  <c:v>40435</c:v>
                </c:pt>
                <c:pt idx="106">
                  <c:v>40436</c:v>
                </c:pt>
                <c:pt idx="107">
                  <c:v>40437</c:v>
                </c:pt>
                <c:pt idx="108">
                  <c:v>40438</c:v>
                </c:pt>
                <c:pt idx="109">
                  <c:v>40439</c:v>
                </c:pt>
                <c:pt idx="110">
                  <c:v>40440</c:v>
                </c:pt>
                <c:pt idx="111">
                  <c:v>40441</c:v>
                </c:pt>
                <c:pt idx="112">
                  <c:v>40442</c:v>
                </c:pt>
                <c:pt idx="113">
                  <c:v>40443</c:v>
                </c:pt>
                <c:pt idx="114">
                  <c:v>40444</c:v>
                </c:pt>
                <c:pt idx="115">
                  <c:v>40445</c:v>
                </c:pt>
                <c:pt idx="116">
                  <c:v>40446</c:v>
                </c:pt>
                <c:pt idx="117">
                  <c:v>40447</c:v>
                </c:pt>
                <c:pt idx="118">
                  <c:v>40448</c:v>
                </c:pt>
                <c:pt idx="119">
                  <c:v>40449</c:v>
                </c:pt>
                <c:pt idx="120">
                  <c:v>40450</c:v>
                </c:pt>
                <c:pt idx="121">
                  <c:v>40451</c:v>
                </c:pt>
                <c:pt idx="122">
                  <c:v>40452</c:v>
                </c:pt>
                <c:pt idx="123">
                  <c:v>40453</c:v>
                </c:pt>
                <c:pt idx="124">
                  <c:v>40454</c:v>
                </c:pt>
                <c:pt idx="125">
                  <c:v>40455</c:v>
                </c:pt>
                <c:pt idx="126">
                  <c:v>40456</c:v>
                </c:pt>
                <c:pt idx="127">
                  <c:v>40457</c:v>
                </c:pt>
                <c:pt idx="128">
                  <c:v>40458</c:v>
                </c:pt>
                <c:pt idx="129">
                  <c:v>40459</c:v>
                </c:pt>
                <c:pt idx="130">
                  <c:v>40460</c:v>
                </c:pt>
                <c:pt idx="131">
                  <c:v>40461</c:v>
                </c:pt>
                <c:pt idx="132">
                  <c:v>40462</c:v>
                </c:pt>
                <c:pt idx="133">
                  <c:v>40463</c:v>
                </c:pt>
                <c:pt idx="134">
                  <c:v>40464</c:v>
                </c:pt>
                <c:pt idx="135">
                  <c:v>40465</c:v>
                </c:pt>
                <c:pt idx="136">
                  <c:v>40466</c:v>
                </c:pt>
                <c:pt idx="137">
                  <c:v>40467</c:v>
                </c:pt>
                <c:pt idx="138">
                  <c:v>40468</c:v>
                </c:pt>
                <c:pt idx="139">
                  <c:v>40469</c:v>
                </c:pt>
                <c:pt idx="140">
                  <c:v>40470</c:v>
                </c:pt>
                <c:pt idx="141">
                  <c:v>40471</c:v>
                </c:pt>
                <c:pt idx="142">
                  <c:v>40472</c:v>
                </c:pt>
                <c:pt idx="143">
                  <c:v>40473</c:v>
                </c:pt>
                <c:pt idx="144">
                  <c:v>40474</c:v>
                </c:pt>
                <c:pt idx="145">
                  <c:v>40475</c:v>
                </c:pt>
                <c:pt idx="146">
                  <c:v>40476</c:v>
                </c:pt>
                <c:pt idx="147">
                  <c:v>40477</c:v>
                </c:pt>
                <c:pt idx="148">
                  <c:v>40478</c:v>
                </c:pt>
                <c:pt idx="149">
                  <c:v>40479</c:v>
                </c:pt>
                <c:pt idx="150">
                  <c:v>40480</c:v>
                </c:pt>
                <c:pt idx="151">
                  <c:v>40481</c:v>
                </c:pt>
                <c:pt idx="152">
                  <c:v>40482</c:v>
                </c:pt>
                <c:pt idx="153">
                  <c:v>40483</c:v>
                </c:pt>
                <c:pt idx="154">
                  <c:v>40484</c:v>
                </c:pt>
                <c:pt idx="155">
                  <c:v>40485</c:v>
                </c:pt>
                <c:pt idx="156">
                  <c:v>40486</c:v>
                </c:pt>
                <c:pt idx="157">
                  <c:v>40487</c:v>
                </c:pt>
                <c:pt idx="158">
                  <c:v>40488</c:v>
                </c:pt>
                <c:pt idx="159">
                  <c:v>40489</c:v>
                </c:pt>
                <c:pt idx="160">
                  <c:v>40490</c:v>
                </c:pt>
                <c:pt idx="161">
                  <c:v>40491</c:v>
                </c:pt>
                <c:pt idx="162">
                  <c:v>40492</c:v>
                </c:pt>
                <c:pt idx="163">
                  <c:v>40493</c:v>
                </c:pt>
                <c:pt idx="164">
                  <c:v>40494</c:v>
                </c:pt>
                <c:pt idx="165">
                  <c:v>40495</c:v>
                </c:pt>
                <c:pt idx="166">
                  <c:v>40496</c:v>
                </c:pt>
                <c:pt idx="167">
                  <c:v>40497</c:v>
                </c:pt>
                <c:pt idx="168">
                  <c:v>40498</c:v>
                </c:pt>
                <c:pt idx="169">
                  <c:v>40499</c:v>
                </c:pt>
                <c:pt idx="170">
                  <c:v>40500</c:v>
                </c:pt>
                <c:pt idx="171">
                  <c:v>40501</c:v>
                </c:pt>
                <c:pt idx="172">
                  <c:v>40502</c:v>
                </c:pt>
                <c:pt idx="173">
                  <c:v>40503</c:v>
                </c:pt>
                <c:pt idx="174">
                  <c:v>40504</c:v>
                </c:pt>
                <c:pt idx="175">
                  <c:v>40505</c:v>
                </c:pt>
                <c:pt idx="176">
                  <c:v>40506</c:v>
                </c:pt>
                <c:pt idx="177">
                  <c:v>40507</c:v>
                </c:pt>
                <c:pt idx="178">
                  <c:v>40508</c:v>
                </c:pt>
                <c:pt idx="179">
                  <c:v>40509</c:v>
                </c:pt>
                <c:pt idx="180">
                  <c:v>40510</c:v>
                </c:pt>
                <c:pt idx="181">
                  <c:v>40511</c:v>
                </c:pt>
                <c:pt idx="182">
                  <c:v>40512</c:v>
                </c:pt>
                <c:pt idx="183">
                  <c:v>40513</c:v>
                </c:pt>
                <c:pt idx="184">
                  <c:v>40514</c:v>
                </c:pt>
                <c:pt idx="185">
                  <c:v>40515</c:v>
                </c:pt>
                <c:pt idx="186">
                  <c:v>40516</c:v>
                </c:pt>
                <c:pt idx="187">
                  <c:v>40517</c:v>
                </c:pt>
                <c:pt idx="188">
                  <c:v>40518</c:v>
                </c:pt>
                <c:pt idx="189">
                  <c:v>40519</c:v>
                </c:pt>
                <c:pt idx="190">
                  <c:v>40520</c:v>
                </c:pt>
                <c:pt idx="191">
                  <c:v>40521</c:v>
                </c:pt>
                <c:pt idx="192">
                  <c:v>40522</c:v>
                </c:pt>
                <c:pt idx="193">
                  <c:v>40523</c:v>
                </c:pt>
                <c:pt idx="194">
                  <c:v>40524</c:v>
                </c:pt>
                <c:pt idx="195">
                  <c:v>40525</c:v>
                </c:pt>
                <c:pt idx="196">
                  <c:v>40526</c:v>
                </c:pt>
                <c:pt idx="197">
                  <c:v>40527</c:v>
                </c:pt>
                <c:pt idx="198">
                  <c:v>40528</c:v>
                </c:pt>
                <c:pt idx="199">
                  <c:v>40529</c:v>
                </c:pt>
                <c:pt idx="200">
                  <c:v>40530</c:v>
                </c:pt>
                <c:pt idx="201">
                  <c:v>40531</c:v>
                </c:pt>
                <c:pt idx="202">
                  <c:v>40532</c:v>
                </c:pt>
                <c:pt idx="203">
                  <c:v>40533</c:v>
                </c:pt>
                <c:pt idx="204">
                  <c:v>40534</c:v>
                </c:pt>
                <c:pt idx="205">
                  <c:v>40535</c:v>
                </c:pt>
                <c:pt idx="206">
                  <c:v>40536</c:v>
                </c:pt>
                <c:pt idx="207">
                  <c:v>40537</c:v>
                </c:pt>
                <c:pt idx="208">
                  <c:v>40538</c:v>
                </c:pt>
                <c:pt idx="209">
                  <c:v>40539</c:v>
                </c:pt>
                <c:pt idx="210">
                  <c:v>40540</c:v>
                </c:pt>
                <c:pt idx="211">
                  <c:v>40541</c:v>
                </c:pt>
                <c:pt idx="212">
                  <c:v>40542</c:v>
                </c:pt>
                <c:pt idx="213">
                  <c:v>40543</c:v>
                </c:pt>
                <c:pt idx="214">
                  <c:v>40544</c:v>
                </c:pt>
                <c:pt idx="215">
                  <c:v>40545</c:v>
                </c:pt>
                <c:pt idx="216">
                  <c:v>40546</c:v>
                </c:pt>
                <c:pt idx="217">
                  <c:v>40547</c:v>
                </c:pt>
                <c:pt idx="218">
                  <c:v>40548</c:v>
                </c:pt>
                <c:pt idx="219">
                  <c:v>40549</c:v>
                </c:pt>
                <c:pt idx="220">
                  <c:v>40550</c:v>
                </c:pt>
                <c:pt idx="221">
                  <c:v>40551</c:v>
                </c:pt>
                <c:pt idx="222">
                  <c:v>40552</c:v>
                </c:pt>
                <c:pt idx="223">
                  <c:v>40553</c:v>
                </c:pt>
                <c:pt idx="224">
                  <c:v>40554</c:v>
                </c:pt>
                <c:pt idx="225">
                  <c:v>40555</c:v>
                </c:pt>
                <c:pt idx="226">
                  <c:v>40556</c:v>
                </c:pt>
                <c:pt idx="227">
                  <c:v>40557</c:v>
                </c:pt>
                <c:pt idx="228">
                  <c:v>40558</c:v>
                </c:pt>
                <c:pt idx="229">
                  <c:v>40559</c:v>
                </c:pt>
                <c:pt idx="230">
                  <c:v>40560</c:v>
                </c:pt>
                <c:pt idx="231">
                  <c:v>40561</c:v>
                </c:pt>
                <c:pt idx="232">
                  <c:v>40562</c:v>
                </c:pt>
                <c:pt idx="233">
                  <c:v>40563</c:v>
                </c:pt>
                <c:pt idx="234">
                  <c:v>40564</c:v>
                </c:pt>
                <c:pt idx="235">
                  <c:v>40565</c:v>
                </c:pt>
                <c:pt idx="236">
                  <c:v>40566</c:v>
                </c:pt>
                <c:pt idx="237">
                  <c:v>40567</c:v>
                </c:pt>
                <c:pt idx="238">
                  <c:v>40568</c:v>
                </c:pt>
                <c:pt idx="239">
                  <c:v>40569</c:v>
                </c:pt>
                <c:pt idx="240">
                  <c:v>40570</c:v>
                </c:pt>
                <c:pt idx="241">
                  <c:v>40571</c:v>
                </c:pt>
                <c:pt idx="242">
                  <c:v>40572</c:v>
                </c:pt>
                <c:pt idx="243">
                  <c:v>40573</c:v>
                </c:pt>
                <c:pt idx="244">
                  <c:v>40574</c:v>
                </c:pt>
                <c:pt idx="245">
                  <c:v>40575</c:v>
                </c:pt>
                <c:pt idx="246">
                  <c:v>40576</c:v>
                </c:pt>
                <c:pt idx="247">
                  <c:v>40577</c:v>
                </c:pt>
                <c:pt idx="248">
                  <c:v>40578</c:v>
                </c:pt>
                <c:pt idx="249">
                  <c:v>40579</c:v>
                </c:pt>
                <c:pt idx="250">
                  <c:v>40580</c:v>
                </c:pt>
                <c:pt idx="251">
                  <c:v>40581</c:v>
                </c:pt>
                <c:pt idx="252">
                  <c:v>40582</c:v>
                </c:pt>
                <c:pt idx="253">
                  <c:v>40583</c:v>
                </c:pt>
                <c:pt idx="254">
                  <c:v>40584</c:v>
                </c:pt>
                <c:pt idx="255">
                  <c:v>40585</c:v>
                </c:pt>
                <c:pt idx="256">
                  <c:v>40586</c:v>
                </c:pt>
                <c:pt idx="257">
                  <c:v>40587</c:v>
                </c:pt>
                <c:pt idx="258">
                  <c:v>40588</c:v>
                </c:pt>
                <c:pt idx="259">
                  <c:v>40589</c:v>
                </c:pt>
                <c:pt idx="260">
                  <c:v>40590</c:v>
                </c:pt>
                <c:pt idx="261">
                  <c:v>40591</c:v>
                </c:pt>
                <c:pt idx="262">
                  <c:v>40592</c:v>
                </c:pt>
                <c:pt idx="263">
                  <c:v>40593</c:v>
                </c:pt>
                <c:pt idx="264">
                  <c:v>40594</c:v>
                </c:pt>
                <c:pt idx="265">
                  <c:v>40595</c:v>
                </c:pt>
                <c:pt idx="266">
                  <c:v>40596</c:v>
                </c:pt>
                <c:pt idx="267">
                  <c:v>40597</c:v>
                </c:pt>
                <c:pt idx="268">
                  <c:v>40598</c:v>
                </c:pt>
                <c:pt idx="269">
                  <c:v>40599</c:v>
                </c:pt>
                <c:pt idx="270">
                  <c:v>40600</c:v>
                </c:pt>
                <c:pt idx="271">
                  <c:v>40601</c:v>
                </c:pt>
                <c:pt idx="272">
                  <c:v>40602</c:v>
                </c:pt>
                <c:pt idx="273">
                  <c:v>40603</c:v>
                </c:pt>
                <c:pt idx="274">
                  <c:v>40604</c:v>
                </c:pt>
                <c:pt idx="275">
                  <c:v>40605</c:v>
                </c:pt>
                <c:pt idx="276">
                  <c:v>40606</c:v>
                </c:pt>
                <c:pt idx="277">
                  <c:v>40607</c:v>
                </c:pt>
                <c:pt idx="278">
                  <c:v>40608</c:v>
                </c:pt>
                <c:pt idx="279">
                  <c:v>40609</c:v>
                </c:pt>
                <c:pt idx="280">
                  <c:v>40610</c:v>
                </c:pt>
                <c:pt idx="281">
                  <c:v>40611</c:v>
                </c:pt>
                <c:pt idx="282">
                  <c:v>40612</c:v>
                </c:pt>
                <c:pt idx="283">
                  <c:v>40613</c:v>
                </c:pt>
                <c:pt idx="284">
                  <c:v>40614</c:v>
                </c:pt>
                <c:pt idx="285">
                  <c:v>40615</c:v>
                </c:pt>
                <c:pt idx="286">
                  <c:v>40616</c:v>
                </c:pt>
                <c:pt idx="287">
                  <c:v>40617</c:v>
                </c:pt>
                <c:pt idx="288">
                  <c:v>40618</c:v>
                </c:pt>
                <c:pt idx="289">
                  <c:v>40619</c:v>
                </c:pt>
                <c:pt idx="290">
                  <c:v>40620</c:v>
                </c:pt>
                <c:pt idx="291">
                  <c:v>40621</c:v>
                </c:pt>
                <c:pt idx="292">
                  <c:v>40622</c:v>
                </c:pt>
                <c:pt idx="293">
                  <c:v>40623</c:v>
                </c:pt>
                <c:pt idx="294">
                  <c:v>40624</c:v>
                </c:pt>
                <c:pt idx="295">
                  <c:v>40625</c:v>
                </c:pt>
                <c:pt idx="296">
                  <c:v>40626</c:v>
                </c:pt>
                <c:pt idx="297">
                  <c:v>40627</c:v>
                </c:pt>
                <c:pt idx="298">
                  <c:v>40628</c:v>
                </c:pt>
                <c:pt idx="299">
                  <c:v>40629</c:v>
                </c:pt>
                <c:pt idx="300">
                  <c:v>40630</c:v>
                </c:pt>
                <c:pt idx="301">
                  <c:v>40631</c:v>
                </c:pt>
                <c:pt idx="302">
                  <c:v>40632</c:v>
                </c:pt>
                <c:pt idx="303">
                  <c:v>40633</c:v>
                </c:pt>
                <c:pt idx="304">
                  <c:v>40634</c:v>
                </c:pt>
                <c:pt idx="305">
                  <c:v>40635</c:v>
                </c:pt>
                <c:pt idx="306">
                  <c:v>40636</c:v>
                </c:pt>
                <c:pt idx="307">
                  <c:v>40637</c:v>
                </c:pt>
                <c:pt idx="308">
                  <c:v>40638</c:v>
                </c:pt>
                <c:pt idx="309">
                  <c:v>40639</c:v>
                </c:pt>
                <c:pt idx="310">
                  <c:v>40640</c:v>
                </c:pt>
                <c:pt idx="311">
                  <c:v>40641</c:v>
                </c:pt>
                <c:pt idx="312">
                  <c:v>40642</c:v>
                </c:pt>
                <c:pt idx="313">
                  <c:v>40643</c:v>
                </c:pt>
                <c:pt idx="314">
                  <c:v>40644</c:v>
                </c:pt>
                <c:pt idx="315">
                  <c:v>40645</c:v>
                </c:pt>
                <c:pt idx="316">
                  <c:v>40646</c:v>
                </c:pt>
                <c:pt idx="317">
                  <c:v>40647</c:v>
                </c:pt>
                <c:pt idx="318">
                  <c:v>40648</c:v>
                </c:pt>
                <c:pt idx="319">
                  <c:v>40649</c:v>
                </c:pt>
                <c:pt idx="320">
                  <c:v>40650</c:v>
                </c:pt>
                <c:pt idx="321">
                  <c:v>40651</c:v>
                </c:pt>
                <c:pt idx="322">
                  <c:v>40652</c:v>
                </c:pt>
                <c:pt idx="323">
                  <c:v>40653</c:v>
                </c:pt>
                <c:pt idx="324">
                  <c:v>40654</c:v>
                </c:pt>
                <c:pt idx="325">
                  <c:v>40655</c:v>
                </c:pt>
                <c:pt idx="326">
                  <c:v>40656</c:v>
                </c:pt>
                <c:pt idx="327">
                  <c:v>40657</c:v>
                </c:pt>
                <c:pt idx="328">
                  <c:v>40658</c:v>
                </c:pt>
                <c:pt idx="329">
                  <c:v>40659</c:v>
                </c:pt>
                <c:pt idx="330">
                  <c:v>40660</c:v>
                </c:pt>
                <c:pt idx="331">
                  <c:v>40661</c:v>
                </c:pt>
                <c:pt idx="332">
                  <c:v>40662</c:v>
                </c:pt>
                <c:pt idx="333">
                  <c:v>40663</c:v>
                </c:pt>
                <c:pt idx="334">
                  <c:v>40664</c:v>
                </c:pt>
                <c:pt idx="335">
                  <c:v>40665</c:v>
                </c:pt>
                <c:pt idx="336">
                  <c:v>40666</c:v>
                </c:pt>
                <c:pt idx="337">
                  <c:v>40667</c:v>
                </c:pt>
                <c:pt idx="338">
                  <c:v>40668</c:v>
                </c:pt>
                <c:pt idx="339">
                  <c:v>40669</c:v>
                </c:pt>
                <c:pt idx="340">
                  <c:v>40670</c:v>
                </c:pt>
                <c:pt idx="341">
                  <c:v>40671</c:v>
                </c:pt>
                <c:pt idx="342">
                  <c:v>40672</c:v>
                </c:pt>
                <c:pt idx="343">
                  <c:v>40673</c:v>
                </c:pt>
                <c:pt idx="344">
                  <c:v>40674</c:v>
                </c:pt>
                <c:pt idx="345">
                  <c:v>40675</c:v>
                </c:pt>
                <c:pt idx="346">
                  <c:v>40676</c:v>
                </c:pt>
                <c:pt idx="347">
                  <c:v>40677</c:v>
                </c:pt>
                <c:pt idx="348">
                  <c:v>40678</c:v>
                </c:pt>
                <c:pt idx="349">
                  <c:v>40679</c:v>
                </c:pt>
                <c:pt idx="350">
                  <c:v>40680</c:v>
                </c:pt>
                <c:pt idx="351">
                  <c:v>40681</c:v>
                </c:pt>
                <c:pt idx="352">
                  <c:v>40682</c:v>
                </c:pt>
                <c:pt idx="353">
                  <c:v>40683</c:v>
                </c:pt>
                <c:pt idx="354">
                  <c:v>40684</c:v>
                </c:pt>
                <c:pt idx="355">
                  <c:v>40685</c:v>
                </c:pt>
                <c:pt idx="356">
                  <c:v>40686</c:v>
                </c:pt>
                <c:pt idx="357">
                  <c:v>40687</c:v>
                </c:pt>
                <c:pt idx="358">
                  <c:v>40688</c:v>
                </c:pt>
                <c:pt idx="359">
                  <c:v>40689</c:v>
                </c:pt>
                <c:pt idx="360">
                  <c:v>40690</c:v>
                </c:pt>
                <c:pt idx="361">
                  <c:v>40691</c:v>
                </c:pt>
                <c:pt idx="362">
                  <c:v>40692</c:v>
                </c:pt>
                <c:pt idx="363">
                  <c:v>40693</c:v>
                </c:pt>
                <c:pt idx="364">
                  <c:v>40694</c:v>
                </c:pt>
                <c:pt idx="365">
                  <c:v>40695</c:v>
                </c:pt>
                <c:pt idx="366">
                  <c:v>40696</c:v>
                </c:pt>
                <c:pt idx="367">
                  <c:v>40697</c:v>
                </c:pt>
                <c:pt idx="368">
                  <c:v>40698</c:v>
                </c:pt>
                <c:pt idx="369">
                  <c:v>40699</c:v>
                </c:pt>
                <c:pt idx="370">
                  <c:v>40700</c:v>
                </c:pt>
                <c:pt idx="371">
                  <c:v>40701</c:v>
                </c:pt>
                <c:pt idx="372">
                  <c:v>40702</c:v>
                </c:pt>
                <c:pt idx="373">
                  <c:v>40703</c:v>
                </c:pt>
                <c:pt idx="374">
                  <c:v>40704</c:v>
                </c:pt>
                <c:pt idx="375">
                  <c:v>40705</c:v>
                </c:pt>
                <c:pt idx="376">
                  <c:v>40706</c:v>
                </c:pt>
                <c:pt idx="377">
                  <c:v>40707</c:v>
                </c:pt>
                <c:pt idx="378">
                  <c:v>40708</c:v>
                </c:pt>
                <c:pt idx="379">
                  <c:v>40709</c:v>
                </c:pt>
                <c:pt idx="380">
                  <c:v>40710</c:v>
                </c:pt>
                <c:pt idx="381">
                  <c:v>40711</c:v>
                </c:pt>
                <c:pt idx="382">
                  <c:v>40712</c:v>
                </c:pt>
                <c:pt idx="383">
                  <c:v>40713</c:v>
                </c:pt>
                <c:pt idx="384">
                  <c:v>40714</c:v>
                </c:pt>
                <c:pt idx="385">
                  <c:v>40715</c:v>
                </c:pt>
                <c:pt idx="386">
                  <c:v>40716</c:v>
                </c:pt>
                <c:pt idx="387">
                  <c:v>40717</c:v>
                </c:pt>
                <c:pt idx="388">
                  <c:v>40718</c:v>
                </c:pt>
                <c:pt idx="389">
                  <c:v>40719</c:v>
                </c:pt>
                <c:pt idx="390">
                  <c:v>40720</c:v>
                </c:pt>
                <c:pt idx="391">
                  <c:v>40721</c:v>
                </c:pt>
                <c:pt idx="392">
                  <c:v>40722</c:v>
                </c:pt>
                <c:pt idx="393">
                  <c:v>40723</c:v>
                </c:pt>
                <c:pt idx="394">
                  <c:v>40724</c:v>
                </c:pt>
                <c:pt idx="395">
                  <c:v>40725</c:v>
                </c:pt>
                <c:pt idx="396">
                  <c:v>40726</c:v>
                </c:pt>
                <c:pt idx="397">
                  <c:v>40727</c:v>
                </c:pt>
                <c:pt idx="398">
                  <c:v>40728</c:v>
                </c:pt>
                <c:pt idx="399">
                  <c:v>40729</c:v>
                </c:pt>
                <c:pt idx="400">
                  <c:v>40730</c:v>
                </c:pt>
                <c:pt idx="401">
                  <c:v>40731</c:v>
                </c:pt>
                <c:pt idx="402">
                  <c:v>40732</c:v>
                </c:pt>
                <c:pt idx="403">
                  <c:v>40733</c:v>
                </c:pt>
                <c:pt idx="404">
                  <c:v>40734</c:v>
                </c:pt>
                <c:pt idx="405">
                  <c:v>40735</c:v>
                </c:pt>
                <c:pt idx="406">
                  <c:v>40736</c:v>
                </c:pt>
                <c:pt idx="407">
                  <c:v>40737</c:v>
                </c:pt>
                <c:pt idx="408">
                  <c:v>40738</c:v>
                </c:pt>
                <c:pt idx="409">
                  <c:v>40739</c:v>
                </c:pt>
                <c:pt idx="410">
                  <c:v>40740</c:v>
                </c:pt>
                <c:pt idx="411">
                  <c:v>40741</c:v>
                </c:pt>
                <c:pt idx="412">
                  <c:v>40742</c:v>
                </c:pt>
                <c:pt idx="413">
                  <c:v>40743</c:v>
                </c:pt>
                <c:pt idx="414">
                  <c:v>40744</c:v>
                </c:pt>
                <c:pt idx="415">
                  <c:v>40745</c:v>
                </c:pt>
                <c:pt idx="416">
                  <c:v>40746</c:v>
                </c:pt>
                <c:pt idx="417">
                  <c:v>40747</c:v>
                </c:pt>
                <c:pt idx="418">
                  <c:v>40748</c:v>
                </c:pt>
                <c:pt idx="419">
                  <c:v>40749</c:v>
                </c:pt>
                <c:pt idx="420">
                  <c:v>40750</c:v>
                </c:pt>
                <c:pt idx="421">
                  <c:v>40751</c:v>
                </c:pt>
                <c:pt idx="422">
                  <c:v>40752</c:v>
                </c:pt>
                <c:pt idx="423">
                  <c:v>40753</c:v>
                </c:pt>
                <c:pt idx="424">
                  <c:v>40754</c:v>
                </c:pt>
                <c:pt idx="425">
                  <c:v>40755</c:v>
                </c:pt>
                <c:pt idx="426">
                  <c:v>40756</c:v>
                </c:pt>
                <c:pt idx="427">
                  <c:v>40757</c:v>
                </c:pt>
                <c:pt idx="428">
                  <c:v>40758</c:v>
                </c:pt>
                <c:pt idx="429">
                  <c:v>40759</c:v>
                </c:pt>
                <c:pt idx="430">
                  <c:v>40760</c:v>
                </c:pt>
                <c:pt idx="431">
                  <c:v>40761</c:v>
                </c:pt>
                <c:pt idx="432">
                  <c:v>40762</c:v>
                </c:pt>
                <c:pt idx="433">
                  <c:v>40763</c:v>
                </c:pt>
                <c:pt idx="434">
                  <c:v>40764</c:v>
                </c:pt>
                <c:pt idx="435">
                  <c:v>40765</c:v>
                </c:pt>
                <c:pt idx="436">
                  <c:v>40766</c:v>
                </c:pt>
                <c:pt idx="437">
                  <c:v>40767</c:v>
                </c:pt>
                <c:pt idx="438">
                  <c:v>40768</c:v>
                </c:pt>
                <c:pt idx="439">
                  <c:v>40769</c:v>
                </c:pt>
                <c:pt idx="440">
                  <c:v>40770</c:v>
                </c:pt>
                <c:pt idx="441">
                  <c:v>40771</c:v>
                </c:pt>
                <c:pt idx="442">
                  <c:v>40772</c:v>
                </c:pt>
                <c:pt idx="443">
                  <c:v>40773</c:v>
                </c:pt>
              </c:numCache>
            </c:numRef>
          </c:xVal>
          <c:yVal>
            <c:numRef>
              <c:f>total!$I$2:$I$445</c:f>
              <c:numCache>
                <c:formatCode>General</c:formatCode>
                <c:ptCount val="444"/>
                <c:pt idx="31">
                  <c:v>26.748884615000001</c:v>
                </c:pt>
                <c:pt idx="32">
                  <c:v>25.9855625</c:v>
                </c:pt>
                <c:pt idx="33">
                  <c:v>26.178145832999999</c:v>
                </c:pt>
                <c:pt idx="34">
                  <c:v>26.5680625</c:v>
                </c:pt>
                <c:pt idx="35">
                  <c:v>26.701916666999999</c:v>
                </c:pt>
                <c:pt idx="36">
                  <c:v>27.144458332999999</c:v>
                </c:pt>
                <c:pt idx="37">
                  <c:v>27.548604167000001</c:v>
                </c:pt>
                <c:pt idx="38">
                  <c:v>26.799645833</c:v>
                </c:pt>
                <c:pt idx="39">
                  <c:v>26.649562499999998</c:v>
                </c:pt>
                <c:pt idx="40">
                  <c:v>26.842520832999998</c:v>
                </c:pt>
                <c:pt idx="41">
                  <c:v>25.542766666999999</c:v>
                </c:pt>
                <c:pt idx="45">
                  <c:v>28.518892857000001</c:v>
                </c:pt>
                <c:pt idx="46">
                  <c:v>27.521708332999999</c:v>
                </c:pt>
                <c:pt idx="47">
                  <c:v>27.719374999999999</c:v>
                </c:pt>
                <c:pt idx="48">
                  <c:v>26.926458332999999</c:v>
                </c:pt>
                <c:pt idx="49">
                  <c:v>26.987583333</c:v>
                </c:pt>
                <c:pt idx="50">
                  <c:v>27.1074375</c:v>
                </c:pt>
                <c:pt idx="51">
                  <c:v>26.263000000000002</c:v>
                </c:pt>
                <c:pt idx="52">
                  <c:v>27.050999999999998</c:v>
                </c:pt>
                <c:pt idx="53">
                  <c:v>27.958104166999998</c:v>
                </c:pt>
                <c:pt idx="54">
                  <c:v>28.761833332999998</c:v>
                </c:pt>
                <c:pt idx="55">
                  <c:v>28.571124999999999</c:v>
                </c:pt>
                <c:pt idx="56">
                  <c:v>28.081125</c:v>
                </c:pt>
                <c:pt idx="57">
                  <c:v>27.454208333</c:v>
                </c:pt>
                <c:pt idx="58">
                  <c:v>27.878687500000002</c:v>
                </c:pt>
                <c:pt idx="59">
                  <c:v>28.214020832999999</c:v>
                </c:pt>
                <c:pt idx="60">
                  <c:v>26.424083332999999</c:v>
                </c:pt>
                <c:pt idx="61">
                  <c:v>27.355958333</c:v>
                </c:pt>
                <c:pt idx="62">
                  <c:v>28.393333333000001</c:v>
                </c:pt>
                <c:pt idx="63">
                  <c:v>28.725437500000002</c:v>
                </c:pt>
                <c:pt idx="64">
                  <c:v>28.551187500000001</c:v>
                </c:pt>
                <c:pt idx="65">
                  <c:v>28.550916666999999</c:v>
                </c:pt>
                <c:pt idx="66">
                  <c:v>27.347645833000001</c:v>
                </c:pt>
                <c:pt idx="67">
                  <c:v>27.001145832999999</c:v>
                </c:pt>
                <c:pt idx="68">
                  <c:v>27.039854167000001</c:v>
                </c:pt>
                <c:pt idx="69">
                  <c:v>27.870770833000002</c:v>
                </c:pt>
                <c:pt idx="70">
                  <c:v>28.6885625</c:v>
                </c:pt>
                <c:pt idx="71">
                  <c:v>28.958312500000002</c:v>
                </c:pt>
                <c:pt idx="72">
                  <c:v>28.769333332999999</c:v>
                </c:pt>
                <c:pt idx="73">
                  <c:v>28.705625000000001</c:v>
                </c:pt>
                <c:pt idx="74">
                  <c:v>29.072395833000002</c:v>
                </c:pt>
                <c:pt idx="75">
                  <c:v>28.651541667</c:v>
                </c:pt>
                <c:pt idx="76">
                  <c:v>28.232645832999999</c:v>
                </c:pt>
                <c:pt idx="77">
                  <c:v>27.732541667</c:v>
                </c:pt>
                <c:pt idx="78">
                  <c:v>27.357354167</c:v>
                </c:pt>
                <c:pt idx="79">
                  <c:v>27.218458333000001</c:v>
                </c:pt>
                <c:pt idx="80">
                  <c:v>27.217312499999998</c:v>
                </c:pt>
                <c:pt idx="81">
                  <c:v>27.333708333000001</c:v>
                </c:pt>
                <c:pt idx="82">
                  <c:v>27.3321875</c:v>
                </c:pt>
                <c:pt idx="83">
                  <c:v>27.017041667000001</c:v>
                </c:pt>
                <c:pt idx="84">
                  <c:v>26.197208332999999</c:v>
                </c:pt>
                <c:pt idx="85">
                  <c:v>25.514145833000001</c:v>
                </c:pt>
                <c:pt idx="86">
                  <c:v>25.206416666999999</c:v>
                </c:pt>
                <c:pt idx="87">
                  <c:v>25.217500000000001</c:v>
                </c:pt>
                <c:pt idx="88">
                  <c:v>26.283326086999999</c:v>
                </c:pt>
                <c:pt idx="89">
                  <c:v>25.920541666999998</c:v>
                </c:pt>
                <c:pt idx="90">
                  <c:v>26.373458332999999</c:v>
                </c:pt>
                <c:pt idx="91">
                  <c:v>25.867000000000001</c:v>
                </c:pt>
                <c:pt idx="92">
                  <c:v>25.642416666999999</c:v>
                </c:pt>
                <c:pt idx="93">
                  <c:v>25.455291667000001</c:v>
                </c:pt>
                <c:pt idx="94">
                  <c:v>25.204499999999999</c:v>
                </c:pt>
                <c:pt idx="95">
                  <c:v>24.036239129999998</c:v>
                </c:pt>
                <c:pt idx="96">
                  <c:v>23.595437499999999</c:v>
                </c:pt>
                <c:pt idx="97">
                  <c:v>23.125</c:v>
                </c:pt>
                <c:pt idx="98">
                  <c:v>24.257249999999999</c:v>
                </c:pt>
                <c:pt idx="99">
                  <c:v>23.939937499999999</c:v>
                </c:pt>
                <c:pt idx="100">
                  <c:v>23.124395833000001</c:v>
                </c:pt>
                <c:pt idx="101">
                  <c:v>22.353692307999999</c:v>
                </c:pt>
                <c:pt idx="102">
                  <c:v>22.629673913000001</c:v>
                </c:pt>
                <c:pt idx="103">
                  <c:v>24.116145833000001</c:v>
                </c:pt>
                <c:pt idx="104">
                  <c:v>22.830937500000001</c:v>
                </c:pt>
                <c:pt idx="105">
                  <c:v>22.429062500000001</c:v>
                </c:pt>
                <c:pt idx="106">
                  <c:v>22.581541667</c:v>
                </c:pt>
                <c:pt idx="107">
                  <c:v>23.499124999999999</c:v>
                </c:pt>
                <c:pt idx="108">
                  <c:v>23.668395833000002</c:v>
                </c:pt>
                <c:pt idx="109">
                  <c:v>22.664395833</c:v>
                </c:pt>
                <c:pt idx="110">
                  <c:v>23.1870625</c:v>
                </c:pt>
                <c:pt idx="111">
                  <c:v>23.221729166999999</c:v>
                </c:pt>
                <c:pt idx="112">
                  <c:v>23.350729167000001</c:v>
                </c:pt>
                <c:pt idx="113">
                  <c:v>23.755812500000001</c:v>
                </c:pt>
                <c:pt idx="114">
                  <c:v>24.096208333</c:v>
                </c:pt>
                <c:pt idx="115">
                  <c:v>23.847979166999998</c:v>
                </c:pt>
                <c:pt idx="116">
                  <c:v>23.989708332999999</c:v>
                </c:pt>
                <c:pt idx="117">
                  <c:v>22.551854166999998</c:v>
                </c:pt>
                <c:pt idx="118">
                  <c:v>21.819083332999998</c:v>
                </c:pt>
                <c:pt idx="119">
                  <c:v>21.667104167000002</c:v>
                </c:pt>
                <c:pt idx="120">
                  <c:v>21.969124999999998</c:v>
                </c:pt>
                <c:pt idx="121">
                  <c:v>22.250520832999999</c:v>
                </c:pt>
                <c:pt idx="122">
                  <c:v>21.054645832999999</c:v>
                </c:pt>
                <c:pt idx="123">
                  <c:v>20.677541667</c:v>
                </c:pt>
                <c:pt idx="124">
                  <c:v>20.123166667</c:v>
                </c:pt>
                <c:pt idx="125">
                  <c:v>18.675208333</c:v>
                </c:pt>
                <c:pt idx="126">
                  <c:v>17.996104166999999</c:v>
                </c:pt>
                <c:pt idx="127">
                  <c:v>17.58175</c:v>
                </c:pt>
                <c:pt idx="128">
                  <c:v>17.300854167000001</c:v>
                </c:pt>
                <c:pt idx="129">
                  <c:v>18.203812500000002</c:v>
                </c:pt>
                <c:pt idx="130">
                  <c:v>18.0971875</c:v>
                </c:pt>
                <c:pt idx="131">
                  <c:v>18.105291666999999</c:v>
                </c:pt>
                <c:pt idx="132">
                  <c:v>18.308729166999999</c:v>
                </c:pt>
                <c:pt idx="133">
                  <c:v>18.335354166999998</c:v>
                </c:pt>
                <c:pt idx="134">
                  <c:v>19.219000000000001</c:v>
                </c:pt>
                <c:pt idx="135">
                  <c:v>19.2280625</c:v>
                </c:pt>
                <c:pt idx="136">
                  <c:v>17.046729166999999</c:v>
                </c:pt>
                <c:pt idx="137">
                  <c:v>16.310812500000001</c:v>
                </c:pt>
                <c:pt idx="138">
                  <c:v>15.9513125</c:v>
                </c:pt>
                <c:pt idx="139">
                  <c:v>16.081125</c:v>
                </c:pt>
                <c:pt idx="140">
                  <c:v>16.279875000000001</c:v>
                </c:pt>
                <c:pt idx="141">
                  <c:v>17.323208333</c:v>
                </c:pt>
                <c:pt idx="142">
                  <c:v>16.254416667000001</c:v>
                </c:pt>
                <c:pt idx="143">
                  <c:v>15.718395833000001</c:v>
                </c:pt>
                <c:pt idx="144">
                  <c:v>14.580333333</c:v>
                </c:pt>
                <c:pt idx="145">
                  <c:v>15.391708333</c:v>
                </c:pt>
                <c:pt idx="146">
                  <c:v>16.661291667</c:v>
                </c:pt>
                <c:pt idx="147">
                  <c:v>17.878541667</c:v>
                </c:pt>
                <c:pt idx="148">
                  <c:v>18.093770833000001</c:v>
                </c:pt>
                <c:pt idx="149">
                  <c:v>18.370354166999999</c:v>
                </c:pt>
                <c:pt idx="150">
                  <c:v>16.671875</c:v>
                </c:pt>
                <c:pt idx="151">
                  <c:v>14.927854167</c:v>
                </c:pt>
                <c:pt idx="152">
                  <c:v>15.592458333</c:v>
                </c:pt>
                <c:pt idx="153">
                  <c:v>14.836645833</c:v>
                </c:pt>
                <c:pt idx="154">
                  <c:v>14.817208333</c:v>
                </c:pt>
                <c:pt idx="155">
                  <c:v>14.814583333</c:v>
                </c:pt>
                <c:pt idx="156">
                  <c:v>14.737520833</c:v>
                </c:pt>
                <c:pt idx="157">
                  <c:v>13.085645832999999</c:v>
                </c:pt>
                <c:pt idx="158">
                  <c:v>12.228583333</c:v>
                </c:pt>
                <c:pt idx="159">
                  <c:v>11.105354167</c:v>
                </c:pt>
                <c:pt idx="160">
                  <c:v>11.227354167</c:v>
                </c:pt>
                <c:pt idx="161">
                  <c:v>11.200104166999999</c:v>
                </c:pt>
                <c:pt idx="162">
                  <c:v>10.168125</c:v>
                </c:pt>
                <c:pt idx="170">
                  <c:v>11.8088125</c:v>
                </c:pt>
                <c:pt idx="171">
                  <c:v>10.303333332999999</c:v>
                </c:pt>
                <c:pt idx="172">
                  <c:v>9.9715833332999999</c:v>
                </c:pt>
                <c:pt idx="173">
                  <c:v>10.787541666999999</c:v>
                </c:pt>
                <c:pt idx="174">
                  <c:v>11.066354167</c:v>
                </c:pt>
                <c:pt idx="175">
                  <c:v>11.7530625</c:v>
                </c:pt>
                <c:pt idx="176">
                  <c:v>11.3274375</c:v>
                </c:pt>
                <c:pt idx="177">
                  <c:v>12.769604167000001</c:v>
                </c:pt>
                <c:pt idx="178">
                  <c:v>12.188895833</c:v>
                </c:pt>
                <c:pt idx="179">
                  <c:v>8.0876666667000006</c:v>
                </c:pt>
                <c:pt idx="180">
                  <c:v>6.9817708332999997</c:v>
                </c:pt>
                <c:pt idx="181">
                  <c:v>7.2708541667000004</c:v>
                </c:pt>
                <c:pt idx="182">
                  <c:v>10.121208333</c:v>
                </c:pt>
                <c:pt idx="183">
                  <c:v>9.1225000000000005</c:v>
                </c:pt>
                <c:pt idx="185">
                  <c:v>6.4650769230999998</c:v>
                </c:pt>
                <c:pt idx="186">
                  <c:v>5.9815833332999997</c:v>
                </c:pt>
                <c:pt idx="187">
                  <c:v>5.6009791667000002</c:v>
                </c:pt>
                <c:pt idx="188">
                  <c:v>4.8665833333000004</c:v>
                </c:pt>
                <c:pt idx="191">
                  <c:v>1.5049999999999999</c:v>
                </c:pt>
                <c:pt idx="192">
                  <c:v>1.9789583333</c:v>
                </c:pt>
                <c:pt idx="193">
                  <c:v>3.7389583332999998</c:v>
                </c:pt>
                <c:pt idx="194">
                  <c:v>4.4071249999999997</c:v>
                </c:pt>
                <c:pt idx="195">
                  <c:v>2.5920833333000002</c:v>
                </c:pt>
                <c:pt idx="196">
                  <c:v>1.5332083332999999</c:v>
                </c:pt>
                <c:pt idx="197">
                  <c:v>0.90912499999999996</c:v>
                </c:pt>
                <c:pt idx="198">
                  <c:v>1.06775</c:v>
                </c:pt>
                <c:pt idx="199">
                  <c:v>3.0758333332999999</c:v>
                </c:pt>
                <c:pt idx="200">
                  <c:v>3.5692499999999998</c:v>
                </c:pt>
                <c:pt idx="201">
                  <c:v>2.0062916667000001</c:v>
                </c:pt>
                <c:pt idx="202">
                  <c:v>1.3577083333</c:v>
                </c:pt>
                <c:pt idx="203">
                  <c:v>2.7104166667</c:v>
                </c:pt>
                <c:pt idx="204">
                  <c:v>4.4144166667000002</c:v>
                </c:pt>
                <c:pt idx="205">
                  <c:v>3.4820833332999999</c:v>
                </c:pt>
                <c:pt idx="206">
                  <c:v>2.7804782608999998</c:v>
                </c:pt>
                <c:pt idx="207">
                  <c:v>3.6932272727000002</c:v>
                </c:pt>
                <c:pt idx="209">
                  <c:v>3.6703999999999999</c:v>
                </c:pt>
                <c:pt idx="210">
                  <c:v>1.3435833333</c:v>
                </c:pt>
                <c:pt idx="211">
                  <c:v>1.7344999999999999</c:v>
                </c:pt>
                <c:pt idx="212">
                  <c:v>3.6623333332999999</c:v>
                </c:pt>
                <c:pt idx="213">
                  <c:v>6.7037500000000003</c:v>
                </c:pt>
                <c:pt idx="215">
                  <c:v>6.1577500000000001</c:v>
                </c:pt>
                <c:pt idx="216">
                  <c:v>3.4874999999999998</c:v>
                </c:pt>
                <c:pt idx="217">
                  <c:v>2.8156249999999998</c:v>
                </c:pt>
                <c:pt idx="218">
                  <c:v>3.0236111111000001</c:v>
                </c:pt>
                <c:pt idx="219">
                  <c:v>3.8995000000000002</c:v>
                </c:pt>
                <c:pt idx="222">
                  <c:v>1.2447999999999999</c:v>
                </c:pt>
                <c:pt idx="225">
                  <c:v>1.9323999999999999</c:v>
                </c:pt>
                <c:pt idx="226">
                  <c:v>1.3419166667</c:v>
                </c:pt>
                <c:pt idx="227">
                  <c:v>1.4873571429000001</c:v>
                </c:pt>
                <c:pt idx="228">
                  <c:v>1.1685909091</c:v>
                </c:pt>
                <c:pt idx="229">
                  <c:v>2.2487916666999999</c:v>
                </c:pt>
                <c:pt idx="230">
                  <c:v>3.4674583333000002</c:v>
                </c:pt>
                <c:pt idx="233">
                  <c:v>6.0343333333000002</c:v>
                </c:pt>
                <c:pt idx="234">
                  <c:v>3.4705833333</c:v>
                </c:pt>
                <c:pt idx="235">
                  <c:v>2.7871111111000002</c:v>
                </c:pt>
                <c:pt idx="236">
                  <c:v>2.5940833333</c:v>
                </c:pt>
                <c:pt idx="237">
                  <c:v>2.6905972222000001</c:v>
                </c:pt>
                <c:pt idx="238">
                  <c:v>2.6905972221999996</c:v>
                </c:pt>
                <c:pt idx="239">
                  <c:v>2.6905972221999996</c:v>
                </c:pt>
                <c:pt idx="240">
                  <c:v>6.3657222221999996</c:v>
                </c:pt>
                <c:pt idx="241">
                  <c:v>5.1786176471000003</c:v>
                </c:pt>
                <c:pt idx="242">
                  <c:v>4.1850857143000004</c:v>
                </c:pt>
                <c:pt idx="243">
                  <c:v>10.159057143</c:v>
                </c:pt>
                <c:pt idx="244">
                  <c:v>3.4179722222</c:v>
                </c:pt>
                <c:pt idx="245">
                  <c:v>7.5995277777999997</c:v>
                </c:pt>
                <c:pt idx="246">
                  <c:v>7.4268055555999997</c:v>
                </c:pt>
                <c:pt idx="247">
                  <c:v>3.2546774194000001</c:v>
                </c:pt>
                <c:pt idx="248">
                  <c:v>6.9926176471000003</c:v>
                </c:pt>
                <c:pt idx="249">
                  <c:v>4.6339411764999996</c:v>
                </c:pt>
                <c:pt idx="250">
                  <c:v>7.1877058824000004</c:v>
                </c:pt>
                <c:pt idx="251">
                  <c:v>4.0077878788000003</c:v>
                </c:pt>
                <c:pt idx="252">
                  <c:v>4.5679696969999997</c:v>
                </c:pt>
                <c:pt idx="253">
                  <c:v>2.7463225805999998</c:v>
                </c:pt>
                <c:pt idx="254">
                  <c:v>3.2134545454999999</c:v>
                </c:pt>
                <c:pt idx="255">
                  <c:v>1.9984838709999999</c:v>
                </c:pt>
                <c:pt idx="256">
                  <c:v>2.4478124999999999</c:v>
                </c:pt>
                <c:pt idx="257">
                  <c:v>3.2166250000000001</c:v>
                </c:pt>
                <c:pt idx="258">
                  <c:v>5.0908571429</c:v>
                </c:pt>
                <c:pt idx="259">
                  <c:v>4.7609117647000003</c:v>
                </c:pt>
                <c:pt idx="260">
                  <c:v>4.9997222222</c:v>
                </c:pt>
                <c:pt idx="261">
                  <c:v>6.1377352940999996</c:v>
                </c:pt>
                <c:pt idx="262">
                  <c:v>8.6602777777999993</c:v>
                </c:pt>
                <c:pt idx="263">
                  <c:v>8.4246857143000007</c:v>
                </c:pt>
                <c:pt idx="264">
                  <c:v>7.5138285714000004</c:v>
                </c:pt>
                <c:pt idx="265">
                  <c:v>9.2109444444000008</c:v>
                </c:pt>
                <c:pt idx="266">
                  <c:v>10.281361111000001</c:v>
                </c:pt>
                <c:pt idx="267">
                  <c:v>14.032285714</c:v>
                </c:pt>
                <c:pt idx="268">
                  <c:v>8.9065277777999992</c:v>
                </c:pt>
                <c:pt idx="269">
                  <c:v>9.6624374999999993</c:v>
                </c:pt>
                <c:pt idx="270">
                  <c:v>8.2476086957000003</c:v>
                </c:pt>
                <c:pt idx="271">
                  <c:v>8.9805652174000006</c:v>
                </c:pt>
                <c:pt idx="272">
                  <c:v>11.516708333</c:v>
                </c:pt>
                <c:pt idx="273">
                  <c:v>12.118222222</c:v>
                </c:pt>
                <c:pt idx="274">
                  <c:v>9.3086764706</c:v>
                </c:pt>
                <c:pt idx="275">
                  <c:v>9.3917222222000003</c:v>
                </c:pt>
                <c:pt idx="276">
                  <c:v>10.357833333</c:v>
                </c:pt>
                <c:pt idx="277">
                  <c:v>12.15075</c:v>
                </c:pt>
                <c:pt idx="278">
                  <c:v>9.2334999999999994</c:v>
                </c:pt>
                <c:pt idx="279">
                  <c:v>9.9908888889000007</c:v>
                </c:pt>
                <c:pt idx="280">
                  <c:v>7.9596388888999998</c:v>
                </c:pt>
                <c:pt idx="281">
                  <c:v>9.1636944444000008</c:v>
                </c:pt>
                <c:pt idx="282">
                  <c:v>8.9813055556000005</c:v>
                </c:pt>
                <c:pt idx="283">
                  <c:v>11.5751875</c:v>
                </c:pt>
                <c:pt idx="284">
                  <c:v>9.9846285714</c:v>
                </c:pt>
                <c:pt idx="285">
                  <c:v>10.109527778</c:v>
                </c:pt>
                <c:pt idx="286">
                  <c:v>10.292333333</c:v>
                </c:pt>
                <c:pt idx="287">
                  <c:v>10.785694444000001</c:v>
                </c:pt>
                <c:pt idx="288">
                  <c:v>10.054083332999999</c:v>
                </c:pt>
                <c:pt idx="289">
                  <c:v>10.042333333</c:v>
                </c:pt>
                <c:pt idx="290">
                  <c:v>12.670694444</c:v>
                </c:pt>
                <c:pt idx="291">
                  <c:v>14.344055556000001</c:v>
                </c:pt>
                <c:pt idx="292">
                  <c:v>14.001916667</c:v>
                </c:pt>
                <c:pt idx="293">
                  <c:v>14.716305556</c:v>
                </c:pt>
                <c:pt idx="294">
                  <c:v>15.176722222</c:v>
                </c:pt>
                <c:pt idx="295">
                  <c:v>15.502361111000001</c:v>
                </c:pt>
                <c:pt idx="296">
                  <c:v>13.783861111</c:v>
                </c:pt>
                <c:pt idx="297">
                  <c:v>10.866361111</c:v>
                </c:pt>
                <c:pt idx="298">
                  <c:v>11.442555556</c:v>
                </c:pt>
                <c:pt idx="299">
                  <c:v>11.018722221999999</c:v>
                </c:pt>
                <c:pt idx="300">
                  <c:v>13.40598</c:v>
                </c:pt>
                <c:pt idx="301">
                  <c:v>11.363185714</c:v>
                </c:pt>
                <c:pt idx="302">
                  <c:v>12.227916667000001</c:v>
                </c:pt>
                <c:pt idx="303">
                  <c:v>10.810070423000001</c:v>
                </c:pt>
                <c:pt idx="304">
                  <c:v>11.669746479000001</c:v>
                </c:pt>
                <c:pt idx="305">
                  <c:v>13.091819444</c:v>
                </c:pt>
                <c:pt idx="306">
                  <c:v>13.563450703999999</c:v>
                </c:pt>
                <c:pt idx="307">
                  <c:v>14.154375</c:v>
                </c:pt>
                <c:pt idx="308">
                  <c:v>13.967958333</c:v>
                </c:pt>
                <c:pt idx="309">
                  <c:v>15.617094594999999</c:v>
                </c:pt>
                <c:pt idx="310">
                  <c:v>14.693695652000001</c:v>
                </c:pt>
                <c:pt idx="311">
                  <c:v>16.694624999999998</c:v>
                </c:pt>
                <c:pt idx="312">
                  <c:v>18.462083332999999</c:v>
                </c:pt>
                <c:pt idx="313">
                  <c:v>19.770319443999998</c:v>
                </c:pt>
                <c:pt idx="314">
                  <c:v>19.894888889000001</c:v>
                </c:pt>
                <c:pt idx="315">
                  <c:v>18.783583332999999</c:v>
                </c:pt>
                <c:pt idx="316">
                  <c:v>18.343513889</c:v>
                </c:pt>
                <c:pt idx="317">
                  <c:v>16.173263889000001</c:v>
                </c:pt>
                <c:pt idx="318">
                  <c:v>14.253958333</c:v>
                </c:pt>
                <c:pt idx="319">
                  <c:v>13.674729167000001</c:v>
                </c:pt>
                <c:pt idx="320">
                  <c:v>13.007916667</c:v>
                </c:pt>
                <c:pt idx="321">
                  <c:v>13.919319149</c:v>
                </c:pt>
                <c:pt idx="322">
                  <c:v>16.205645832999998</c:v>
                </c:pt>
                <c:pt idx="323">
                  <c:v>17.241312499999999</c:v>
                </c:pt>
                <c:pt idx="324">
                  <c:v>17.057416666999998</c:v>
                </c:pt>
                <c:pt idx="325">
                  <c:v>17.175437500000001</c:v>
                </c:pt>
                <c:pt idx="326">
                  <c:v>18.004583332999999</c:v>
                </c:pt>
                <c:pt idx="327">
                  <c:v>18.878895833000001</c:v>
                </c:pt>
                <c:pt idx="328">
                  <c:v>19.000875000000001</c:v>
                </c:pt>
                <c:pt idx="329">
                  <c:v>18.717062500000001</c:v>
                </c:pt>
                <c:pt idx="330">
                  <c:v>18.516291667000001</c:v>
                </c:pt>
                <c:pt idx="331">
                  <c:v>17.788833332999999</c:v>
                </c:pt>
                <c:pt idx="332">
                  <c:v>16.731666666999999</c:v>
                </c:pt>
                <c:pt idx="333">
                  <c:v>16.578520832999999</c:v>
                </c:pt>
                <c:pt idx="334">
                  <c:v>16.812312500000001</c:v>
                </c:pt>
                <c:pt idx="335">
                  <c:v>17.555250000000001</c:v>
                </c:pt>
                <c:pt idx="336">
                  <c:v>16.340638889000001</c:v>
                </c:pt>
                <c:pt idx="337">
                  <c:v>14.282523810000001</c:v>
                </c:pt>
                <c:pt idx="338">
                  <c:v>14.422541667000001</c:v>
                </c:pt>
                <c:pt idx="339">
                  <c:v>14.153354167</c:v>
                </c:pt>
                <c:pt idx="340">
                  <c:v>14.235958332999999</c:v>
                </c:pt>
                <c:pt idx="341">
                  <c:v>16.657979167000001</c:v>
                </c:pt>
                <c:pt idx="342">
                  <c:v>16.301880000000001</c:v>
                </c:pt>
                <c:pt idx="345">
                  <c:v>22.525200000000002</c:v>
                </c:pt>
                <c:pt idx="346">
                  <c:v>19.688937500000002</c:v>
                </c:pt>
                <c:pt idx="347">
                  <c:v>19.452187500000001</c:v>
                </c:pt>
                <c:pt idx="348">
                  <c:v>17.8095</c:v>
                </c:pt>
                <c:pt idx="349">
                  <c:v>16.417375</c:v>
                </c:pt>
                <c:pt idx="350">
                  <c:v>14.289125</c:v>
                </c:pt>
                <c:pt idx="351">
                  <c:v>13.252708332999999</c:v>
                </c:pt>
                <c:pt idx="352">
                  <c:v>14.907395833000001</c:v>
                </c:pt>
                <c:pt idx="353">
                  <c:v>16.603166667</c:v>
                </c:pt>
                <c:pt idx="354">
                  <c:v>17.865145833</c:v>
                </c:pt>
                <c:pt idx="355">
                  <c:v>19.319229167</c:v>
                </c:pt>
                <c:pt idx="356">
                  <c:v>19.370125000000002</c:v>
                </c:pt>
                <c:pt idx="357">
                  <c:v>19.891957446999999</c:v>
                </c:pt>
                <c:pt idx="358">
                  <c:v>19.725958333000001</c:v>
                </c:pt>
                <c:pt idx="359">
                  <c:v>18.67925</c:v>
                </c:pt>
                <c:pt idx="360">
                  <c:v>18.747520832999999</c:v>
                </c:pt>
                <c:pt idx="361">
                  <c:v>19.164916667</c:v>
                </c:pt>
                <c:pt idx="362">
                  <c:v>19.874458333</c:v>
                </c:pt>
                <c:pt idx="363">
                  <c:v>21.066166667000001</c:v>
                </c:pt>
                <c:pt idx="364">
                  <c:v>21.540833332999998</c:v>
                </c:pt>
                <c:pt idx="365">
                  <c:v>22.167645833000002</c:v>
                </c:pt>
                <c:pt idx="366">
                  <c:v>22.534833333000002</c:v>
                </c:pt>
                <c:pt idx="367">
                  <c:v>22.2071875</c:v>
                </c:pt>
                <c:pt idx="368">
                  <c:v>21.709479167000001</c:v>
                </c:pt>
                <c:pt idx="369">
                  <c:v>21.882083333000001</c:v>
                </c:pt>
                <c:pt idx="370">
                  <c:v>22.243645832999999</c:v>
                </c:pt>
                <c:pt idx="371">
                  <c:v>22.185145833</c:v>
                </c:pt>
                <c:pt idx="372">
                  <c:v>22.930583333000001</c:v>
                </c:pt>
                <c:pt idx="373">
                  <c:v>22.727653061000002</c:v>
                </c:pt>
                <c:pt idx="374">
                  <c:v>22.248999999999999</c:v>
                </c:pt>
                <c:pt idx="375">
                  <c:v>22.596958333</c:v>
                </c:pt>
                <c:pt idx="376">
                  <c:v>23.096937499999999</c:v>
                </c:pt>
                <c:pt idx="377">
                  <c:v>22.261875</c:v>
                </c:pt>
                <c:pt idx="378">
                  <c:v>21.116916667000002</c:v>
                </c:pt>
                <c:pt idx="379">
                  <c:v>18.984437499999999</c:v>
                </c:pt>
                <c:pt idx="380">
                  <c:v>20.1544375</c:v>
                </c:pt>
                <c:pt idx="381">
                  <c:v>19.978541666999998</c:v>
                </c:pt>
                <c:pt idx="382">
                  <c:v>19.904166666999998</c:v>
                </c:pt>
                <c:pt idx="383">
                  <c:v>19.619270833000002</c:v>
                </c:pt>
                <c:pt idx="384">
                  <c:v>20.612562499999999</c:v>
                </c:pt>
                <c:pt idx="385">
                  <c:v>20.266354166999999</c:v>
                </c:pt>
                <c:pt idx="386">
                  <c:v>21.515625</c:v>
                </c:pt>
                <c:pt idx="387">
                  <c:v>21.470375000000001</c:v>
                </c:pt>
                <c:pt idx="388">
                  <c:v>21.626433962</c:v>
                </c:pt>
                <c:pt idx="389">
                  <c:v>20.647104166999998</c:v>
                </c:pt>
                <c:pt idx="390">
                  <c:v>20.599687500000002</c:v>
                </c:pt>
                <c:pt idx="391">
                  <c:v>20.213000000000001</c:v>
                </c:pt>
                <c:pt idx="392">
                  <c:v>22.293166667000001</c:v>
                </c:pt>
                <c:pt idx="393">
                  <c:v>22.234999999999999</c:v>
                </c:pt>
                <c:pt idx="394">
                  <c:v>21.343041667000001</c:v>
                </c:pt>
                <c:pt idx="395">
                  <c:v>21.569916667000001</c:v>
                </c:pt>
                <c:pt idx="396">
                  <c:v>21.850874999999998</c:v>
                </c:pt>
                <c:pt idx="397">
                  <c:v>22.413291666999999</c:v>
                </c:pt>
                <c:pt idx="398">
                  <c:v>22.511333333</c:v>
                </c:pt>
                <c:pt idx="399">
                  <c:v>22.541854167</c:v>
                </c:pt>
                <c:pt idx="400">
                  <c:v>22.521999999999998</c:v>
                </c:pt>
                <c:pt idx="401">
                  <c:v>21.375115385000001</c:v>
                </c:pt>
                <c:pt idx="402">
                  <c:v>22.285571429000001</c:v>
                </c:pt>
                <c:pt idx="403">
                  <c:v>22.151041667000001</c:v>
                </c:pt>
                <c:pt idx="404">
                  <c:v>22.807291667000001</c:v>
                </c:pt>
                <c:pt idx="405">
                  <c:v>23.542083333000001</c:v>
                </c:pt>
                <c:pt idx="406">
                  <c:v>23.788958333</c:v>
                </c:pt>
                <c:pt idx="407">
                  <c:v>23.208749999999998</c:v>
                </c:pt>
                <c:pt idx="408">
                  <c:v>22.916875000000001</c:v>
                </c:pt>
                <c:pt idx="409">
                  <c:v>23.345208332999999</c:v>
                </c:pt>
                <c:pt idx="410">
                  <c:v>22.676666666999999</c:v>
                </c:pt>
                <c:pt idx="411">
                  <c:v>21.268958333</c:v>
                </c:pt>
                <c:pt idx="412">
                  <c:v>21.371666667</c:v>
                </c:pt>
                <c:pt idx="413">
                  <c:v>21.800416667</c:v>
                </c:pt>
                <c:pt idx="414">
                  <c:v>22.236249999999998</c:v>
                </c:pt>
                <c:pt idx="415">
                  <c:v>22.968958333</c:v>
                </c:pt>
                <c:pt idx="416">
                  <c:v>22.304791667</c:v>
                </c:pt>
                <c:pt idx="417">
                  <c:v>22.802708333000002</c:v>
                </c:pt>
                <c:pt idx="418">
                  <c:v>23.253958333</c:v>
                </c:pt>
                <c:pt idx="419">
                  <c:v>22.78125</c:v>
                </c:pt>
                <c:pt idx="420">
                  <c:v>22.627291667000001</c:v>
                </c:pt>
                <c:pt idx="421">
                  <c:v>22.601875</c:v>
                </c:pt>
                <c:pt idx="422">
                  <c:v>22.496041667</c:v>
                </c:pt>
                <c:pt idx="423">
                  <c:v>22.736458333000002</c:v>
                </c:pt>
                <c:pt idx="424">
                  <c:v>22.614999999999998</c:v>
                </c:pt>
                <c:pt idx="425">
                  <c:v>23.052708333000002</c:v>
                </c:pt>
                <c:pt idx="426">
                  <c:v>22.787083333000002</c:v>
                </c:pt>
                <c:pt idx="427">
                  <c:v>22.577291667000001</c:v>
                </c:pt>
                <c:pt idx="428">
                  <c:v>22.267291666999999</c:v>
                </c:pt>
                <c:pt idx="429">
                  <c:v>22.038333333000001</c:v>
                </c:pt>
                <c:pt idx="430">
                  <c:v>22.63625</c:v>
                </c:pt>
                <c:pt idx="431">
                  <c:v>22.343541667</c:v>
                </c:pt>
                <c:pt idx="432">
                  <c:v>22.355625</c:v>
                </c:pt>
                <c:pt idx="433">
                  <c:v>21.972916667</c:v>
                </c:pt>
                <c:pt idx="434">
                  <c:v>22.200833332999999</c:v>
                </c:pt>
                <c:pt idx="435">
                  <c:v>22.083124999999999</c:v>
                </c:pt>
                <c:pt idx="436">
                  <c:v>21.800416667</c:v>
                </c:pt>
                <c:pt idx="437">
                  <c:v>22.108333333000001</c:v>
                </c:pt>
                <c:pt idx="438">
                  <c:v>21.389791667000001</c:v>
                </c:pt>
                <c:pt idx="439">
                  <c:v>21.317499999999999</c:v>
                </c:pt>
                <c:pt idx="440">
                  <c:v>21.325624999999999</c:v>
                </c:pt>
                <c:pt idx="441">
                  <c:v>20.190833333</c:v>
                </c:pt>
                <c:pt idx="442">
                  <c:v>19.675000000000001</c:v>
                </c:pt>
                <c:pt idx="443">
                  <c:v>19.755416666999999</c:v>
                </c:pt>
              </c:numCache>
            </c:numRef>
          </c:yVal>
          <c:smooth val="0"/>
        </c:ser>
        <c:dLbls>
          <c:showLegendKey val="0"/>
          <c:showVal val="0"/>
          <c:showCatName val="0"/>
          <c:showSerName val="0"/>
          <c:showPercent val="0"/>
          <c:showBubbleSize val="0"/>
        </c:dLbls>
        <c:axId val="81762560"/>
        <c:axId val="81760640"/>
      </c:scatterChart>
      <c:valAx>
        <c:axId val="81752448"/>
        <c:scaling>
          <c:orientation val="minMax"/>
          <c:max val="40775"/>
          <c:min val="40330"/>
        </c:scaling>
        <c:delete val="0"/>
        <c:axPos val="b"/>
        <c:numFmt formatCode="[$-409]d\-mmm\-yy;@" sourceLinked="1"/>
        <c:majorTickMark val="out"/>
        <c:minorTickMark val="none"/>
        <c:tickLblPos val="nextTo"/>
        <c:txPr>
          <a:bodyPr rot="-2100000" vert="horz"/>
          <a:lstStyle/>
          <a:p>
            <a:pPr>
              <a:defRPr/>
            </a:pPr>
            <a:endParaRPr lang="en-US"/>
          </a:p>
        </c:txPr>
        <c:crossAx val="81754368"/>
        <c:crosses val="autoZero"/>
        <c:crossBetween val="midCat"/>
        <c:majorUnit val="31"/>
        <c:minorUnit val="10"/>
      </c:valAx>
      <c:valAx>
        <c:axId val="81754368"/>
        <c:scaling>
          <c:orientation val="minMax"/>
          <c:max val="800"/>
        </c:scaling>
        <c:delete val="0"/>
        <c:axPos val="l"/>
        <c:majorGridlines/>
        <c:title>
          <c:tx>
            <c:rich>
              <a:bodyPr rot="-5400000" vert="horz"/>
              <a:lstStyle/>
              <a:p>
                <a:pPr>
                  <a:defRPr/>
                </a:pPr>
                <a:r>
                  <a:rPr lang="en-US"/>
                  <a:t>Carbon Dioxide Flux (CO2-Ckg/ha d)</a:t>
                </a:r>
              </a:p>
            </c:rich>
          </c:tx>
          <c:layout>
            <c:manualLayout>
              <c:xMode val="edge"/>
              <c:yMode val="edge"/>
              <c:x val="3.5501240412460874E-2"/>
              <c:y val="0.16902071201338109"/>
            </c:manualLayout>
          </c:layout>
          <c:overlay val="0"/>
        </c:title>
        <c:numFmt formatCode="General" sourceLinked="1"/>
        <c:majorTickMark val="out"/>
        <c:minorTickMark val="none"/>
        <c:tickLblPos val="nextTo"/>
        <c:crossAx val="81752448"/>
        <c:crosses val="autoZero"/>
        <c:crossBetween val="midCat"/>
      </c:valAx>
      <c:valAx>
        <c:axId val="81760640"/>
        <c:scaling>
          <c:orientation val="minMax"/>
          <c:max val="30"/>
        </c:scaling>
        <c:delete val="0"/>
        <c:axPos val="r"/>
        <c:title>
          <c:tx>
            <c:rich>
              <a:bodyPr rot="-5400000" vert="horz"/>
              <a:lstStyle/>
              <a:p>
                <a:pPr>
                  <a:defRPr/>
                </a:pPr>
                <a:r>
                  <a:rPr lang="en-US"/>
                  <a:t>Soil Temperature ( C )</a:t>
                </a:r>
              </a:p>
            </c:rich>
          </c:tx>
          <c:overlay val="0"/>
        </c:title>
        <c:numFmt formatCode="General" sourceLinked="1"/>
        <c:majorTickMark val="out"/>
        <c:minorTickMark val="none"/>
        <c:tickLblPos val="nextTo"/>
        <c:crossAx val="81762560"/>
        <c:crosses val="max"/>
        <c:crossBetween val="midCat"/>
      </c:valAx>
      <c:valAx>
        <c:axId val="81762560"/>
        <c:scaling>
          <c:orientation val="minMax"/>
        </c:scaling>
        <c:delete val="1"/>
        <c:axPos val="b"/>
        <c:numFmt formatCode="[$-409]d\-mmm\-yy;@" sourceLinked="1"/>
        <c:majorTickMark val="out"/>
        <c:minorTickMark val="none"/>
        <c:tickLblPos val="nextTo"/>
        <c:crossAx val="81760640"/>
        <c:crosses val="autoZero"/>
        <c:crossBetween val="midCat"/>
      </c:valAx>
    </c:plotArea>
    <c:legend>
      <c:legendPos val="r"/>
      <c:layout>
        <c:manualLayout>
          <c:xMode val="edge"/>
          <c:yMode val="edge"/>
          <c:x val="0.78101174489867553"/>
          <c:y val="0.30532262684064759"/>
          <c:w val="0.20992154141140351"/>
          <c:h val="0.38452963093590331"/>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17539678035195E-2"/>
          <c:y val="8.4133580634110861E-2"/>
          <c:w val="0.65547472768952797"/>
          <c:h val="0.71092259913691236"/>
        </c:manualLayout>
      </c:layout>
      <c:barChart>
        <c:barDir val="col"/>
        <c:grouping val="clustered"/>
        <c:varyColors val="0"/>
        <c:ser>
          <c:idx val="0"/>
          <c:order val="0"/>
          <c:tx>
            <c:v>Precipitation</c:v>
          </c:tx>
          <c:spPr>
            <a:solidFill>
              <a:schemeClr val="tx1"/>
            </a:solidFill>
            <a:ln>
              <a:noFill/>
            </a:ln>
          </c:spPr>
          <c:invertIfNegative val="0"/>
          <c:cat>
            <c:numRef>
              <c:f>total!$A$2:$A$445</c:f>
              <c:numCache>
                <c:formatCode>[$-409]d\-mmm\-yy;@</c:formatCode>
                <c:ptCount val="444"/>
                <c:pt idx="0">
                  <c:v>40330</c:v>
                </c:pt>
                <c:pt idx="1">
                  <c:v>40331</c:v>
                </c:pt>
                <c:pt idx="2">
                  <c:v>40332</c:v>
                </c:pt>
                <c:pt idx="3">
                  <c:v>40333</c:v>
                </c:pt>
                <c:pt idx="4">
                  <c:v>40334</c:v>
                </c:pt>
                <c:pt idx="5">
                  <c:v>40335</c:v>
                </c:pt>
                <c:pt idx="6">
                  <c:v>40336</c:v>
                </c:pt>
                <c:pt idx="7">
                  <c:v>40337</c:v>
                </c:pt>
                <c:pt idx="8">
                  <c:v>40338</c:v>
                </c:pt>
                <c:pt idx="9">
                  <c:v>40339</c:v>
                </c:pt>
                <c:pt idx="10">
                  <c:v>40340</c:v>
                </c:pt>
                <c:pt idx="11">
                  <c:v>40341</c:v>
                </c:pt>
                <c:pt idx="12">
                  <c:v>40342</c:v>
                </c:pt>
                <c:pt idx="13">
                  <c:v>40343</c:v>
                </c:pt>
                <c:pt idx="14">
                  <c:v>40344</c:v>
                </c:pt>
                <c:pt idx="15">
                  <c:v>40345</c:v>
                </c:pt>
                <c:pt idx="16">
                  <c:v>40346</c:v>
                </c:pt>
                <c:pt idx="17">
                  <c:v>40347</c:v>
                </c:pt>
                <c:pt idx="18">
                  <c:v>40348</c:v>
                </c:pt>
                <c:pt idx="19">
                  <c:v>40349</c:v>
                </c:pt>
                <c:pt idx="20">
                  <c:v>40350</c:v>
                </c:pt>
                <c:pt idx="21">
                  <c:v>40351</c:v>
                </c:pt>
                <c:pt idx="22">
                  <c:v>40352</c:v>
                </c:pt>
                <c:pt idx="23">
                  <c:v>40353</c:v>
                </c:pt>
                <c:pt idx="24">
                  <c:v>40354</c:v>
                </c:pt>
                <c:pt idx="25">
                  <c:v>40355</c:v>
                </c:pt>
                <c:pt idx="26">
                  <c:v>40356</c:v>
                </c:pt>
                <c:pt idx="27">
                  <c:v>40357</c:v>
                </c:pt>
                <c:pt idx="28">
                  <c:v>40358</c:v>
                </c:pt>
                <c:pt idx="29">
                  <c:v>40359</c:v>
                </c:pt>
                <c:pt idx="30">
                  <c:v>40360</c:v>
                </c:pt>
                <c:pt idx="31">
                  <c:v>40361</c:v>
                </c:pt>
                <c:pt idx="32">
                  <c:v>40362</c:v>
                </c:pt>
                <c:pt idx="33">
                  <c:v>40363</c:v>
                </c:pt>
                <c:pt idx="34">
                  <c:v>40364</c:v>
                </c:pt>
                <c:pt idx="35">
                  <c:v>40365</c:v>
                </c:pt>
                <c:pt idx="36">
                  <c:v>40366</c:v>
                </c:pt>
                <c:pt idx="37">
                  <c:v>40367</c:v>
                </c:pt>
                <c:pt idx="38">
                  <c:v>40368</c:v>
                </c:pt>
                <c:pt idx="39">
                  <c:v>40369</c:v>
                </c:pt>
                <c:pt idx="40">
                  <c:v>40370</c:v>
                </c:pt>
                <c:pt idx="41">
                  <c:v>40371</c:v>
                </c:pt>
                <c:pt idx="42">
                  <c:v>40372</c:v>
                </c:pt>
                <c:pt idx="43">
                  <c:v>40373</c:v>
                </c:pt>
                <c:pt idx="44">
                  <c:v>40374</c:v>
                </c:pt>
                <c:pt idx="45">
                  <c:v>40375</c:v>
                </c:pt>
                <c:pt idx="46">
                  <c:v>40376</c:v>
                </c:pt>
                <c:pt idx="47">
                  <c:v>40377</c:v>
                </c:pt>
                <c:pt idx="48">
                  <c:v>40378</c:v>
                </c:pt>
                <c:pt idx="49">
                  <c:v>40379</c:v>
                </c:pt>
                <c:pt idx="50">
                  <c:v>40380</c:v>
                </c:pt>
                <c:pt idx="51">
                  <c:v>40381</c:v>
                </c:pt>
                <c:pt idx="52">
                  <c:v>40382</c:v>
                </c:pt>
                <c:pt idx="53">
                  <c:v>40383</c:v>
                </c:pt>
                <c:pt idx="54">
                  <c:v>40384</c:v>
                </c:pt>
                <c:pt idx="55">
                  <c:v>40385</c:v>
                </c:pt>
                <c:pt idx="56">
                  <c:v>40386</c:v>
                </c:pt>
                <c:pt idx="57">
                  <c:v>40387</c:v>
                </c:pt>
                <c:pt idx="58">
                  <c:v>40388</c:v>
                </c:pt>
                <c:pt idx="59">
                  <c:v>40389</c:v>
                </c:pt>
                <c:pt idx="60">
                  <c:v>40390</c:v>
                </c:pt>
                <c:pt idx="61">
                  <c:v>40391</c:v>
                </c:pt>
                <c:pt idx="62">
                  <c:v>40392</c:v>
                </c:pt>
                <c:pt idx="63">
                  <c:v>40393</c:v>
                </c:pt>
                <c:pt idx="64">
                  <c:v>40394</c:v>
                </c:pt>
                <c:pt idx="65">
                  <c:v>40395</c:v>
                </c:pt>
                <c:pt idx="66">
                  <c:v>40396</c:v>
                </c:pt>
                <c:pt idx="67">
                  <c:v>40397</c:v>
                </c:pt>
                <c:pt idx="68">
                  <c:v>40398</c:v>
                </c:pt>
                <c:pt idx="69">
                  <c:v>40399</c:v>
                </c:pt>
                <c:pt idx="70">
                  <c:v>40400</c:v>
                </c:pt>
                <c:pt idx="71">
                  <c:v>40401</c:v>
                </c:pt>
                <c:pt idx="72">
                  <c:v>40402</c:v>
                </c:pt>
                <c:pt idx="73">
                  <c:v>40403</c:v>
                </c:pt>
                <c:pt idx="74">
                  <c:v>40404</c:v>
                </c:pt>
                <c:pt idx="75">
                  <c:v>40405</c:v>
                </c:pt>
                <c:pt idx="76">
                  <c:v>40406</c:v>
                </c:pt>
                <c:pt idx="77">
                  <c:v>40407</c:v>
                </c:pt>
                <c:pt idx="78">
                  <c:v>40408</c:v>
                </c:pt>
                <c:pt idx="79">
                  <c:v>40409</c:v>
                </c:pt>
                <c:pt idx="80">
                  <c:v>40410</c:v>
                </c:pt>
                <c:pt idx="81">
                  <c:v>40411</c:v>
                </c:pt>
                <c:pt idx="82">
                  <c:v>40412</c:v>
                </c:pt>
                <c:pt idx="83">
                  <c:v>40413</c:v>
                </c:pt>
                <c:pt idx="84">
                  <c:v>40414</c:v>
                </c:pt>
                <c:pt idx="85">
                  <c:v>40415</c:v>
                </c:pt>
                <c:pt idx="86">
                  <c:v>40416</c:v>
                </c:pt>
                <c:pt idx="87">
                  <c:v>40417</c:v>
                </c:pt>
                <c:pt idx="88">
                  <c:v>40418</c:v>
                </c:pt>
                <c:pt idx="89">
                  <c:v>40419</c:v>
                </c:pt>
                <c:pt idx="90">
                  <c:v>40420</c:v>
                </c:pt>
                <c:pt idx="91">
                  <c:v>40421</c:v>
                </c:pt>
                <c:pt idx="92">
                  <c:v>40422</c:v>
                </c:pt>
                <c:pt idx="93">
                  <c:v>40423</c:v>
                </c:pt>
                <c:pt idx="94">
                  <c:v>40424</c:v>
                </c:pt>
                <c:pt idx="95">
                  <c:v>40425</c:v>
                </c:pt>
                <c:pt idx="96">
                  <c:v>40426</c:v>
                </c:pt>
                <c:pt idx="97">
                  <c:v>40427</c:v>
                </c:pt>
                <c:pt idx="98">
                  <c:v>40428</c:v>
                </c:pt>
                <c:pt idx="99">
                  <c:v>40429</c:v>
                </c:pt>
                <c:pt idx="100">
                  <c:v>40430</c:v>
                </c:pt>
                <c:pt idx="101">
                  <c:v>40431</c:v>
                </c:pt>
                <c:pt idx="102">
                  <c:v>40432</c:v>
                </c:pt>
                <c:pt idx="103">
                  <c:v>40433</c:v>
                </c:pt>
                <c:pt idx="104">
                  <c:v>40434</c:v>
                </c:pt>
                <c:pt idx="105">
                  <c:v>40435</c:v>
                </c:pt>
                <c:pt idx="106">
                  <c:v>40436</c:v>
                </c:pt>
                <c:pt idx="107">
                  <c:v>40437</c:v>
                </c:pt>
                <c:pt idx="108">
                  <c:v>40438</c:v>
                </c:pt>
                <c:pt idx="109">
                  <c:v>40439</c:v>
                </c:pt>
                <c:pt idx="110">
                  <c:v>40440</c:v>
                </c:pt>
                <c:pt idx="111">
                  <c:v>40441</c:v>
                </c:pt>
                <c:pt idx="112">
                  <c:v>40442</c:v>
                </c:pt>
                <c:pt idx="113">
                  <c:v>40443</c:v>
                </c:pt>
                <c:pt idx="114">
                  <c:v>40444</c:v>
                </c:pt>
                <c:pt idx="115">
                  <c:v>40445</c:v>
                </c:pt>
                <c:pt idx="116">
                  <c:v>40446</c:v>
                </c:pt>
                <c:pt idx="117">
                  <c:v>40447</c:v>
                </c:pt>
                <c:pt idx="118">
                  <c:v>40448</c:v>
                </c:pt>
                <c:pt idx="119">
                  <c:v>40449</c:v>
                </c:pt>
                <c:pt idx="120">
                  <c:v>40450</c:v>
                </c:pt>
                <c:pt idx="121">
                  <c:v>40451</c:v>
                </c:pt>
                <c:pt idx="122">
                  <c:v>40452</c:v>
                </c:pt>
                <c:pt idx="123">
                  <c:v>40453</c:v>
                </c:pt>
                <c:pt idx="124">
                  <c:v>40454</c:v>
                </c:pt>
                <c:pt idx="125">
                  <c:v>40455</c:v>
                </c:pt>
                <c:pt idx="126">
                  <c:v>40456</c:v>
                </c:pt>
                <c:pt idx="127">
                  <c:v>40457</c:v>
                </c:pt>
                <c:pt idx="128">
                  <c:v>40458</c:v>
                </c:pt>
                <c:pt idx="129">
                  <c:v>40459</c:v>
                </c:pt>
                <c:pt idx="130">
                  <c:v>40460</c:v>
                </c:pt>
                <c:pt idx="131">
                  <c:v>40461</c:v>
                </c:pt>
                <c:pt idx="132">
                  <c:v>40462</c:v>
                </c:pt>
                <c:pt idx="133">
                  <c:v>40463</c:v>
                </c:pt>
                <c:pt idx="134">
                  <c:v>40464</c:v>
                </c:pt>
                <c:pt idx="135">
                  <c:v>40465</c:v>
                </c:pt>
                <c:pt idx="136">
                  <c:v>40466</c:v>
                </c:pt>
                <c:pt idx="137">
                  <c:v>40467</c:v>
                </c:pt>
                <c:pt idx="138">
                  <c:v>40468</c:v>
                </c:pt>
                <c:pt idx="139">
                  <c:v>40469</c:v>
                </c:pt>
                <c:pt idx="140">
                  <c:v>40470</c:v>
                </c:pt>
                <c:pt idx="141">
                  <c:v>40471</c:v>
                </c:pt>
                <c:pt idx="142">
                  <c:v>40472</c:v>
                </c:pt>
                <c:pt idx="143">
                  <c:v>40473</c:v>
                </c:pt>
                <c:pt idx="144">
                  <c:v>40474</c:v>
                </c:pt>
                <c:pt idx="145">
                  <c:v>40475</c:v>
                </c:pt>
                <c:pt idx="146">
                  <c:v>40476</c:v>
                </c:pt>
                <c:pt idx="147">
                  <c:v>40477</c:v>
                </c:pt>
                <c:pt idx="148">
                  <c:v>40478</c:v>
                </c:pt>
                <c:pt idx="149">
                  <c:v>40479</c:v>
                </c:pt>
                <c:pt idx="150">
                  <c:v>40480</c:v>
                </c:pt>
                <c:pt idx="151">
                  <c:v>40481</c:v>
                </c:pt>
                <c:pt idx="152">
                  <c:v>40482</c:v>
                </c:pt>
                <c:pt idx="153">
                  <c:v>40483</c:v>
                </c:pt>
                <c:pt idx="154">
                  <c:v>40484</c:v>
                </c:pt>
                <c:pt idx="155">
                  <c:v>40485</c:v>
                </c:pt>
                <c:pt idx="156">
                  <c:v>40486</c:v>
                </c:pt>
                <c:pt idx="157">
                  <c:v>40487</c:v>
                </c:pt>
                <c:pt idx="158">
                  <c:v>40488</c:v>
                </c:pt>
                <c:pt idx="159">
                  <c:v>40489</c:v>
                </c:pt>
                <c:pt idx="160">
                  <c:v>40490</c:v>
                </c:pt>
                <c:pt idx="161">
                  <c:v>40491</c:v>
                </c:pt>
                <c:pt idx="162">
                  <c:v>40492</c:v>
                </c:pt>
                <c:pt idx="163">
                  <c:v>40493</c:v>
                </c:pt>
                <c:pt idx="164">
                  <c:v>40494</c:v>
                </c:pt>
                <c:pt idx="165">
                  <c:v>40495</c:v>
                </c:pt>
                <c:pt idx="166">
                  <c:v>40496</c:v>
                </c:pt>
                <c:pt idx="167">
                  <c:v>40497</c:v>
                </c:pt>
                <c:pt idx="168">
                  <c:v>40498</c:v>
                </c:pt>
                <c:pt idx="169">
                  <c:v>40499</c:v>
                </c:pt>
                <c:pt idx="170">
                  <c:v>40500</c:v>
                </c:pt>
                <c:pt idx="171">
                  <c:v>40501</c:v>
                </c:pt>
                <c:pt idx="172">
                  <c:v>40502</c:v>
                </c:pt>
                <c:pt idx="173">
                  <c:v>40503</c:v>
                </c:pt>
                <c:pt idx="174">
                  <c:v>40504</c:v>
                </c:pt>
                <c:pt idx="175">
                  <c:v>40505</c:v>
                </c:pt>
                <c:pt idx="176">
                  <c:v>40506</c:v>
                </c:pt>
                <c:pt idx="177">
                  <c:v>40507</c:v>
                </c:pt>
                <c:pt idx="178">
                  <c:v>40508</c:v>
                </c:pt>
                <c:pt idx="179">
                  <c:v>40509</c:v>
                </c:pt>
                <c:pt idx="180">
                  <c:v>40510</c:v>
                </c:pt>
                <c:pt idx="181">
                  <c:v>40511</c:v>
                </c:pt>
                <c:pt idx="182">
                  <c:v>40512</c:v>
                </c:pt>
                <c:pt idx="183">
                  <c:v>40513</c:v>
                </c:pt>
                <c:pt idx="184">
                  <c:v>40514</c:v>
                </c:pt>
                <c:pt idx="185">
                  <c:v>40515</c:v>
                </c:pt>
                <c:pt idx="186">
                  <c:v>40516</c:v>
                </c:pt>
                <c:pt idx="187">
                  <c:v>40517</c:v>
                </c:pt>
                <c:pt idx="188">
                  <c:v>40518</c:v>
                </c:pt>
                <c:pt idx="189">
                  <c:v>40519</c:v>
                </c:pt>
                <c:pt idx="190">
                  <c:v>40520</c:v>
                </c:pt>
                <c:pt idx="191">
                  <c:v>40521</c:v>
                </c:pt>
                <c:pt idx="192">
                  <c:v>40522</c:v>
                </c:pt>
                <c:pt idx="193">
                  <c:v>40523</c:v>
                </c:pt>
                <c:pt idx="194">
                  <c:v>40524</c:v>
                </c:pt>
                <c:pt idx="195">
                  <c:v>40525</c:v>
                </c:pt>
                <c:pt idx="196">
                  <c:v>40526</c:v>
                </c:pt>
                <c:pt idx="197">
                  <c:v>40527</c:v>
                </c:pt>
                <c:pt idx="198">
                  <c:v>40528</c:v>
                </c:pt>
                <c:pt idx="199">
                  <c:v>40529</c:v>
                </c:pt>
                <c:pt idx="200">
                  <c:v>40530</c:v>
                </c:pt>
                <c:pt idx="201">
                  <c:v>40531</c:v>
                </c:pt>
                <c:pt idx="202">
                  <c:v>40532</c:v>
                </c:pt>
                <c:pt idx="203">
                  <c:v>40533</c:v>
                </c:pt>
                <c:pt idx="204">
                  <c:v>40534</c:v>
                </c:pt>
                <c:pt idx="205">
                  <c:v>40535</c:v>
                </c:pt>
                <c:pt idx="206">
                  <c:v>40536</c:v>
                </c:pt>
                <c:pt idx="207">
                  <c:v>40537</c:v>
                </c:pt>
                <c:pt idx="208">
                  <c:v>40538</c:v>
                </c:pt>
                <c:pt idx="209">
                  <c:v>40539</c:v>
                </c:pt>
                <c:pt idx="210">
                  <c:v>40540</c:v>
                </c:pt>
                <c:pt idx="211">
                  <c:v>40541</c:v>
                </c:pt>
                <c:pt idx="212">
                  <c:v>40542</c:v>
                </c:pt>
                <c:pt idx="213">
                  <c:v>40543</c:v>
                </c:pt>
                <c:pt idx="214">
                  <c:v>40544</c:v>
                </c:pt>
                <c:pt idx="215">
                  <c:v>40545</c:v>
                </c:pt>
                <c:pt idx="216">
                  <c:v>40546</c:v>
                </c:pt>
                <c:pt idx="217">
                  <c:v>40547</c:v>
                </c:pt>
                <c:pt idx="218">
                  <c:v>40548</c:v>
                </c:pt>
                <c:pt idx="219">
                  <c:v>40549</c:v>
                </c:pt>
                <c:pt idx="220">
                  <c:v>40550</c:v>
                </c:pt>
                <c:pt idx="221">
                  <c:v>40551</c:v>
                </c:pt>
                <c:pt idx="222">
                  <c:v>40552</c:v>
                </c:pt>
                <c:pt idx="223">
                  <c:v>40553</c:v>
                </c:pt>
                <c:pt idx="224">
                  <c:v>40554</c:v>
                </c:pt>
                <c:pt idx="225">
                  <c:v>40555</c:v>
                </c:pt>
                <c:pt idx="226">
                  <c:v>40556</c:v>
                </c:pt>
                <c:pt idx="227">
                  <c:v>40557</c:v>
                </c:pt>
                <c:pt idx="228">
                  <c:v>40558</c:v>
                </c:pt>
                <c:pt idx="229">
                  <c:v>40559</c:v>
                </c:pt>
                <c:pt idx="230">
                  <c:v>40560</c:v>
                </c:pt>
                <c:pt idx="231">
                  <c:v>40561</c:v>
                </c:pt>
                <c:pt idx="232">
                  <c:v>40562</c:v>
                </c:pt>
                <c:pt idx="233">
                  <c:v>40563</c:v>
                </c:pt>
                <c:pt idx="234">
                  <c:v>40564</c:v>
                </c:pt>
                <c:pt idx="235">
                  <c:v>40565</c:v>
                </c:pt>
                <c:pt idx="236">
                  <c:v>40566</c:v>
                </c:pt>
                <c:pt idx="237">
                  <c:v>40567</c:v>
                </c:pt>
                <c:pt idx="238">
                  <c:v>40568</c:v>
                </c:pt>
                <c:pt idx="239">
                  <c:v>40569</c:v>
                </c:pt>
                <c:pt idx="240">
                  <c:v>40570</c:v>
                </c:pt>
                <c:pt idx="241">
                  <c:v>40571</c:v>
                </c:pt>
                <c:pt idx="242">
                  <c:v>40572</c:v>
                </c:pt>
                <c:pt idx="243">
                  <c:v>40573</c:v>
                </c:pt>
                <c:pt idx="244">
                  <c:v>40574</c:v>
                </c:pt>
                <c:pt idx="245">
                  <c:v>40575</c:v>
                </c:pt>
                <c:pt idx="246">
                  <c:v>40576</c:v>
                </c:pt>
                <c:pt idx="247">
                  <c:v>40577</c:v>
                </c:pt>
                <c:pt idx="248">
                  <c:v>40578</c:v>
                </c:pt>
                <c:pt idx="249">
                  <c:v>40579</c:v>
                </c:pt>
                <c:pt idx="250">
                  <c:v>40580</c:v>
                </c:pt>
                <c:pt idx="251">
                  <c:v>40581</c:v>
                </c:pt>
                <c:pt idx="252">
                  <c:v>40582</c:v>
                </c:pt>
                <c:pt idx="253">
                  <c:v>40583</c:v>
                </c:pt>
                <c:pt idx="254">
                  <c:v>40584</c:v>
                </c:pt>
                <c:pt idx="255">
                  <c:v>40585</c:v>
                </c:pt>
                <c:pt idx="256">
                  <c:v>40586</c:v>
                </c:pt>
                <c:pt idx="257">
                  <c:v>40587</c:v>
                </c:pt>
                <c:pt idx="258">
                  <c:v>40588</c:v>
                </c:pt>
                <c:pt idx="259">
                  <c:v>40589</c:v>
                </c:pt>
                <c:pt idx="260">
                  <c:v>40590</c:v>
                </c:pt>
                <c:pt idx="261">
                  <c:v>40591</c:v>
                </c:pt>
                <c:pt idx="262">
                  <c:v>40592</c:v>
                </c:pt>
                <c:pt idx="263">
                  <c:v>40593</c:v>
                </c:pt>
                <c:pt idx="264">
                  <c:v>40594</c:v>
                </c:pt>
                <c:pt idx="265">
                  <c:v>40595</c:v>
                </c:pt>
                <c:pt idx="266">
                  <c:v>40596</c:v>
                </c:pt>
                <c:pt idx="267">
                  <c:v>40597</c:v>
                </c:pt>
                <c:pt idx="268">
                  <c:v>40598</c:v>
                </c:pt>
                <c:pt idx="269">
                  <c:v>40599</c:v>
                </c:pt>
                <c:pt idx="270">
                  <c:v>40600</c:v>
                </c:pt>
                <c:pt idx="271">
                  <c:v>40601</c:v>
                </c:pt>
                <c:pt idx="272">
                  <c:v>40602</c:v>
                </c:pt>
                <c:pt idx="273">
                  <c:v>40603</c:v>
                </c:pt>
                <c:pt idx="274">
                  <c:v>40604</c:v>
                </c:pt>
                <c:pt idx="275">
                  <c:v>40605</c:v>
                </c:pt>
                <c:pt idx="276">
                  <c:v>40606</c:v>
                </c:pt>
                <c:pt idx="277">
                  <c:v>40607</c:v>
                </c:pt>
                <c:pt idx="278">
                  <c:v>40608</c:v>
                </c:pt>
                <c:pt idx="279">
                  <c:v>40609</c:v>
                </c:pt>
                <c:pt idx="280">
                  <c:v>40610</c:v>
                </c:pt>
                <c:pt idx="281">
                  <c:v>40611</c:v>
                </c:pt>
                <c:pt idx="282">
                  <c:v>40612</c:v>
                </c:pt>
                <c:pt idx="283">
                  <c:v>40613</c:v>
                </c:pt>
                <c:pt idx="284">
                  <c:v>40614</c:v>
                </c:pt>
                <c:pt idx="285">
                  <c:v>40615</c:v>
                </c:pt>
                <c:pt idx="286">
                  <c:v>40616</c:v>
                </c:pt>
                <c:pt idx="287">
                  <c:v>40617</c:v>
                </c:pt>
                <c:pt idx="288">
                  <c:v>40618</c:v>
                </c:pt>
                <c:pt idx="289">
                  <c:v>40619</c:v>
                </c:pt>
                <c:pt idx="290">
                  <c:v>40620</c:v>
                </c:pt>
                <c:pt idx="291">
                  <c:v>40621</c:v>
                </c:pt>
                <c:pt idx="292">
                  <c:v>40622</c:v>
                </c:pt>
                <c:pt idx="293">
                  <c:v>40623</c:v>
                </c:pt>
                <c:pt idx="294">
                  <c:v>40624</c:v>
                </c:pt>
                <c:pt idx="295">
                  <c:v>40625</c:v>
                </c:pt>
                <c:pt idx="296">
                  <c:v>40626</c:v>
                </c:pt>
                <c:pt idx="297">
                  <c:v>40627</c:v>
                </c:pt>
                <c:pt idx="298">
                  <c:v>40628</c:v>
                </c:pt>
                <c:pt idx="299">
                  <c:v>40629</c:v>
                </c:pt>
                <c:pt idx="300">
                  <c:v>40630</c:v>
                </c:pt>
                <c:pt idx="301">
                  <c:v>40631</c:v>
                </c:pt>
                <c:pt idx="302">
                  <c:v>40632</c:v>
                </c:pt>
                <c:pt idx="303">
                  <c:v>40633</c:v>
                </c:pt>
                <c:pt idx="304">
                  <c:v>40634</c:v>
                </c:pt>
                <c:pt idx="305">
                  <c:v>40635</c:v>
                </c:pt>
                <c:pt idx="306">
                  <c:v>40636</c:v>
                </c:pt>
                <c:pt idx="307">
                  <c:v>40637</c:v>
                </c:pt>
                <c:pt idx="308">
                  <c:v>40638</c:v>
                </c:pt>
                <c:pt idx="309">
                  <c:v>40639</c:v>
                </c:pt>
                <c:pt idx="310">
                  <c:v>40640</c:v>
                </c:pt>
                <c:pt idx="311">
                  <c:v>40641</c:v>
                </c:pt>
                <c:pt idx="312">
                  <c:v>40642</c:v>
                </c:pt>
                <c:pt idx="313">
                  <c:v>40643</c:v>
                </c:pt>
                <c:pt idx="314">
                  <c:v>40644</c:v>
                </c:pt>
                <c:pt idx="315">
                  <c:v>40645</c:v>
                </c:pt>
                <c:pt idx="316">
                  <c:v>40646</c:v>
                </c:pt>
                <c:pt idx="317">
                  <c:v>40647</c:v>
                </c:pt>
                <c:pt idx="318">
                  <c:v>40648</c:v>
                </c:pt>
                <c:pt idx="319">
                  <c:v>40649</c:v>
                </c:pt>
                <c:pt idx="320">
                  <c:v>40650</c:v>
                </c:pt>
                <c:pt idx="321">
                  <c:v>40651</c:v>
                </c:pt>
                <c:pt idx="322">
                  <c:v>40652</c:v>
                </c:pt>
                <c:pt idx="323">
                  <c:v>40653</c:v>
                </c:pt>
                <c:pt idx="324">
                  <c:v>40654</c:v>
                </c:pt>
                <c:pt idx="325">
                  <c:v>40655</c:v>
                </c:pt>
                <c:pt idx="326">
                  <c:v>40656</c:v>
                </c:pt>
                <c:pt idx="327">
                  <c:v>40657</c:v>
                </c:pt>
                <c:pt idx="328">
                  <c:v>40658</c:v>
                </c:pt>
                <c:pt idx="329">
                  <c:v>40659</c:v>
                </c:pt>
                <c:pt idx="330">
                  <c:v>40660</c:v>
                </c:pt>
                <c:pt idx="331">
                  <c:v>40661</c:v>
                </c:pt>
                <c:pt idx="332">
                  <c:v>40662</c:v>
                </c:pt>
                <c:pt idx="333">
                  <c:v>40663</c:v>
                </c:pt>
                <c:pt idx="334">
                  <c:v>40664</c:v>
                </c:pt>
                <c:pt idx="335">
                  <c:v>40665</c:v>
                </c:pt>
                <c:pt idx="336">
                  <c:v>40666</c:v>
                </c:pt>
                <c:pt idx="337">
                  <c:v>40667</c:v>
                </c:pt>
                <c:pt idx="338">
                  <c:v>40668</c:v>
                </c:pt>
                <c:pt idx="339">
                  <c:v>40669</c:v>
                </c:pt>
                <c:pt idx="340">
                  <c:v>40670</c:v>
                </c:pt>
                <c:pt idx="341">
                  <c:v>40671</c:v>
                </c:pt>
                <c:pt idx="342">
                  <c:v>40672</c:v>
                </c:pt>
                <c:pt idx="343">
                  <c:v>40673</c:v>
                </c:pt>
                <c:pt idx="344">
                  <c:v>40674</c:v>
                </c:pt>
                <c:pt idx="345">
                  <c:v>40675</c:v>
                </c:pt>
                <c:pt idx="346">
                  <c:v>40676</c:v>
                </c:pt>
                <c:pt idx="347">
                  <c:v>40677</c:v>
                </c:pt>
                <c:pt idx="348">
                  <c:v>40678</c:v>
                </c:pt>
                <c:pt idx="349">
                  <c:v>40679</c:v>
                </c:pt>
                <c:pt idx="350">
                  <c:v>40680</c:v>
                </c:pt>
                <c:pt idx="351">
                  <c:v>40681</c:v>
                </c:pt>
                <c:pt idx="352">
                  <c:v>40682</c:v>
                </c:pt>
                <c:pt idx="353">
                  <c:v>40683</c:v>
                </c:pt>
                <c:pt idx="354">
                  <c:v>40684</c:v>
                </c:pt>
                <c:pt idx="355">
                  <c:v>40685</c:v>
                </c:pt>
                <c:pt idx="356">
                  <c:v>40686</c:v>
                </c:pt>
                <c:pt idx="357">
                  <c:v>40687</c:v>
                </c:pt>
                <c:pt idx="358">
                  <c:v>40688</c:v>
                </c:pt>
                <c:pt idx="359">
                  <c:v>40689</c:v>
                </c:pt>
                <c:pt idx="360">
                  <c:v>40690</c:v>
                </c:pt>
                <c:pt idx="361">
                  <c:v>40691</c:v>
                </c:pt>
                <c:pt idx="362">
                  <c:v>40692</c:v>
                </c:pt>
                <c:pt idx="363">
                  <c:v>40693</c:v>
                </c:pt>
                <c:pt idx="364">
                  <c:v>40694</c:v>
                </c:pt>
                <c:pt idx="365">
                  <c:v>40695</c:v>
                </c:pt>
                <c:pt idx="366">
                  <c:v>40696</c:v>
                </c:pt>
                <c:pt idx="367">
                  <c:v>40697</c:v>
                </c:pt>
                <c:pt idx="368">
                  <c:v>40698</c:v>
                </c:pt>
                <c:pt idx="369">
                  <c:v>40699</c:v>
                </c:pt>
                <c:pt idx="370">
                  <c:v>40700</c:v>
                </c:pt>
                <c:pt idx="371">
                  <c:v>40701</c:v>
                </c:pt>
                <c:pt idx="372">
                  <c:v>40702</c:v>
                </c:pt>
                <c:pt idx="373">
                  <c:v>40703</c:v>
                </c:pt>
                <c:pt idx="374">
                  <c:v>40704</c:v>
                </c:pt>
                <c:pt idx="375">
                  <c:v>40705</c:v>
                </c:pt>
                <c:pt idx="376">
                  <c:v>40706</c:v>
                </c:pt>
                <c:pt idx="377">
                  <c:v>40707</c:v>
                </c:pt>
                <c:pt idx="378">
                  <c:v>40708</c:v>
                </c:pt>
                <c:pt idx="379">
                  <c:v>40709</c:v>
                </c:pt>
                <c:pt idx="380">
                  <c:v>40710</c:v>
                </c:pt>
                <c:pt idx="381">
                  <c:v>40711</c:v>
                </c:pt>
                <c:pt idx="382">
                  <c:v>40712</c:v>
                </c:pt>
                <c:pt idx="383">
                  <c:v>40713</c:v>
                </c:pt>
                <c:pt idx="384">
                  <c:v>40714</c:v>
                </c:pt>
                <c:pt idx="385">
                  <c:v>40715</c:v>
                </c:pt>
                <c:pt idx="386">
                  <c:v>40716</c:v>
                </c:pt>
                <c:pt idx="387">
                  <c:v>40717</c:v>
                </c:pt>
                <c:pt idx="388">
                  <c:v>40718</c:v>
                </c:pt>
                <c:pt idx="389">
                  <c:v>40719</c:v>
                </c:pt>
                <c:pt idx="390">
                  <c:v>40720</c:v>
                </c:pt>
                <c:pt idx="391">
                  <c:v>40721</c:v>
                </c:pt>
                <c:pt idx="392">
                  <c:v>40722</c:v>
                </c:pt>
                <c:pt idx="393">
                  <c:v>40723</c:v>
                </c:pt>
                <c:pt idx="394">
                  <c:v>40724</c:v>
                </c:pt>
                <c:pt idx="395">
                  <c:v>40725</c:v>
                </c:pt>
                <c:pt idx="396">
                  <c:v>40726</c:v>
                </c:pt>
                <c:pt idx="397">
                  <c:v>40727</c:v>
                </c:pt>
                <c:pt idx="398">
                  <c:v>40728</c:v>
                </c:pt>
                <c:pt idx="399">
                  <c:v>40729</c:v>
                </c:pt>
                <c:pt idx="400">
                  <c:v>40730</c:v>
                </c:pt>
                <c:pt idx="401">
                  <c:v>40731</c:v>
                </c:pt>
                <c:pt idx="402">
                  <c:v>40732</c:v>
                </c:pt>
                <c:pt idx="403">
                  <c:v>40733</c:v>
                </c:pt>
                <c:pt idx="404">
                  <c:v>40734</c:v>
                </c:pt>
                <c:pt idx="405">
                  <c:v>40735</c:v>
                </c:pt>
                <c:pt idx="406">
                  <c:v>40736</c:v>
                </c:pt>
                <c:pt idx="407">
                  <c:v>40737</c:v>
                </c:pt>
                <c:pt idx="408">
                  <c:v>40738</c:v>
                </c:pt>
                <c:pt idx="409">
                  <c:v>40739</c:v>
                </c:pt>
                <c:pt idx="410">
                  <c:v>40740</c:v>
                </c:pt>
                <c:pt idx="411">
                  <c:v>40741</c:v>
                </c:pt>
                <c:pt idx="412">
                  <c:v>40742</c:v>
                </c:pt>
                <c:pt idx="413">
                  <c:v>40743</c:v>
                </c:pt>
                <c:pt idx="414">
                  <c:v>40744</c:v>
                </c:pt>
                <c:pt idx="415">
                  <c:v>40745</c:v>
                </c:pt>
                <c:pt idx="416">
                  <c:v>40746</c:v>
                </c:pt>
                <c:pt idx="417">
                  <c:v>40747</c:v>
                </c:pt>
                <c:pt idx="418">
                  <c:v>40748</c:v>
                </c:pt>
                <c:pt idx="419">
                  <c:v>40749</c:v>
                </c:pt>
                <c:pt idx="420">
                  <c:v>40750</c:v>
                </c:pt>
                <c:pt idx="421">
                  <c:v>40751</c:v>
                </c:pt>
                <c:pt idx="422">
                  <c:v>40752</c:v>
                </c:pt>
                <c:pt idx="423">
                  <c:v>40753</c:v>
                </c:pt>
                <c:pt idx="424">
                  <c:v>40754</c:v>
                </c:pt>
                <c:pt idx="425">
                  <c:v>40755</c:v>
                </c:pt>
                <c:pt idx="426">
                  <c:v>40756</c:v>
                </c:pt>
                <c:pt idx="427">
                  <c:v>40757</c:v>
                </c:pt>
                <c:pt idx="428">
                  <c:v>40758</c:v>
                </c:pt>
                <c:pt idx="429">
                  <c:v>40759</c:v>
                </c:pt>
                <c:pt idx="430">
                  <c:v>40760</c:v>
                </c:pt>
                <c:pt idx="431">
                  <c:v>40761</c:v>
                </c:pt>
                <c:pt idx="432">
                  <c:v>40762</c:v>
                </c:pt>
                <c:pt idx="433">
                  <c:v>40763</c:v>
                </c:pt>
                <c:pt idx="434">
                  <c:v>40764</c:v>
                </c:pt>
                <c:pt idx="435">
                  <c:v>40765</c:v>
                </c:pt>
                <c:pt idx="436">
                  <c:v>40766</c:v>
                </c:pt>
                <c:pt idx="437">
                  <c:v>40767</c:v>
                </c:pt>
                <c:pt idx="438">
                  <c:v>40768</c:v>
                </c:pt>
                <c:pt idx="439">
                  <c:v>40769</c:v>
                </c:pt>
                <c:pt idx="440">
                  <c:v>40770</c:v>
                </c:pt>
                <c:pt idx="441">
                  <c:v>40771</c:v>
                </c:pt>
                <c:pt idx="442">
                  <c:v>40772</c:v>
                </c:pt>
                <c:pt idx="443">
                  <c:v>40773</c:v>
                </c:pt>
              </c:numCache>
            </c:numRef>
          </c:cat>
          <c:val>
            <c:numRef>
              <c:f>total!$M$2:$M$445</c:f>
              <c:numCache>
                <c:formatCode>General</c:formatCode>
                <c:ptCount val="444"/>
                <c:pt idx="0">
                  <c:v>0.5323</c:v>
                </c:pt>
                <c:pt idx="1">
                  <c:v>0</c:v>
                </c:pt>
                <c:pt idx="2">
                  <c:v>0</c:v>
                </c:pt>
                <c:pt idx="3">
                  <c:v>0</c:v>
                </c:pt>
                <c:pt idx="4">
                  <c:v>0</c:v>
                </c:pt>
                <c:pt idx="5">
                  <c:v>0.43830000000000002</c:v>
                </c:pt>
                <c:pt idx="6">
                  <c:v>0</c:v>
                </c:pt>
                <c:pt idx="7">
                  <c:v>0</c:v>
                </c:pt>
                <c:pt idx="8">
                  <c:v>1.534</c:v>
                </c:pt>
                <c:pt idx="9">
                  <c:v>0.501</c:v>
                </c:pt>
                <c:pt idx="10">
                  <c:v>0</c:v>
                </c:pt>
                <c:pt idx="11">
                  <c:v>0.31309999999999999</c:v>
                </c:pt>
                <c:pt idx="12">
                  <c:v>0</c:v>
                </c:pt>
                <c:pt idx="13">
                  <c:v>0</c:v>
                </c:pt>
                <c:pt idx="14">
                  <c:v>0.37570000000000003</c:v>
                </c:pt>
                <c:pt idx="15">
                  <c:v>3.1300000000000001E-2</c:v>
                </c:pt>
                <c:pt idx="16">
                  <c:v>0</c:v>
                </c:pt>
                <c:pt idx="17">
                  <c:v>0</c:v>
                </c:pt>
                <c:pt idx="18">
                  <c:v>0.28179999999999999</c:v>
                </c:pt>
                <c:pt idx="19">
                  <c:v>0</c:v>
                </c:pt>
                <c:pt idx="20">
                  <c:v>0</c:v>
                </c:pt>
                <c:pt idx="21">
                  <c:v>0</c:v>
                </c:pt>
                <c:pt idx="22">
                  <c:v>0</c:v>
                </c:pt>
                <c:pt idx="23">
                  <c:v>0</c:v>
                </c:pt>
                <c:pt idx="24">
                  <c:v>0</c:v>
                </c:pt>
                <c:pt idx="25">
                  <c:v>0</c:v>
                </c:pt>
                <c:pt idx="26">
                  <c:v>0</c:v>
                </c:pt>
                <c:pt idx="27">
                  <c:v>1.5649999999999999</c:v>
                </c:pt>
                <c:pt idx="28">
                  <c:v>0</c:v>
                </c:pt>
                <c:pt idx="29">
                  <c:v>0</c:v>
                </c:pt>
                <c:pt idx="30">
                  <c:v>0</c:v>
                </c:pt>
                <c:pt idx="31">
                  <c:v>0</c:v>
                </c:pt>
                <c:pt idx="32">
                  <c:v>0</c:v>
                </c:pt>
                <c:pt idx="33">
                  <c:v>0</c:v>
                </c:pt>
                <c:pt idx="34">
                  <c:v>0</c:v>
                </c:pt>
                <c:pt idx="35">
                  <c:v>0</c:v>
                </c:pt>
                <c:pt idx="36">
                  <c:v>0</c:v>
                </c:pt>
                <c:pt idx="37">
                  <c:v>0</c:v>
                </c:pt>
                <c:pt idx="38">
                  <c:v>0.68879999999999997</c:v>
                </c:pt>
                <c:pt idx="39">
                  <c:v>0</c:v>
                </c:pt>
                <c:pt idx="40">
                  <c:v>0</c:v>
                </c:pt>
                <c:pt idx="41">
                  <c:v>1.9410000000000001</c:v>
                </c:pt>
                <c:pt idx="42">
                  <c:v>0.40700000000000003</c:v>
                </c:pt>
                <c:pt idx="43">
                  <c:v>0</c:v>
                </c:pt>
                <c:pt idx="44">
                  <c:v>0</c:v>
                </c:pt>
                <c:pt idx="45">
                  <c:v>0</c:v>
                </c:pt>
                <c:pt idx="46">
                  <c:v>0</c:v>
                </c:pt>
                <c:pt idx="47">
                  <c:v>0</c:v>
                </c:pt>
                <c:pt idx="48">
                  <c:v>1.9100000000000001</c:v>
                </c:pt>
                <c:pt idx="49">
                  <c:v>0.43830000000000002</c:v>
                </c:pt>
                <c:pt idx="50">
                  <c:v>2.254</c:v>
                </c:pt>
                <c:pt idx="51">
                  <c:v>0.12520000000000001</c:v>
                </c:pt>
                <c:pt idx="52">
                  <c:v>0</c:v>
                </c:pt>
                <c:pt idx="53">
                  <c:v>0</c:v>
                </c:pt>
                <c:pt idx="54">
                  <c:v>0</c:v>
                </c:pt>
                <c:pt idx="55">
                  <c:v>0</c:v>
                </c:pt>
                <c:pt idx="56">
                  <c:v>0</c:v>
                </c:pt>
                <c:pt idx="57">
                  <c:v>0.5323</c:v>
                </c:pt>
                <c:pt idx="58">
                  <c:v>0.68879999999999997</c:v>
                </c:pt>
                <c:pt idx="59">
                  <c:v>0</c:v>
                </c:pt>
                <c:pt idx="60">
                  <c:v>1.722</c:v>
                </c:pt>
                <c:pt idx="61">
                  <c:v>0</c:v>
                </c:pt>
                <c:pt idx="62">
                  <c:v>0</c:v>
                </c:pt>
                <c:pt idx="63">
                  <c:v>0.1565</c:v>
                </c:pt>
                <c:pt idx="64">
                  <c:v>0</c:v>
                </c:pt>
                <c:pt idx="65">
                  <c:v>0.68879999999999997</c:v>
                </c:pt>
                <c:pt idx="66">
                  <c:v>0</c:v>
                </c:pt>
                <c:pt idx="67">
                  <c:v>0</c:v>
                </c:pt>
                <c:pt idx="68">
                  <c:v>0</c:v>
                </c:pt>
                <c:pt idx="69">
                  <c:v>0</c:v>
                </c:pt>
                <c:pt idx="70">
                  <c:v>0</c:v>
                </c:pt>
                <c:pt idx="71">
                  <c:v>0</c:v>
                </c:pt>
                <c:pt idx="72">
                  <c:v>6.2600000000000003E-2</c:v>
                </c:pt>
                <c:pt idx="73">
                  <c:v>0</c:v>
                </c:pt>
                <c:pt idx="74">
                  <c:v>0.62619999999999998</c:v>
                </c:pt>
                <c:pt idx="75">
                  <c:v>0</c:v>
                </c:pt>
                <c:pt idx="76">
                  <c:v>2.7549999999999999</c:v>
                </c:pt>
                <c:pt idx="77">
                  <c:v>0.37570000000000003</c:v>
                </c:pt>
                <c:pt idx="78">
                  <c:v>0</c:v>
                </c:pt>
                <c:pt idx="79">
                  <c:v>1.3460000000000001</c:v>
                </c:pt>
                <c:pt idx="80">
                  <c:v>0</c:v>
                </c:pt>
                <c:pt idx="81">
                  <c:v>1.7850000000000001</c:v>
                </c:pt>
                <c:pt idx="82">
                  <c:v>3.1300000000000001E-2</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1.0329999999999999</c:v>
                </c:pt>
                <c:pt idx="100">
                  <c:v>0</c:v>
                </c:pt>
                <c:pt idx="101">
                  <c:v>0</c:v>
                </c:pt>
                <c:pt idx="102">
                  <c:v>6.45</c:v>
                </c:pt>
                <c:pt idx="103">
                  <c:v>0</c:v>
                </c:pt>
                <c:pt idx="104">
                  <c:v>0</c:v>
                </c:pt>
                <c:pt idx="105">
                  <c:v>0</c:v>
                </c:pt>
                <c:pt idx="106">
                  <c:v>0</c:v>
                </c:pt>
                <c:pt idx="107">
                  <c:v>0.65749999999999997</c:v>
                </c:pt>
                <c:pt idx="108">
                  <c:v>6.2600000000000003E-2</c:v>
                </c:pt>
                <c:pt idx="109">
                  <c:v>0</c:v>
                </c:pt>
                <c:pt idx="110">
                  <c:v>0</c:v>
                </c:pt>
                <c:pt idx="111">
                  <c:v>0</c:v>
                </c:pt>
                <c:pt idx="112">
                  <c:v>0</c:v>
                </c:pt>
                <c:pt idx="113">
                  <c:v>6.2600000000000003E-2</c:v>
                </c:pt>
                <c:pt idx="114">
                  <c:v>0</c:v>
                </c:pt>
                <c:pt idx="115">
                  <c:v>0</c:v>
                </c:pt>
                <c:pt idx="116">
                  <c:v>0</c:v>
                </c:pt>
                <c:pt idx="117">
                  <c:v>0.21920000000000001</c:v>
                </c:pt>
                <c:pt idx="118">
                  <c:v>2.9119999999999999</c:v>
                </c:pt>
                <c:pt idx="119">
                  <c:v>3.1300000000000001E-2</c:v>
                </c:pt>
                <c:pt idx="120">
                  <c:v>0</c:v>
                </c:pt>
                <c:pt idx="121">
                  <c:v>0.46959999999999996</c:v>
                </c:pt>
                <c:pt idx="122">
                  <c:v>0</c:v>
                </c:pt>
                <c:pt idx="123">
                  <c:v>0</c:v>
                </c:pt>
                <c:pt idx="124">
                  <c:v>0</c:v>
                </c:pt>
                <c:pt idx="125">
                  <c:v>0</c:v>
                </c:pt>
                <c:pt idx="126">
                  <c:v>0</c:v>
                </c:pt>
                <c:pt idx="127">
                  <c:v>0</c:v>
                </c:pt>
                <c:pt idx="128">
                  <c:v>0</c:v>
                </c:pt>
                <c:pt idx="129">
                  <c:v>0</c:v>
                </c:pt>
                <c:pt idx="130">
                  <c:v>0</c:v>
                </c:pt>
                <c:pt idx="131">
                  <c:v>0</c:v>
                </c:pt>
                <c:pt idx="132">
                  <c:v>0</c:v>
                </c:pt>
                <c:pt idx="133">
                  <c:v>6.2600000000000003E-2</c:v>
                </c:pt>
                <c:pt idx="134">
                  <c:v>0</c:v>
                </c:pt>
                <c:pt idx="135">
                  <c:v>0.2505</c:v>
                </c:pt>
                <c:pt idx="136">
                  <c:v>0</c:v>
                </c:pt>
                <c:pt idx="137">
                  <c:v>0</c:v>
                </c:pt>
                <c:pt idx="138">
                  <c:v>0</c:v>
                </c:pt>
                <c:pt idx="139">
                  <c:v>0</c:v>
                </c:pt>
                <c:pt idx="140">
                  <c:v>0</c:v>
                </c:pt>
                <c:pt idx="141">
                  <c:v>0.34439999999999998</c:v>
                </c:pt>
                <c:pt idx="142">
                  <c:v>0</c:v>
                </c:pt>
                <c:pt idx="143">
                  <c:v>0</c:v>
                </c:pt>
                <c:pt idx="144">
                  <c:v>0</c:v>
                </c:pt>
                <c:pt idx="145">
                  <c:v>0</c:v>
                </c:pt>
                <c:pt idx="146">
                  <c:v>4.008</c:v>
                </c:pt>
                <c:pt idx="147">
                  <c:v>2.411</c:v>
                </c:pt>
                <c:pt idx="148">
                  <c:v>3.444</c:v>
                </c:pt>
                <c:pt idx="149">
                  <c:v>0</c:v>
                </c:pt>
                <c:pt idx="150">
                  <c:v>0</c:v>
                </c:pt>
                <c:pt idx="151">
                  <c:v>0</c:v>
                </c:pt>
                <c:pt idx="152">
                  <c:v>0</c:v>
                </c:pt>
                <c:pt idx="153">
                  <c:v>0</c:v>
                </c:pt>
                <c:pt idx="154">
                  <c:v>0</c:v>
                </c:pt>
                <c:pt idx="155">
                  <c:v>1.0329999999999999</c:v>
                </c:pt>
                <c:pt idx="156">
                  <c:v>0.877</c:v>
                </c:pt>
                <c:pt idx="157">
                  <c:v>0.18790000000000001</c:v>
                </c:pt>
                <c:pt idx="158">
                  <c:v>3.1300000000000001E-2</c:v>
                </c:pt>
                <c:pt idx="159">
                  <c:v>0</c:v>
                </c:pt>
                <c:pt idx="160">
                  <c:v>0</c:v>
                </c:pt>
                <c:pt idx="161">
                  <c:v>0</c:v>
                </c:pt>
                <c:pt idx="162">
                  <c:v>0</c:v>
                </c:pt>
                <c:pt idx="163">
                  <c:v>0</c:v>
                </c:pt>
                <c:pt idx="164">
                  <c:v>0</c:v>
                </c:pt>
                <c:pt idx="165">
                  <c:v>0</c:v>
                </c:pt>
                <c:pt idx="166">
                  <c:v>3.1300000000000001E-2</c:v>
                </c:pt>
                <c:pt idx="167">
                  <c:v>2.254</c:v>
                </c:pt>
                <c:pt idx="168">
                  <c:v>2.129</c:v>
                </c:pt>
                <c:pt idx="169">
                  <c:v>0</c:v>
                </c:pt>
                <c:pt idx="170">
                  <c:v>0</c:v>
                </c:pt>
                <c:pt idx="171">
                  <c:v>0</c:v>
                </c:pt>
                <c:pt idx="172">
                  <c:v>0</c:v>
                </c:pt>
                <c:pt idx="173">
                  <c:v>0</c:v>
                </c:pt>
                <c:pt idx="174">
                  <c:v>0</c:v>
                </c:pt>
                <c:pt idx="175">
                  <c:v>1.9730000000000001</c:v>
                </c:pt>
                <c:pt idx="176">
                  <c:v>0</c:v>
                </c:pt>
                <c:pt idx="177">
                  <c:v>0.56359999999999999</c:v>
                </c:pt>
                <c:pt idx="178">
                  <c:v>1.44</c:v>
                </c:pt>
                <c:pt idx="179">
                  <c:v>0</c:v>
                </c:pt>
                <c:pt idx="180">
                  <c:v>0</c:v>
                </c:pt>
                <c:pt idx="181">
                  <c:v>1.9410000000000001</c:v>
                </c:pt>
                <c:pt idx="182">
                  <c:v>6.92</c:v>
                </c:pt>
                <c:pt idx="183">
                  <c:v>3.1300000000000001E-2</c:v>
                </c:pt>
                <c:pt idx="184">
                  <c:v>0</c:v>
                </c:pt>
                <c:pt idx="185">
                  <c:v>0</c:v>
                </c:pt>
                <c:pt idx="186">
                  <c:v>0.751</c:v>
                </c:pt>
                <c:pt idx="187">
                  <c:v>0</c:v>
                </c:pt>
                <c:pt idx="188">
                  <c:v>0</c:v>
                </c:pt>
                <c:pt idx="189">
                  <c:v>0</c:v>
                </c:pt>
                <c:pt idx="190">
                  <c:v>0</c:v>
                </c:pt>
                <c:pt idx="191">
                  <c:v>0</c:v>
                </c:pt>
                <c:pt idx="192">
                  <c:v>0</c:v>
                </c:pt>
                <c:pt idx="193">
                  <c:v>0.31309999999999999</c:v>
                </c:pt>
                <c:pt idx="194">
                  <c:v>1.879</c:v>
                </c:pt>
                <c:pt idx="195">
                  <c:v>0</c:v>
                </c:pt>
                <c:pt idx="196">
                  <c:v>0</c:v>
                </c:pt>
                <c:pt idx="197">
                  <c:v>0</c:v>
                </c:pt>
                <c:pt idx="198">
                  <c:v>1.44</c:v>
                </c:pt>
                <c:pt idx="199">
                  <c:v>0</c:v>
                </c:pt>
                <c:pt idx="200">
                  <c:v>0</c:v>
                </c:pt>
                <c:pt idx="201">
                  <c:v>0</c:v>
                </c:pt>
                <c:pt idx="202">
                  <c:v>0</c:v>
                </c:pt>
                <c:pt idx="203">
                  <c:v>0.31309999999999999</c:v>
                </c:pt>
                <c:pt idx="204">
                  <c:v>0.1565</c:v>
                </c:pt>
                <c:pt idx="205">
                  <c:v>0</c:v>
                </c:pt>
                <c:pt idx="206">
                  <c:v>0</c:v>
                </c:pt>
                <c:pt idx="207">
                  <c:v>0.12520000000000001</c:v>
                </c:pt>
                <c:pt idx="208">
                  <c:v>0</c:v>
                </c:pt>
                <c:pt idx="209">
                  <c:v>0</c:v>
                </c:pt>
                <c:pt idx="210">
                  <c:v>0</c:v>
                </c:pt>
                <c:pt idx="211">
                  <c:v>0</c:v>
                </c:pt>
                <c:pt idx="212">
                  <c:v>0</c:v>
                </c:pt>
                <c:pt idx="213">
                  <c:v>0.2505</c:v>
                </c:pt>
                <c:pt idx="214">
                  <c:v>5.7299999999999995</c:v>
                </c:pt>
                <c:pt idx="215">
                  <c:v>6.2600000000000003E-2</c:v>
                </c:pt>
                <c:pt idx="216">
                  <c:v>0</c:v>
                </c:pt>
                <c:pt idx="217">
                  <c:v>0</c:v>
                </c:pt>
                <c:pt idx="218">
                  <c:v>6.2600000000000003E-2</c:v>
                </c:pt>
                <c:pt idx="219">
                  <c:v>0.46959999999999996</c:v>
                </c:pt>
                <c:pt idx="220">
                  <c:v>9.3899999999999997E-2</c:v>
                </c:pt>
                <c:pt idx="221">
                  <c:v>0</c:v>
                </c:pt>
                <c:pt idx="222">
                  <c:v>0</c:v>
                </c:pt>
                <c:pt idx="223">
                  <c:v>0</c:v>
                </c:pt>
                <c:pt idx="224">
                  <c:v>0.28179999999999999</c:v>
                </c:pt>
                <c:pt idx="225">
                  <c:v>0</c:v>
                </c:pt>
                <c:pt idx="226">
                  <c:v>0</c:v>
                </c:pt>
                <c:pt idx="227">
                  <c:v>0</c:v>
                </c:pt>
                <c:pt idx="228">
                  <c:v>0</c:v>
                </c:pt>
                <c:pt idx="229">
                  <c:v>0</c:v>
                </c:pt>
                <c:pt idx="230">
                  <c:v>0</c:v>
                </c:pt>
                <c:pt idx="231">
                  <c:v>0.43830000000000002</c:v>
                </c:pt>
                <c:pt idx="232">
                  <c:v>3.1300000000000001E-2</c:v>
                </c:pt>
                <c:pt idx="233">
                  <c:v>0</c:v>
                </c:pt>
                <c:pt idx="234">
                  <c:v>0</c:v>
                </c:pt>
                <c:pt idx="235">
                  <c:v>0</c:v>
                </c:pt>
                <c:pt idx="236">
                  <c:v>0</c:v>
                </c:pt>
                <c:pt idx="237">
                  <c:v>0</c:v>
                </c:pt>
                <c:pt idx="238">
                  <c:v>0.12520000000000001</c:v>
                </c:pt>
                <c:pt idx="239">
                  <c:v>1.3779999999999999</c:v>
                </c:pt>
                <c:pt idx="240">
                  <c:v>0</c:v>
                </c:pt>
                <c:pt idx="241">
                  <c:v>0</c:v>
                </c:pt>
                <c:pt idx="242">
                  <c:v>0</c:v>
                </c:pt>
                <c:pt idx="243">
                  <c:v>0</c:v>
                </c:pt>
                <c:pt idx="244">
                  <c:v>0</c:v>
                </c:pt>
                <c:pt idx="245">
                  <c:v>0.97100000000000009</c:v>
                </c:pt>
                <c:pt idx="246">
                  <c:v>3.1300000000000001E-2</c:v>
                </c:pt>
                <c:pt idx="247">
                  <c:v>0</c:v>
                </c:pt>
                <c:pt idx="248">
                  <c:v>0.21920000000000001</c:v>
                </c:pt>
                <c:pt idx="249">
                  <c:v>6.2600000000000003E-2</c:v>
                </c:pt>
                <c:pt idx="250">
                  <c:v>0</c:v>
                </c:pt>
                <c:pt idx="251">
                  <c:v>0.21920000000000001</c:v>
                </c:pt>
                <c:pt idx="252">
                  <c:v>0</c:v>
                </c:pt>
                <c:pt idx="253">
                  <c:v>0</c:v>
                </c:pt>
                <c:pt idx="254">
                  <c:v>0</c:v>
                </c:pt>
                <c:pt idx="255">
                  <c:v>0</c:v>
                </c:pt>
                <c:pt idx="256">
                  <c:v>0</c:v>
                </c:pt>
                <c:pt idx="257">
                  <c:v>0</c:v>
                </c:pt>
                <c:pt idx="258">
                  <c:v>0</c:v>
                </c:pt>
                <c:pt idx="259">
                  <c:v>0</c:v>
                </c:pt>
                <c:pt idx="260">
                  <c:v>0</c:v>
                </c:pt>
                <c:pt idx="261">
                  <c:v>0</c:v>
                </c:pt>
                <c:pt idx="262">
                  <c:v>0.1565</c:v>
                </c:pt>
                <c:pt idx="263">
                  <c:v>3.1300000000000001E-2</c:v>
                </c:pt>
                <c:pt idx="264">
                  <c:v>0</c:v>
                </c:pt>
                <c:pt idx="265">
                  <c:v>0</c:v>
                </c:pt>
                <c:pt idx="266">
                  <c:v>0.34439999999999998</c:v>
                </c:pt>
                <c:pt idx="267">
                  <c:v>0</c:v>
                </c:pt>
                <c:pt idx="268">
                  <c:v>1.9410000000000001</c:v>
                </c:pt>
                <c:pt idx="269">
                  <c:v>2.004</c:v>
                </c:pt>
                <c:pt idx="270">
                  <c:v>0</c:v>
                </c:pt>
                <c:pt idx="271">
                  <c:v>1.19</c:v>
                </c:pt>
                <c:pt idx="272">
                  <c:v>8.17</c:v>
                </c:pt>
                <c:pt idx="273">
                  <c:v>0</c:v>
                </c:pt>
                <c:pt idx="274">
                  <c:v>0</c:v>
                </c:pt>
                <c:pt idx="275">
                  <c:v>0</c:v>
                </c:pt>
                <c:pt idx="276">
                  <c:v>0</c:v>
                </c:pt>
                <c:pt idx="277">
                  <c:v>1.7850000000000001</c:v>
                </c:pt>
                <c:pt idx="278">
                  <c:v>3.726</c:v>
                </c:pt>
                <c:pt idx="279">
                  <c:v>0</c:v>
                </c:pt>
                <c:pt idx="280">
                  <c:v>0.84499999999999997</c:v>
                </c:pt>
                <c:pt idx="281">
                  <c:v>2.9430000000000001</c:v>
                </c:pt>
                <c:pt idx="282">
                  <c:v>2.5989999999999998</c:v>
                </c:pt>
                <c:pt idx="283">
                  <c:v>3.1300000000000001E-2</c:v>
                </c:pt>
                <c:pt idx="284">
                  <c:v>0</c:v>
                </c:pt>
                <c:pt idx="285">
                  <c:v>0</c:v>
                </c:pt>
                <c:pt idx="286">
                  <c:v>0</c:v>
                </c:pt>
                <c:pt idx="287">
                  <c:v>0.93900000000000006</c:v>
                </c:pt>
                <c:pt idx="288">
                  <c:v>0</c:v>
                </c:pt>
                <c:pt idx="289">
                  <c:v>0</c:v>
                </c:pt>
                <c:pt idx="290">
                  <c:v>0</c:v>
                </c:pt>
                <c:pt idx="291">
                  <c:v>0</c:v>
                </c:pt>
                <c:pt idx="292">
                  <c:v>0</c:v>
                </c:pt>
                <c:pt idx="293">
                  <c:v>0</c:v>
                </c:pt>
                <c:pt idx="294">
                  <c:v>0</c:v>
                </c:pt>
                <c:pt idx="295">
                  <c:v>0.501</c:v>
                </c:pt>
                <c:pt idx="296">
                  <c:v>0</c:v>
                </c:pt>
                <c:pt idx="297">
                  <c:v>3.1300000000000001E-2</c:v>
                </c:pt>
                <c:pt idx="298">
                  <c:v>1.0329999999999999</c:v>
                </c:pt>
                <c:pt idx="299">
                  <c:v>3.1300000000000001E-2</c:v>
                </c:pt>
                <c:pt idx="300">
                  <c:v>0.751</c:v>
                </c:pt>
                <c:pt idx="301">
                  <c:v>0</c:v>
                </c:pt>
                <c:pt idx="302">
                  <c:v>1.1579999999999999</c:v>
                </c:pt>
                <c:pt idx="303">
                  <c:v>0</c:v>
                </c:pt>
                <c:pt idx="304">
                  <c:v>0</c:v>
                </c:pt>
                <c:pt idx="305">
                  <c:v>3.1300000000000001E-2</c:v>
                </c:pt>
                <c:pt idx="306">
                  <c:v>0</c:v>
                </c:pt>
                <c:pt idx="307">
                  <c:v>3.4750000000000001</c:v>
                </c:pt>
                <c:pt idx="308">
                  <c:v>1.597</c:v>
                </c:pt>
                <c:pt idx="309">
                  <c:v>0</c:v>
                </c:pt>
                <c:pt idx="310">
                  <c:v>0</c:v>
                </c:pt>
                <c:pt idx="311">
                  <c:v>0</c:v>
                </c:pt>
                <c:pt idx="312">
                  <c:v>0</c:v>
                </c:pt>
                <c:pt idx="313">
                  <c:v>0</c:v>
                </c:pt>
                <c:pt idx="314">
                  <c:v>1.2210000000000001</c:v>
                </c:pt>
                <c:pt idx="315">
                  <c:v>0.84499999999999997</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0.18790000000000001</c:v>
                </c:pt>
                <c:pt idx="356">
                  <c:v>0</c:v>
                </c:pt>
                <c:pt idx="357">
                  <c:v>0</c:v>
                </c:pt>
                <c:pt idx="358">
                  <c:v>0</c:v>
                </c:pt>
                <c:pt idx="359">
                  <c:v>1.0649999999999999</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3.1300000000000001E-2</c:v>
                </c:pt>
                <c:pt idx="376">
                  <c:v>0</c:v>
                </c:pt>
                <c:pt idx="377">
                  <c:v>0</c:v>
                </c:pt>
                <c:pt idx="378">
                  <c:v>0</c:v>
                </c:pt>
                <c:pt idx="379">
                  <c:v>1.1579999999999999</c:v>
                </c:pt>
                <c:pt idx="380">
                  <c:v>3.1300000000000001E-2</c:v>
                </c:pt>
                <c:pt idx="381">
                  <c:v>0</c:v>
                </c:pt>
                <c:pt idx="382">
                  <c:v>1.252</c:v>
                </c:pt>
                <c:pt idx="383">
                  <c:v>0</c:v>
                </c:pt>
                <c:pt idx="384">
                  <c:v>0</c:v>
                </c:pt>
                <c:pt idx="385">
                  <c:v>3.1300000000000001E-2</c:v>
                </c:pt>
                <c:pt idx="386">
                  <c:v>0.12520000000000001</c:v>
                </c:pt>
                <c:pt idx="387">
                  <c:v>0</c:v>
                </c:pt>
                <c:pt idx="388">
                  <c:v>0.5323</c:v>
                </c:pt>
                <c:pt idx="389">
                  <c:v>0</c:v>
                </c:pt>
                <c:pt idx="390">
                  <c:v>0</c:v>
                </c:pt>
                <c:pt idx="391">
                  <c:v>0</c:v>
                </c:pt>
                <c:pt idx="392">
                  <c:v>0</c:v>
                </c:pt>
                <c:pt idx="393">
                  <c:v>0</c:v>
                </c:pt>
                <c:pt idx="394">
                  <c:v>0</c:v>
                </c:pt>
                <c:pt idx="395">
                  <c:v>0</c:v>
                </c:pt>
                <c:pt idx="396">
                  <c:v>0</c:v>
                </c:pt>
                <c:pt idx="397">
                  <c:v>0</c:v>
                </c:pt>
                <c:pt idx="398">
                  <c:v>0.78300000000000003</c:v>
                </c:pt>
                <c:pt idx="399">
                  <c:v>0</c:v>
                </c:pt>
                <c:pt idx="400">
                  <c:v>9.3899999999999997E-2</c:v>
                </c:pt>
                <c:pt idx="401">
                  <c:v>0</c:v>
                </c:pt>
                <c:pt idx="402">
                  <c:v>0</c:v>
                </c:pt>
                <c:pt idx="403">
                  <c:v>0</c:v>
                </c:pt>
                <c:pt idx="404">
                  <c:v>0</c:v>
                </c:pt>
                <c:pt idx="405">
                  <c:v>0</c:v>
                </c:pt>
                <c:pt idx="406">
                  <c:v>0</c:v>
                </c:pt>
                <c:pt idx="407">
                  <c:v>0</c:v>
                </c:pt>
                <c:pt idx="408">
                  <c:v>0</c:v>
                </c:pt>
                <c:pt idx="409">
                  <c:v>0.81400000000000006</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0.40700000000000003</c:v>
                </c:pt>
                <c:pt idx="434">
                  <c:v>0</c:v>
                </c:pt>
                <c:pt idx="435">
                  <c:v>0</c:v>
                </c:pt>
                <c:pt idx="436">
                  <c:v>0</c:v>
                </c:pt>
                <c:pt idx="437">
                  <c:v>0</c:v>
                </c:pt>
                <c:pt idx="438">
                  <c:v>0</c:v>
                </c:pt>
                <c:pt idx="439">
                  <c:v>9.3899999999999997E-2</c:v>
                </c:pt>
                <c:pt idx="440">
                  <c:v>0</c:v>
                </c:pt>
                <c:pt idx="441">
                  <c:v>0</c:v>
                </c:pt>
                <c:pt idx="442">
                  <c:v>0</c:v>
                </c:pt>
                <c:pt idx="443">
                  <c:v>0</c:v>
                </c:pt>
              </c:numCache>
            </c:numRef>
          </c:val>
        </c:ser>
        <c:dLbls>
          <c:showLegendKey val="0"/>
          <c:showVal val="0"/>
          <c:showCatName val="0"/>
          <c:showSerName val="0"/>
          <c:showPercent val="0"/>
          <c:showBubbleSize val="0"/>
        </c:dLbls>
        <c:gapWidth val="150"/>
        <c:axId val="81187200"/>
        <c:axId val="81188736"/>
      </c:barChart>
      <c:scatterChart>
        <c:scatterStyle val="lineMarker"/>
        <c:varyColors val="0"/>
        <c:ser>
          <c:idx val="1"/>
          <c:order val="1"/>
          <c:tx>
            <c:v>Soil Moisture</c:v>
          </c:tx>
          <c:spPr>
            <a:ln w="28575">
              <a:noFill/>
            </a:ln>
          </c:spPr>
          <c:marker>
            <c:symbol val="star"/>
            <c:size val="5"/>
            <c:spPr>
              <a:ln>
                <a:solidFill>
                  <a:schemeClr val="tx1"/>
                </a:solidFill>
              </a:ln>
            </c:spPr>
          </c:marker>
          <c:xVal>
            <c:numRef>
              <c:f>total!$A$2:$A$445</c:f>
              <c:numCache>
                <c:formatCode>[$-409]d\-mmm\-yy;@</c:formatCode>
                <c:ptCount val="444"/>
                <c:pt idx="0">
                  <c:v>40330</c:v>
                </c:pt>
                <c:pt idx="1">
                  <c:v>40331</c:v>
                </c:pt>
                <c:pt idx="2">
                  <c:v>40332</c:v>
                </c:pt>
                <c:pt idx="3">
                  <c:v>40333</c:v>
                </c:pt>
                <c:pt idx="4">
                  <c:v>40334</c:v>
                </c:pt>
                <c:pt idx="5">
                  <c:v>40335</c:v>
                </c:pt>
                <c:pt idx="6">
                  <c:v>40336</c:v>
                </c:pt>
                <c:pt idx="7">
                  <c:v>40337</c:v>
                </c:pt>
                <c:pt idx="8">
                  <c:v>40338</c:v>
                </c:pt>
                <c:pt idx="9">
                  <c:v>40339</c:v>
                </c:pt>
                <c:pt idx="10">
                  <c:v>40340</c:v>
                </c:pt>
                <c:pt idx="11">
                  <c:v>40341</c:v>
                </c:pt>
                <c:pt idx="12">
                  <c:v>40342</c:v>
                </c:pt>
                <c:pt idx="13">
                  <c:v>40343</c:v>
                </c:pt>
                <c:pt idx="14">
                  <c:v>40344</c:v>
                </c:pt>
                <c:pt idx="15">
                  <c:v>40345</c:v>
                </c:pt>
                <c:pt idx="16">
                  <c:v>40346</c:v>
                </c:pt>
                <c:pt idx="17">
                  <c:v>40347</c:v>
                </c:pt>
                <c:pt idx="18">
                  <c:v>40348</c:v>
                </c:pt>
                <c:pt idx="19">
                  <c:v>40349</c:v>
                </c:pt>
                <c:pt idx="20">
                  <c:v>40350</c:v>
                </c:pt>
                <c:pt idx="21">
                  <c:v>40351</c:v>
                </c:pt>
                <c:pt idx="22">
                  <c:v>40352</c:v>
                </c:pt>
                <c:pt idx="23">
                  <c:v>40353</c:v>
                </c:pt>
                <c:pt idx="24">
                  <c:v>40354</c:v>
                </c:pt>
                <c:pt idx="25">
                  <c:v>40355</c:v>
                </c:pt>
                <c:pt idx="26">
                  <c:v>40356</c:v>
                </c:pt>
                <c:pt idx="27">
                  <c:v>40357</c:v>
                </c:pt>
                <c:pt idx="28">
                  <c:v>40358</c:v>
                </c:pt>
                <c:pt idx="29">
                  <c:v>40359</c:v>
                </c:pt>
                <c:pt idx="30">
                  <c:v>40360</c:v>
                </c:pt>
                <c:pt idx="31">
                  <c:v>40361</c:v>
                </c:pt>
                <c:pt idx="32">
                  <c:v>40362</c:v>
                </c:pt>
                <c:pt idx="33">
                  <c:v>40363</c:v>
                </c:pt>
                <c:pt idx="34">
                  <c:v>40364</c:v>
                </c:pt>
                <c:pt idx="35">
                  <c:v>40365</c:v>
                </c:pt>
                <c:pt idx="36">
                  <c:v>40366</c:v>
                </c:pt>
                <c:pt idx="37">
                  <c:v>40367</c:v>
                </c:pt>
                <c:pt idx="38">
                  <c:v>40368</c:v>
                </c:pt>
                <c:pt idx="39">
                  <c:v>40369</c:v>
                </c:pt>
                <c:pt idx="40">
                  <c:v>40370</c:v>
                </c:pt>
                <c:pt idx="41">
                  <c:v>40371</c:v>
                </c:pt>
                <c:pt idx="42">
                  <c:v>40372</c:v>
                </c:pt>
                <c:pt idx="43">
                  <c:v>40373</c:v>
                </c:pt>
                <c:pt idx="44">
                  <c:v>40374</c:v>
                </c:pt>
                <c:pt idx="45">
                  <c:v>40375</c:v>
                </c:pt>
                <c:pt idx="46">
                  <c:v>40376</c:v>
                </c:pt>
                <c:pt idx="47">
                  <c:v>40377</c:v>
                </c:pt>
                <c:pt idx="48">
                  <c:v>40378</c:v>
                </c:pt>
                <c:pt idx="49">
                  <c:v>40379</c:v>
                </c:pt>
                <c:pt idx="50">
                  <c:v>40380</c:v>
                </c:pt>
                <c:pt idx="51">
                  <c:v>40381</c:v>
                </c:pt>
                <c:pt idx="52">
                  <c:v>40382</c:v>
                </c:pt>
                <c:pt idx="53">
                  <c:v>40383</c:v>
                </c:pt>
                <c:pt idx="54">
                  <c:v>40384</c:v>
                </c:pt>
                <c:pt idx="55">
                  <c:v>40385</c:v>
                </c:pt>
                <c:pt idx="56">
                  <c:v>40386</c:v>
                </c:pt>
                <c:pt idx="57">
                  <c:v>40387</c:v>
                </c:pt>
                <c:pt idx="58">
                  <c:v>40388</c:v>
                </c:pt>
                <c:pt idx="59">
                  <c:v>40389</c:v>
                </c:pt>
                <c:pt idx="60">
                  <c:v>40390</c:v>
                </c:pt>
                <c:pt idx="61">
                  <c:v>40391</c:v>
                </c:pt>
                <c:pt idx="62">
                  <c:v>40392</c:v>
                </c:pt>
                <c:pt idx="63">
                  <c:v>40393</c:v>
                </c:pt>
                <c:pt idx="64">
                  <c:v>40394</c:v>
                </c:pt>
                <c:pt idx="65">
                  <c:v>40395</c:v>
                </c:pt>
                <c:pt idx="66">
                  <c:v>40396</c:v>
                </c:pt>
                <c:pt idx="67">
                  <c:v>40397</c:v>
                </c:pt>
                <c:pt idx="68">
                  <c:v>40398</c:v>
                </c:pt>
                <c:pt idx="69">
                  <c:v>40399</c:v>
                </c:pt>
                <c:pt idx="70">
                  <c:v>40400</c:v>
                </c:pt>
                <c:pt idx="71">
                  <c:v>40401</c:v>
                </c:pt>
                <c:pt idx="72">
                  <c:v>40402</c:v>
                </c:pt>
                <c:pt idx="73">
                  <c:v>40403</c:v>
                </c:pt>
                <c:pt idx="74">
                  <c:v>40404</c:v>
                </c:pt>
                <c:pt idx="75">
                  <c:v>40405</c:v>
                </c:pt>
                <c:pt idx="76">
                  <c:v>40406</c:v>
                </c:pt>
                <c:pt idx="77">
                  <c:v>40407</c:v>
                </c:pt>
                <c:pt idx="78">
                  <c:v>40408</c:v>
                </c:pt>
                <c:pt idx="79">
                  <c:v>40409</c:v>
                </c:pt>
                <c:pt idx="80">
                  <c:v>40410</c:v>
                </c:pt>
                <c:pt idx="81">
                  <c:v>40411</c:v>
                </c:pt>
                <c:pt idx="82">
                  <c:v>40412</c:v>
                </c:pt>
                <c:pt idx="83">
                  <c:v>40413</c:v>
                </c:pt>
                <c:pt idx="84">
                  <c:v>40414</c:v>
                </c:pt>
                <c:pt idx="85">
                  <c:v>40415</c:v>
                </c:pt>
                <c:pt idx="86">
                  <c:v>40416</c:v>
                </c:pt>
                <c:pt idx="87">
                  <c:v>40417</c:v>
                </c:pt>
                <c:pt idx="88">
                  <c:v>40418</c:v>
                </c:pt>
                <c:pt idx="89">
                  <c:v>40419</c:v>
                </c:pt>
                <c:pt idx="90">
                  <c:v>40420</c:v>
                </c:pt>
                <c:pt idx="91">
                  <c:v>40421</c:v>
                </c:pt>
                <c:pt idx="92">
                  <c:v>40422</c:v>
                </c:pt>
                <c:pt idx="93">
                  <c:v>40423</c:v>
                </c:pt>
                <c:pt idx="94">
                  <c:v>40424</c:v>
                </c:pt>
                <c:pt idx="95">
                  <c:v>40425</c:v>
                </c:pt>
                <c:pt idx="96">
                  <c:v>40426</c:v>
                </c:pt>
                <c:pt idx="97">
                  <c:v>40427</c:v>
                </c:pt>
                <c:pt idx="98">
                  <c:v>40428</c:v>
                </c:pt>
                <c:pt idx="99">
                  <c:v>40429</c:v>
                </c:pt>
                <c:pt idx="100">
                  <c:v>40430</c:v>
                </c:pt>
                <c:pt idx="101">
                  <c:v>40431</c:v>
                </c:pt>
                <c:pt idx="102">
                  <c:v>40432</c:v>
                </c:pt>
                <c:pt idx="103">
                  <c:v>40433</c:v>
                </c:pt>
                <c:pt idx="104">
                  <c:v>40434</c:v>
                </c:pt>
                <c:pt idx="105">
                  <c:v>40435</c:v>
                </c:pt>
                <c:pt idx="106">
                  <c:v>40436</c:v>
                </c:pt>
                <c:pt idx="107">
                  <c:v>40437</c:v>
                </c:pt>
                <c:pt idx="108">
                  <c:v>40438</c:v>
                </c:pt>
                <c:pt idx="109">
                  <c:v>40439</c:v>
                </c:pt>
                <c:pt idx="110">
                  <c:v>40440</c:v>
                </c:pt>
                <c:pt idx="111">
                  <c:v>40441</c:v>
                </c:pt>
                <c:pt idx="112">
                  <c:v>40442</c:v>
                </c:pt>
                <c:pt idx="113">
                  <c:v>40443</c:v>
                </c:pt>
                <c:pt idx="114">
                  <c:v>40444</c:v>
                </c:pt>
                <c:pt idx="115">
                  <c:v>40445</c:v>
                </c:pt>
                <c:pt idx="116">
                  <c:v>40446</c:v>
                </c:pt>
                <c:pt idx="117">
                  <c:v>40447</c:v>
                </c:pt>
                <c:pt idx="118">
                  <c:v>40448</c:v>
                </c:pt>
                <c:pt idx="119">
                  <c:v>40449</c:v>
                </c:pt>
                <c:pt idx="120">
                  <c:v>40450</c:v>
                </c:pt>
                <c:pt idx="121">
                  <c:v>40451</c:v>
                </c:pt>
                <c:pt idx="122">
                  <c:v>40452</c:v>
                </c:pt>
                <c:pt idx="123">
                  <c:v>40453</c:v>
                </c:pt>
                <c:pt idx="124">
                  <c:v>40454</c:v>
                </c:pt>
                <c:pt idx="125">
                  <c:v>40455</c:v>
                </c:pt>
                <c:pt idx="126">
                  <c:v>40456</c:v>
                </c:pt>
                <c:pt idx="127">
                  <c:v>40457</c:v>
                </c:pt>
                <c:pt idx="128">
                  <c:v>40458</c:v>
                </c:pt>
                <c:pt idx="129">
                  <c:v>40459</c:v>
                </c:pt>
                <c:pt idx="130">
                  <c:v>40460</c:v>
                </c:pt>
                <c:pt idx="131">
                  <c:v>40461</c:v>
                </c:pt>
                <c:pt idx="132">
                  <c:v>40462</c:v>
                </c:pt>
                <c:pt idx="133">
                  <c:v>40463</c:v>
                </c:pt>
                <c:pt idx="134">
                  <c:v>40464</c:v>
                </c:pt>
                <c:pt idx="135">
                  <c:v>40465</c:v>
                </c:pt>
                <c:pt idx="136">
                  <c:v>40466</c:v>
                </c:pt>
                <c:pt idx="137">
                  <c:v>40467</c:v>
                </c:pt>
                <c:pt idx="138">
                  <c:v>40468</c:v>
                </c:pt>
                <c:pt idx="139">
                  <c:v>40469</c:v>
                </c:pt>
                <c:pt idx="140">
                  <c:v>40470</c:v>
                </c:pt>
                <c:pt idx="141">
                  <c:v>40471</c:v>
                </c:pt>
                <c:pt idx="142">
                  <c:v>40472</c:v>
                </c:pt>
                <c:pt idx="143">
                  <c:v>40473</c:v>
                </c:pt>
                <c:pt idx="144">
                  <c:v>40474</c:v>
                </c:pt>
                <c:pt idx="145">
                  <c:v>40475</c:v>
                </c:pt>
                <c:pt idx="146">
                  <c:v>40476</c:v>
                </c:pt>
                <c:pt idx="147">
                  <c:v>40477</c:v>
                </c:pt>
                <c:pt idx="148">
                  <c:v>40478</c:v>
                </c:pt>
                <c:pt idx="149">
                  <c:v>40479</c:v>
                </c:pt>
                <c:pt idx="150">
                  <c:v>40480</c:v>
                </c:pt>
                <c:pt idx="151">
                  <c:v>40481</c:v>
                </c:pt>
                <c:pt idx="152">
                  <c:v>40482</c:v>
                </c:pt>
                <c:pt idx="153">
                  <c:v>40483</c:v>
                </c:pt>
                <c:pt idx="154">
                  <c:v>40484</c:v>
                </c:pt>
                <c:pt idx="155">
                  <c:v>40485</c:v>
                </c:pt>
                <c:pt idx="156">
                  <c:v>40486</c:v>
                </c:pt>
                <c:pt idx="157">
                  <c:v>40487</c:v>
                </c:pt>
                <c:pt idx="158">
                  <c:v>40488</c:v>
                </c:pt>
                <c:pt idx="159">
                  <c:v>40489</c:v>
                </c:pt>
                <c:pt idx="160">
                  <c:v>40490</c:v>
                </c:pt>
                <c:pt idx="161">
                  <c:v>40491</c:v>
                </c:pt>
                <c:pt idx="162">
                  <c:v>40492</c:v>
                </c:pt>
                <c:pt idx="163">
                  <c:v>40493</c:v>
                </c:pt>
                <c:pt idx="164">
                  <c:v>40494</c:v>
                </c:pt>
                <c:pt idx="165">
                  <c:v>40495</c:v>
                </c:pt>
                <c:pt idx="166">
                  <c:v>40496</c:v>
                </c:pt>
                <c:pt idx="167">
                  <c:v>40497</c:v>
                </c:pt>
                <c:pt idx="168">
                  <c:v>40498</c:v>
                </c:pt>
                <c:pt idx="169">
                  <c:v>40499</c:v>
                </c:pt>
                <c:pt idx="170">
                  <c:v>40500</c:v>
                </c:pt>
                <c:pt idx="171">
                  <c:v>40501</c:v>
                </c:pt>
                <c:pt idx="172">
                  <c:v>40502</c:v>
                </c:pt>
                <c:pt idx="173">
                  <c:v>40503</c:v>
                </c:pt>
                <c:pt idx="174">
                  <c:v>40504</c:v>
                </c:pt>
                <c:pt idx="175">
                  <c:v>40505</c:v>
                </c:pt>
                <c:pt idx="176">
                  <c:v>40506</c:v>
                </c:pt>
                <c:pt idx="177">
                  <c:v>40507</c:v>
                </c:pt>
                <c:pt idx="178">
                  <c:v>40508</c:v>
                </c:pt>
                <c:pt idx="179">
                  <c:v>40509</c:v>
                </c:pt>
                <c:pt idx="180">
                  <c:v>40510</c:v>
                </c:pt>
                <c:pt idx="181">
                  <c:v>40511</c:v>
                </c:pt>
                <c:pt idx="182">
                  <c:v>40512</c:v>
                </c:pt>
                <c:pt idx="183">
                  <c:v>40513</c:v>
                </c:pt>
                <c:pt idx="184">
                  <c:v>40514</c:v>
                </c:pt>
                <c:pt idx="185">
                  <c:v>40515</c:v>
                </c:pt>
                <c:pt idx="186">
                  <c:v>40516</c:v>
                </c:pt>
                <c:pt idx="187">
                  <c:v>40517</c:v>
                </c:pt>
                <c:pt idx="188">
                  <c:v>40518</c:v>
                </c:pt>
                <c:pt idx="189">
                  <c:v>40519</c:v>
                </c:pt>
                <c:pt idx="190">
                  <c:v>40520</c:v>
                </c:pt>
                <c:pt idx="191">
                  <c:v>40521</c:v>
                </c:pt>
                <c:pt idx="192">
                  <c:v>40522</c:v>
                </c:pt>
                <c:pt idx="193">
                  <c:v>40523</c:v>
                </c:pt>
                <c:pt idx="194">
                  <c:v>40524</c:v>
                </c:pt>
                <c:pt idx="195">
                  <c:v>40525</c:v>
                </c:pt>
                <c:pt idx="196">
                  <c:v>40526</c:v>
                </c:pt>
                <c:pt idx="197">
                  <c:v>40527</c:v>
                </c:pt>
                <c:pt idx="198">
                  <c:v>40528</c:v>
                </c:pt>
                <c:pt idx="199">
                  <c:v>40529</c:v>
                </c:pt>
                <c:pt idx="200">
                  <c:v>40530</c:v>
                </c:pt>
                <c:pt idx="201">
                  <c:v>40531</c:v>
                </c:pt>
                <c:pt idx="202">
                  <c:v>40532</c:v>
                </c:pt>
                <c:pt idx="203">
                  <c:v>40533</c:v>
                </c:pt>
                <c:pt idx="204">
                  <c:v>40534</c:v>
                </c:pt>
                <c:pt idx="205">
                  <c:v>40535</c:v>
                </c:pt>
                <c:pt idx="206">
                  <c:v>40536</c:v>
                </c:pt>
                <c:pt idx="207">
                  <c:v>40537</c:v>
                </c:pt>
                <c:pt idx="208">
                  <c:v>40538</c:v>
                </c:pt>
                <c:pt idx="209">
                  <c:v>40539</c:v>
                </c:pt>
                <c:pt idx="210">
                  <c:v>40540</c:v>
                </c:pt>
                <c:pt idx="211">
                  <c:v>40541</c:v>
                </c:pt>
                <c:pt idx="212">
                  <c:v>40542</c:v>
                </c:pt>
                <c:pt idx="213">
                  <c:v>40543</c:v>
                </c:pt>
                <c:pt idx="214">
                  <c:v>40544</c:v>
                </c:pt>
                <c:pt idx="215">
                  <c:v>40545</c:v>
                </c:pt>
                <c:pt idx="216">
                  <c:v>40546</c:v>
                </c:pt>
                <c:pt idx="217">
                  <c:v>40547</c:v>
                </c:pt>
                <c:pt idx="218">
                  <c:v>40548</c:v>
                </c:pt>
                <c:pt idx="219">
                  <c:v>40549</c:v>
                </c:pt>
                <c:pt idx="220">
                  <c:v>40550</c:v>
                </c:pt>
                <c:pt idx="221">
                  <c:v>40551</c:v>
                </c:pt>
                <c:pt idx="222">
                  <c:v>40552</c:v>
                </c:pt>
                <c:pt idx="223">
                  <c:v>40553</c:v>
                </c:pt>
                <c:pt idx="224">
                  <c:v>40554</c:v>
                </c:pt>
                <c:pt idx="225">
                  <c:v>40555</c:v>
                </c:pt>
                <c:pt idx="226">
                  <c:v>40556</c:v>
                </c:pt>
                <c:pt idx="227">
                  <c:v>40557</c:v>
                </c:pt>
                <c:pt idx="228">
                  <c:v>40558</c:v>
                </c:pt>
                <c:pt idx="229">
                  <c:v>40559</c:v>
                </c:pt>
                <c:pt idx="230">
                  <c:v>40560</c:v>
                </c:pt>
                <c:pt idx="231">
                  <c:v>40561</c:v>
                </c:pt>
                <c:pt idx="232">
                  <c:v>40562</c:v>
                </c:pt>
                <c:pt idx="233">
                  <c:v>40563</c:v>
                </c:pt>
                <c:pt idx="234">
                  <c:v>40564</c:v>
                </c:pt>
                <c:pt idx="235">
                  <c:v>40565</c:v>
                </c:pt>
                <c:pt idx="236">
                  <c:v>40566</c:v>
                </c:pt>
                <c:pt idx="237">
                  <c:v>40567</c:v>
                </c:pt>
                <c:pt idx="238">
                  <c:v>40568</c:v>
                </c:pt>
                <c:pt idx="239">
                  <c:v>40569</c:v>
                </c:pt>
                <c:pt idx="240">
                  <c:v>40570</c:v>
                </c:pt>
                <c:pt idx="241">
                  <c:v>40571</c:v>
                </c:pt>
                <c:pt idx="242">
                  <c:v>40572</c:v>
                </c:pt>
                <c:pt idx="243">
                  <c:v>40573</c:v>
                </c:pt>
                <c:pt idx="244">
                  <c:v>40574</c:v>
                </c:pt>
                <c:pt idx="245">
                  <c:v>40575</c:v>
                </c:pt>
                <c:pt idx="246">
                  <c:v>40576</c:v>
                </c:pt>
                <c:pt idx="247">
                  <c:v>40577</c:v>
                </c:pt>
                <c:pt idx="248">
                  <c:v>40578</c:v>
                </c:pt>
                <c:pt idx="249">
                  <c:v>40579</c:v>
                </c:pt>
                <c:pt idx="250">
                  <c:v>40580</c:v>
                </c:pt>
                <c:pt idx="251">
                  <c:v>40581</c:v>
                </c:pt>
                <c:pt idx="252">
                  <c:v>40582</c:v>
                </c:pt>
                <c:pt idx="253">
                  <c:v>40583</c:v>
                </c:pt>
                <c:pt idx="254">
                  <c:v>40584</c:v>
                </c:pt>
                <c:pt idx="255">
                  <c:v>40585</c:v>
                </c:pt>
                <c:pt idx="256">
                  <c:v>40586</c:v>
                </c:pt>
                <c:pt idx="257">
                  <c:v>40587</c:v>
                </c:pt>
                <c:pt idx="258">
                  <c:v>40588</c:v>
                </c:pt>
                <c:pt idx="259">
                  <c:v>40589</c:v>
                </c:pt>
                <c:pt idx="260">
                  <c:v>40590</c:v>
                </c:pt>
                <c:pt idx="261">
                  <c:v>40591</c:v>
                </c:pt>
                <c:pt idx="262">
                  <c:v>40592</c:v>
                </c:pt>
                <c:pt idx="263">
                  <c:v>40593</c:v>
                </c:pt>
                <c:pt idx="264">
                  <c:v>40594</c:v>
                </c:pt>
                <c:pt idx="265">
                  <c:v>40595</c:v>
                </c:pt>
                <c:pt idx="266">
                  <c:v>40596</c:v>
                </c:pt>
                <c:pt idx="267">
                  <c:v>40597</c:v>
                </c:pt>
                <c:pt idx="268">
                  <c:v>40598</c:v>
                </c:pt>
                <c:pt idx="269">
                  <c:v>40599</c:v>
                </c:pt>
                <c:pt idx="270">
                  <c:v>40600</c:v>
                </c:pt>
                <c:pt idx="271">
                  <c:v>40601</c:v>
                </c:pt>
                <c:pt idx="272">
                  <c:v>40602</c:v>
                </c:pt>
                <c:pt idx="273">
                  <c:v>40603</c:v>
                </c:pt>
                <c:pt idx="274">
                  <c:v>40604</c:v>
                </c:pt>
                <c:pt idx="275">
                  <c:v>40605</c:v>
                </c:pt>
                <c:pt idx="276">
                  <c:v>40606</c:v>
                </c:pt>
                <c:pt idx="277">
                  <c:v>40607</c:v>
                </c:pt>
                <c:pt idx="278">
                  <c:v>40608</c:v>
                </c:pt>
                <c:pt idx="279">
                  <c:v>40609</c:v>
                </c:pt>
                <c:pt idx="280">
                  <c:v>40610</c:v>
                </c:pt>
                <c:pt idx="281">
                  <c:v>40611</c:v>
                </c:pt>
                <c:pt idx="282">
                  <c:v>40612</c:v>
                </c:pt>
                <c:pt idx="283">
                  <c:v>40613</c:v>
                </c:pt>
                <c:pt idx="284">
                  <c:v>40614</c:v>
                </c:pt>
                <c:pt idx="285">
                  <c:v>40615</c:v>
                </c:pt>
                <c:pt idx="286">
                  <c:v>40616</c:v>
                </c:pt>
                <c:pt idx="287">
                  <c:v>40617</c:v>
                </c:pt>
                <c:pt idx="288">
                  <c:v>40618</c:v>
                </c:pt>
                <c:pt idx="289">
                  <c:v>40619</c:v>
                </c:pt>
                <c:pt idx="290">
                  <c:v>40620</c:v>
                </c:pt>
                <c:pt idx="291">
                  <c:v>40621</c:v>
                </c:pt>
                <c:pt idx="292">
                  <c:v>40622</c:v>
                </c:pt>
                <c:pt idx="293">
                  <c:v>40623</c:v>
                </c:pt>
                <c:pt idx="294">
                  <c:v>40624</c:v>
                </c:pt>
                <c:pt idx="295">
                  <c:v>40625</c:v>
                </c:pt>
                <c:pt idx="296">
                  <c:v>40626</c:v>
                </c:pt>
                <c:pt idx="297">
                  <c:v>40627</c:v>
                </c:pt>
                <c:pt idx="298">
                  <c:v>40628</c:v>
                </c:pt>
                <c:pt idx="299">
                  <c:v>40629</c:v>
                </c:pt>
                <c:pt idx="300">
                  <c:v>40630</c:v>
                </c:pt>
                <c:pt idx="301">
                  <c:v>40631</c:v>
                </c:pt>
                <c:pt idx="302">
                  <c:v>40632</c:v>
                </c:pt>
                <c:pt idx="303">
                  <c:v>40633</c:v>
                </c:pt>
                <c:pt idx="304">
                  <c:v>40634</c:v>
                </c:pt>
                <c:pt idx="305">
                  <c:v>40635</c:v>
                </c:pt>
                <c:pt idx="306">
                  <c:v>40636</c:v>
                </c:pt>
                <c:pt idx="307">
                  <c:v>40637</c:v>
                </c:pt>
                <c:pt idx="308">
                  <c:v>40638</c:v>
                </c:pt>
                <c:pt idx="309">
                  <c:v>40639</c:v>
                </c:pt>
                <c:pt idx="310">
                  <c:v>40640</c:v>
                </c:pt>
                <c:pt idx="311">
                  <c:v>40641</c:v>
                </c:pt>
                <c:pt idx="312">
                  <c:v>40642</c:v>
                </c:pt>
                <c:pt idx="313">
                  <c:v>40643</c:v>
                </c:pt>
                <c:pt idx="314">
                  <c:v>40644</c:v>
                </c:pt>
                <c:pt idx="315">
                  <c:v>40645</c:v>
                </c:pt>
                <c:pt idx="316">
                  <c:v>40646</c:v>
                </c:pt>
                <c:pt idx="317">
                  <c:v>40647</c:v>
                </c:pt>
                <c:pt idx="318">
                  <c:v>40648</c:v>
                </c:pt>
                <c:pt idx="319">
                  <c:v>40649</c:v>
                </c:pt>
                <c:pt idx="320">
                  <c:v>40650</c:v>
                </c:pt>
                <c:pt idx="321">
                  <c:v>40651</c:v>
                </c:pt>
                <c:pt idx="322">
                  <c:v>40652</c:v>
                </c:pt>
                <c:pt idx="323">
                  <c:v>40653</c:v>
                </c:pt>
                <c:pt idx="324">
                  <c:v>40654</c:v>
                </c:pt>
                <c:pt idx="325">
                  <c:v>40655</c:v>
                </c:pt>
                <c:pt idx="326">
                  <c:v>40656</c:v>
                </c:pt>
                <c:pt idx="327">
                  <c:v>40657</c:v>
                </c:pt>
                <c:pt idx="328">
                  <c:v>40658</c:v>
                </c:pt>
                <c:pt idx="329">
                  <c:v>40659</c:v>
                </c:pt>
                <c:pt idx="330">
                  <c:v>40660</c:v>
                </c:pt>
                <c:pt idx="331">
                  <c:v>40661</c:v>
                </c:pt>
                <c:pt idx="332">
                  <c:v>40662</c:v>
                </c:pt>
                <c:pt idx="333">
                  <c:v>40663</c:v>
                </c:pt>
                <c:pt idx="334">
                  <c:v>40664</c:v>
                </c:pt>
                <c:pt idx="335">
                  <c:v>40665</c:v>
                </c:pt>
                <c:pt idx="336">
                  <c:v>40666</c:v>
                </c:pt>
                <c:pt idx="337">
                  <c:v>40667</c:v>
                </c:pt>
                <c:pt idx="338">
                  <c:v>40668</c:v>
                </c:pt>
                <c:pt idx="339">
                  <c:v>40669</c:v>
                </c:pt>
                <c:pt idx="340">
                  <c:v>40670</c:v>
                </c:pt>
                <c:pt idx="341">
                  <c:v>40671</c:v>
                </c:pt>
                <c:pt idx="342">
                  <c:v>40672</c:v>
                </c:pt>
                <c:pt idx="343">
                  <c:v>40673</c:v>
                </c:pt>
                <c:pt idx="344">
                  <c:v>40674</c:v>
                </c:pt>
                <c:pt idx="345">
                  <c:v>40675</c:v>
                </c:pt>
                <c:pt idx="346">
                  <c:v>40676</c:v>
                </c:pt>
                <c:pt idx="347">
                  <c:v>40677</c:v>
                </c:pt>
                <c:pt idx="348">
                  <c:v>40678</c:v>
                </c:pt>
                <c:pt idx="349">
                  <c:v>40679</c:v>
                </c:pt>
                <c:pt idx="350">
                  <c:v>40680</c:v>
                </c:pt>
                <c:pt idx="351">
                  <c:v>40681</c:v>
                </c:pt>
                <c:pt idx="352">
                  <c:v>40682</c:v>
                </c:pt>
                <c:pt idx="353">
                  <c:v>40683</c:v>
                </c:pt>
                <c:pt idx="354">
                  <c:v>40684</c:v>
                </c:pt>
                <c:pt idx="355">
                  <c:v>40685</c:v>
                </c:pt>
                <c:pt idx="356">
                  <c:v>40686</c:v>
                </c:pt>
                <c:pt idx="357">
                  <c:v>40687</c:v>
                </c:pt>
                <c:pt idx="358">
                  <c:v>40688</c:v>
                </c:pt>
                <c:pt idx="359">
                  <c:v>40689</c:v>
                </c:pt>
                <c:pt idx="360">
                  <c:v>40690</c:v>
                </c:pt>
                <c:pt idx="361">
                  <c:v>40691</c:v>
                </c:pt>
                <c:pt idx="362">
                  <c:v>40692</c:v>
                </c:pt>
                <c:pt idx="363">
                  <c:v>40693</c:v>
                </c:pt>
                <c:pt idx="364">
                  <c:v>40694</c:v>
                </c:pt>
                <c:pt idx="365">
                  <c:v>40695</c:v>
                </c:pt>
                <c:pt idx="366">
                  <c:v>40696</c:v>
                </c:pt>
                <c:pt idx="367">
                  <c:v>40697</c:v>
                </c:pt>
                <c:pt idx="368">
                  <c:v>40698</c:v>
                </c:pt>
                <c:pt idx="369">
                  <c:v>40699</c:v>
                </c:pt>
                <c:pt idx="370">
                  <c:v>40700</c:v>
                </c:pt>
                <c:pt idx="371">
                  <c:v>40701</c:v>
                </c:pt>
                <c:pt idx="372">
                  <c:v>40702</c:v>
                </c:pt>
                <c:pt idx="373">
                  <c:v>40703</c:v>
                </c:pt>
                <c:pt idx="374">
                  <c:v>40704</c:v>
                </c:pt>
                <c:pt idx="375">
                  <c:v>40705</c:v>
                </c:pt>
                <c:pt idx="376">
                  <c:v>40706</c:v>
                </c:pt>
                <c:pt idx="377">
                  <c:v>40707</c:v>
                </c:pt>
                <c:pt idx="378">
                  <c:v>40708</c:v>
                </c:pt>
                <c:pt idx="379">
                  <c:v>40709</c:v>
                </c:pt>
                <c:pt idx="380">
                  <c:v>40710</c:v>
                </c:pt>
                <c:pt idx="381">
                  <c:v>40711</c:v>
                </c:pt>
                <c:pt idx="382">
                  <c:v>40712</c:v>
                </c:pt>
                <c:pt idx="383">
                  <c:v>40713</c:v>
                </c:pt>
                <c:pt idx="384">
                  <c:v>40714</c:v>
                </c:pt>
                <c:pt idx="385">
                  <c:v>40715</c:v>
                </c:pt>
                <c:pt idx="386">
                  <c:v>40716</c:v>
                </c:pt>
                <c:pt idx="387">
                  <c:v>40717</c:v>
                </c:pt>
                <c:pt idx="388">
                  <c:v>40718</c:v>
                </c:pt>
                <c:pt idx="389">
                  <c:v>40719</c:v>
                </c:pt>
                <c:pt idx="390">
                  <c:v>40720</c:v>
                </c:pt>
                <c:pt idx="391">
                  <c:v>40721</c:v>
                </c:pt>
                <c:pt idx="392">
                  <c:v>40722</c:v>
                </c:pt>
                <c:pt idx="393">
                  <c:v>40723</c:v>
                </c:pt>
                <c:pt idx="394">
                  <c:v>40724</c:v>
                </c:pt>
                <c:pt idx="395">
                  <c:v>40725</c:v>
                </c:pt>
                <c:pt idx="396">
                  <c:v>40726</c:v>
                </c:pt>
                <c:pt idx="397">
                  <c:v>40727</c:v>
                </c:pt>
                <c:pt idx="398">
                  <c:v>40728</c:v>
                </c:pt>
                <c:pt idx="399">
                  <c:v>40729</c:v>
                </c:pt>
                <c:pt idx="400">
                  <c:v>40730</c:v>
                </c:pt>
                <c:pt idx="401">
                  <c:v>40731</c:v>
                </c:pt>
                <c:pt idx="402">
                  <c:v>40732</c:v>
                </c:pt>
                <c:pt idx="403">
                  <c:v>40733</c:v>
                </c:pt>
                <c:pt idx="404">
                  <c:v>40734</c:v>
                </c:pt>
                <c:pt idx="405">
                  <c:v>40735</c:v>
                </c:pt>
                <c:pt idx="406">
                  <c:v>40736</c:v>
                </c:pt>
                <c:pt idx="407">
                  <c:v>40737</c:v>
                </c:pt>
                <c:pt idx="408">
                  <c:v>40738</c:v>
                </c:pt>
                <c:pt idx="409">
                  <c:v>40739</c:v>
                </c:pt>
                <c:pt idx="410">
                  <c:v>40740</c:v>
                </c:pt>
                <c:pt idx="411">
                  <c:v>40741</c:v>
                </c:pt>
                <c:pt idx="412">
                  <c:v>40742</c:v>
                </c:pt>
                <c:pt idx="413">
                  <c:v>40743</c:v>
                </c:pt>
                <c:pt idx="414">
                  <c:v>40744</c:v>
                </c:pt>
                <c:pt idx="415">
                  <c:v>40745</c:v>
                </c:pt>
                <c:pt idx="416">
                  <c:v>40746</c:v>
                </c:pt>
                <c:pt idx="417">
                  <c:v>40747</c:v>
                </c:pt>
                <c:pt idx="418">
                  <c:v>40748</c:v>
                </c:pt>
                <c:pt idx="419">
                  <c:v>40749</c:v>
                </c:pt>
                <c:pt idx="420">
                  <c:v>40750</c:v>
                </c:pt>
                <c:pt idx="421">
                  <c:v>40751</c:v>
                </c:pt>
                <c:pt idx="422">
                  <c:v>40752</c:v>
                </c:pt>
                <c:pt idx="423">
                  <c:v>40753</c:v>
                </c:pt>
                <c:pt idx="424">
                  <c:v>40754</c:v>
                </c:pt>
                <c:pt idx="425">
                  <c:v>40755</c:v>
                </c:pt>
                <c:pt idx="426">
                  <c:v>40756</c:v>
                </c:pt>
                <c:pt idx="427">
                  <c:v>40757</c:v>
                </c:pt>
                <c:pt idx="428">
                  <c:v>40758</c:v>
                </c:pt>
                <c:pt idx="429">
                  <c:v>40759</c:v>
                </c:pt>
                <c:pt idx="430">
                  <c:v>40760</c:v>
                </c:pt>
                <c:pt idx="431">
                  <c:v>40761</c:v>
                </c:pt>
                <c:pt idx="432">
                  <c:v>40762</c:v>
                </c:pt>
                <c:pt idx="433">
                  <c:v>40763</c:v>
                </c:pt>
                <c:pt idx="434">
                  <c:v>40764</c:v>
                </c:pt>
                <c:pt idx="435">
                  <c:v>40765</c:v>
                </c:pt>
                <c:pt idx="436">
                  <c:v>40766</c:v>
                </c:pt>
                <c:pt idx="437">
                  <c:v>40767</c:v>
                </c:pt>
                <c:pt idx="438">
                  <c:v>40768</c:v>
                </c:pt>
                <c:pt idx="439">
                  <c:v>40769</c:v>
                </c:pt>
                <c:pt idx="440">
                  <c:v>40770</c:v>
                </c:pt>
                <c:pt idx="441">
                  <c:v>40771</c:v>
                </c:pt>
                <c:pt idx="442">
                  <c:v>40772</c:v>
                </c:pt>
                <c:pt idx="443">
                  <c:v>40773</c:v>
                </c:pt>
              </c:numCache>
            </c:numRef>
          </c:xVal>
          <c:yVal>
            <c:numRef>
              <c:f>total!$K$2:$K$445</c:f>
              <c:numCache>
                <c:formatCode>General</c:formatCode>
                <c:ptCount val="444"/>
                <c:pt idx="62">
                  <c:v>11.074530167000001</c:v>
                </c:pt>
                <c:pt idx="63">
                  <c:v>9.8054909833000004</c:v>
                </c:pt>
                <c:pt idx="64">
                  <c:v>8.2899580499999992</c:v>
                </c:pt>
                <c:pt idx="65">
                  <c:v>7.22678975</c:v>
                </c:pt>
                <c:pt idx="66">
                  <c:v>6.6508989207999996</c:v>
                </c:pt>
                <c:pt idx="67">
                  <c:v>6.3070214291999998</c:v>
                </c:pt>
                <c:pt idx="68">
                  <c:v>5.7110362957999996</c:v>
                </c:pt>
                <c:pt idx="69">
                  <c:v>5.2503852000000002</c:v>
                </c:pt>
                <c:pt idx="72">
                  <c:v>4.1436963833</c:v>
                </c:pt>
                <c:pt idx="73">
                  <c:v>4.0715150913000002</c:v>
                </c:pt>
                <c:pt idx="74">
                  <c:v>3.7793939291999998</c:v>
                </c:pt>
                <c:pt idx="75">
                  <c:v>3.5922183047999998</c:v>
                </c:pt>
                <c:pt idx="78">
                  <c:v>9.3618287374999998</c:v>
                </c:pt>
                <c:pt idx="79">
                  <c:v>17.112017075000001</c:v>
                </c:pt>
                <c:pt idx="80">
                  <c:v>12.871513741999999</c:v>
                </c:pt>
                <c:pt idx="81">
                  <c:v>16.384672675000001</c:v>
                </c:pt>
                <c:pt idx="82">
                  <c:v>21.155715771000001</c:v>
                </c:pt>
                <c:pt idx="83">
                  <c:v>14.319282525</c:v>
                </c:pt>
                <c:pt idx="84">
                  <c:v>11.317297708</c:v>
                </c:pt>
                <c:pt idx="85">
                  <c:v>9.5153145291999994</c:v>
                </c:pt>
                <c:pt idx="86">
                  <c:v>8.2327580875000006</c:v>
                </c:pt>
                <c:pt idx="87">
                  <c:v>7.1701231083000003</c:v>
                </c:pt>
                <c:pt idx="88">
                  <c:v>6.4558378166999999</c:v>
                </c:pt>
                <c:pt idx="89">
                  <c:v>6.0017456292000002</c:v>
                </c:pt>
                <c:pt idx="90">
                  <c:v>5.7074123416999996</c:v>
                </c:pt>
                <c:pt idx="91">
                  <c:v>5.4282165158</c:v>
                </c:pt>
                <c:pt idx="92">
                  <c:v>4.9037167129999997</c:v>
                </c:pt>
                <c:pt idx="93">
                  <c:v>4.5604483707999997</c:v>
                </c:pt>
                <c:pt idx="94">
                  <c:v>4.3127225583</c:v>
                </c:pt>
                <c:pt idx="95">
                  <c:v>4.0301114208</c:v>
                </c:pt>
                <c:pt idx="96">
                  <c:v>3.7331848875000002</c:v>
                </c:pt>
                <c:pt idx="97">
                  <c:v>3.5205863124999999</c:v>
                </c:pt>
                <c:pt idx="98">
                  <c:v>3.3990556208</c:v>
                </c:pt>
                <c:pt idx="99">
                  <c:v>3.1972095</c:v>
                </c:pt>
                <c:pt idx="101">
                  <c:v>6.5172557167000003</c:v>
                </c:pt>
                <c:pt idx="102">
                  <c:v>18.853700304</c:v>
                </c:pt>
                <c:pt idx="103">
                  <c:v>21.952151379</c:v>
                </c:pt>
                <c:pt idx="104">
                  <c:v>16.959249179</c:v>
                </c:pt>
                <c:pt idx="105">
                  <c:v>14.712369600000001</c:v>
                </c:pt>
                <c:pt idx="106">
                  <c:v>11.704060543000001</c:v>
                </c:pt>
                <c:pt idx="107">
                  <c:v>10.781737304</c:v>
                </c:pt>
                <c:pt idx="108">
                  <c:v>13.526942699999999</c:v>
                </c:pt>
                <c:pt idx="113">
                  <c:v>9.2435485908999997</c:v>
                </c:pt>
                <c:pt idx="114">
                  <c:v>8.5984227000000004</c:v>
                </c:pt>
                <c:pt idx="115">
                  <c:v>7.5836876083</c:v>
                </c:pt>
                <c:pt idx="116">
                  <c:v>7.0071863957999998</c:v>
                </c:pt>
                <c:pt idx="117">
                  <c:v>12.862403863000001</c:v>
                </c:pt>
                <c:pt idx="118">
                  <c:v>14.204376</c:v>
                </c:pt>
                <c:pt idx="119">
                  <c:v>23.878761712999999</c:v>
                </c:pt>
                <c:pt idx="120">
                  <c:v>19.460783903999999</c:v>
                </c:pt>
                <c:pt idx="121">
                  <c:v>24.231186992000001</c:v>
                </c:pt>
                <c:pt idx="122">
                  <c:v>18.953994278</c:v>
                </c:pt>
                <c:pt idx="123">
                  <c:v>17.509236683000001</c:v>
                </c:pt>
                <c:pt idx="124">
                  <c:v>15.894029124999999</c:v>
                </c:pt>
                <c:pt idx="125">
                  <c:v>15.286068692000001</c:v>
                </c:pt>
                <c:pt idx="126">
                  <c:v>14.511982217</c:v>
                </c:pt>
                <c:pt idx="127">
                  <c:v>14.043893533</c:v>
                </c:pt>
                <c:pt idx="128">
                  <c:v>13.19464632</c:v>
                </c:pt>
                <c:pt idx="129">
                  <c:v>11.3803942</c:v>
                </c:pt>
                <c:pt idx="130">
                  <c:v>10.555132875</c:v>
                </c:pt>
                <c:pt idx="131">
                  <c:v>9.8465631583000004</c:v>
                </c:pt>
                <c:pt idx="132">
                  <c:v>9.2018501666999999</c:v>
                </c:pt>
                <c:pt idx="133">
                  <c:v>8.9562939582999999</c:v>
                </c:pt>
                <c:pt idx="134">
                  <c:v>9.6623136417000008</c:v>
                </c:pt>
                <c:pt idx="135">
                  <c:v>11.87192142</c:v>
                </c:pt>
                <c:pt idx="136">
                  <c:v>11.381333263</c:v>
                </c:pt>
                <c:pt idx="137">
                  <c:v>9.9467057149000002</c:v>
                </c:pt>
                <c:pt idx="138">
                  <c:v>8.6948217999999997</c:v>
                </c:pt>
                <c:pt idx="139">
                  <c:v>8.0605787375000002</c:v>
                </c:pt>
                <c:pt idx="140">
                  <c:v>7.6241618750000004</c:v>
                </c:pt>
                <c:pt idx="141">
                  <c:v>13.511507567000001</c:v>
                </c:pt>
                <c:pt idx="142">
                  <c:v>11.251896540000001</c:v>
                </c:pt>
                <c:pt idx="143">
                  <c:v>9.7163489958000007</c:v>
                </c:pt>
                <c:pt idx="144">
                  <c:v>8.3872112467999997</c:v>
                </c:pt>
                <c:pt idx="145">
                  <c:v>7.6678728292000002</c:v>
                </c:pt>
                <c:pt idx="146">
                  <c:v>21.227492367</c:v>
                </c:pt>
                <c:pt idx="147">
                  <c:v>23.263718858000001</c:v>
                </c:pt>
                <c:pt idx="148">
                  <c:v>27.453369233</c:v>
                </c:pt>
                <c:pt idx="149">
                  <c:v>23.142388258</c:v>
                </c:pt>
                <c:pt idx="150">
                  <c:v>21.543523338</c:v>
                </c:pt>
                <c:pt idx="151">
                  <c:v>19.867926016999998</c:v>
                </c:pt>
                <c:pt idx="152">
                  <c:v>18.398740208</c:v>
                </c:pt>
                <c:pt idx="153">
                  <c:v>17.568465275000001</c:v>
                </c:pt>
                <c:pt idx="154">
                  <c:v>16.348941192000002</c:v>
                </c:pt>
                <c:pt idx="155">
                  <c:v>16.694637332999999</c:v>
                </c:pt>
                <c:pt idx="156">
                  <c:v>27.386934282999999</c:v>
                </c:pt>
                <c:pt idx="157">
                  <c:v>24.690940643000001</c:v>
                </c:pt>
                <c:pt idx="158">
                  <c:v>24.232833409000001</c:v>
                </c:pt>
                <c:pt idx="159">
                  <c:v>23.060929804000001</c:v>
                </c:pt>
                <c:pt idx="160">
                  <c:v>21.876558178</c:v>
                </c:pt>
                <c:pt idx="161">
                  <c:v>20.896660004000001</c:v>
                </c:pt>
                <c:pt idx="162">
                  <c:v>21.466809212000001</c:v>
                </c:pt>
                <c:pt idx="163">
                  <c:v>19.63827414</c:v>
                </c:pt>
                <c:pt idx="164">
                  <c:v>18.840006672000001</c:v>
                </c:pt>
                <c:pt idx="165">
                  <c:v>18.757500525000001</c:v>
                </c:pt>
                <c:pt idx="166">
                  <c:v>19.482100291999998</c:v>
                </c:pt>
                <c:pt idx="167">
                  <c:v>22.468169583000002</c:v>
                </c:pt>
                <c:pt idx="168">
                  <c:v>28.448073487999999</c:v>
                </c:pt>
                <c:pt idx="169">
                  <c:v>24.327278021000001</c:v>
                </c:pt>
                <c:pt idx="170">
                  <c:v>23.315798654999998</c:v>
                </c:pt>
                <c:pt idx="171">
                  <c:v>22.336687683000001</c:v>
                </c:pt>
                <c:pt idx="172">
                  <c:v>21.722714595999999</c:v>
                </c:pt>
                <c:pt idx="173">
                  <c:v>21.891880163</c:v>
                </c:pt>
                <c:pt idx="174">
                  <c:v>20.947227929</c:v>
                </c:pt>
                <c:pt idx="175">
                  <c:v>24.154742713000001</c:v>
                </c:pt>
                <c:pt idx="176">
                  <c:v>24.855015007999999</c:v>
                </c:pt>
                <c:pt idx="177">
                  <c:v>23.266889505999998</c:v>
                </c:pt>
                <c:pt idx="178">
                  <c:v>27.422752409000001</c:v>
                </c:pt>
                <c:pt idx="179">
                  <c:v>21.770489031</c:v>
                </c:pt>
                <c:pt idx="180">
                  <c:v>23.436878511</c:v>
                </c:pt>
                <c:pt idx="181">
                  <c:v>23.442058725999999</c:v>
                </c:pt>
                <c:pt idx="182">
                  <c:v>18.700588067000002</c:v>
                </c:pt>
                <c:pt idx="183">
                  <c:v>20.820930560000001</c:v>
                </c:pt>
                <c:pt idx="184">
                  <c:v>29.007450698</c:v>
                </c:pt>
                <c:pt idx="185">
                  <c:v>30.248529040000001</c:v>
                </c:pt>
                <c:pt idx="186">
                  <c:v>25.144955972000002</c:v>
                </c:pt>
                <c:pt idx="187">
                  <c:v>23.846936995</c:v>
                </c:pt>
                <c:pt idx="188">
                  <c:v>24.983041025999999</c:v>
                </c:pt>
                <c:pt idx="189">
                  <c:v>24.067629132</c:v>
                </c:pt>
                <c:pt idx="190">
                  <c:v>24.955967827999999</c:v>
                </c:pt>
                <c:pt idx="191">
                  <c:v>24.814724122000001</c:v>
                </c:pt>
                <c:pt idx="192">
                  <c:v>25.605258453000001</c:v>
                </c:pt>
                <c:pt idx="193">
                  <c:v>25.598043325999999</c:v>
                </c:pt>
                <c:pt idx="194">
                  <c:v>20.997082245000001</c:v>
                </c:pt>
                <c:pt idx="195">
                  <c:v>25.795797421</c:v>
                </c:pt>
                <c:pt idx="196">
                  <c:v>20.755824558</c:v>
                </c:pt>
                <c:pt idx="197">
                  <c:v>26.777145443999999</c:v>
                </c:pt>
                <c:pt idx="198">
                  <c:v>25.609949060000002</c:v>
                </c:pt>
                <c:pt idx="199">
                  <c:v>24.759168529</c:v>
                </c:pt>
                <c:pt idx="200">
                  <c:v>23.193954167000001</c:v>
                </c:pt>
                <c:pt idx="202">
                  <c:v>22.6519084</c:v>
                </c:pt>
                <c:pt idx="203">
                  <c:v>25.086843732999998</c:v>
                </c:pt>
                <c:pt idx="204">
                  <c:v>23.532101778000001</c:v>
                </c:pt>
                <c:pt idx="205">
                  <c:v>23.364697627000002</c:v>
                </c:pt>
                <c:pt idx="206">
                  <c:v>25.358981350000001</c:v>
                </c:pt>
                <c:pt idx="209">
                  <c:v>23.358519340000001</c:v>
                </c:pt>
                <c:pt idx="210">
                  <c:v>24.646394399999998</c:v>
                </c:pt>
                <c:pt idx="215">
                  <c:v>23.030539050000002</c:v>
                </c:pt>
                <c:pt idx="216">
                  <c:v>18.300829950000001</c:v>
                </c:pt>
                <c:pt idx="240">
                  <c:v>24.778317168000001</c:v>
                </c:pt>
                <c:pt idx="241">
                  <c:v>27.574660204000001</c:v>
                </c:pt>
                <c:pt idx="242">
                  <c:v>27.305623600000001</c:v>
                </c:pt>
                <c:pt idx="243">
                  <c:v>29.105581492999999</c:v>
                </c:pt>
                <c:pt idx="244">
                  <c:v>30.19997021</c:v>
                </c:pt>
                <c:pt idx="245">
                  <c:v>29.983748246000001</c:v>
                </c:pt>
                <c:pt idx="246">
                  <c:v>29.027877267000001</c:v>
                </c:pt>
                <c:pt idx="247">
                  <c:v>29.059591989000001</c:v>
                </c:pt>
                <c:pt idx="248">
                  <c:v>25.776579940000001</c:v>
                </c:pt>
                <c:pt idx="249">
                  <c:v>27.228085608000001</c:v>
                </c:pt>
                <c:pt idx="250">
                  <c:v>26.487604672</c:v>
                </c:pt>
                <c:pt idx="251">
                  <c:v>28.370941793</c:v>
                </c:pt>
                <c:pt idx="252">
                  <c:v>28.199216870000001</c:v>
                </c:pt>
                <c:pt idx="253">
                  <c:v>26.710701427</c:v>
                </c:pt>
                <c:pt idx="254">
                  <c:v>27.268530106</c:v>
                </c:pt>
                <c:pt idx="255">
                  <c:v>25.192211312000001</c:v>
                </c:pt>
                <c:pt idx="256">
                  <c:v>26.335757638</c:v>
                </c:pt>
                <c:pt idx="257">
                  <c:v>27.378032563000001</c:v>
                </c:pt>
                <c:pt idx="258">
                  <c:v>29.293744397000001</c:v>
                </c:pt>
                <c:pt idx="259">
                  <c:v>26.965723029999999</c:v>
                </c:pt>
                <c:pt idx="260">
                  <c:v>27.556770799999999</c:v>
                </c:pt>
                <c:pt idx="261">
                  <c:v>27.525586928999999</c:v>
                </c:pt>
                <c:pt idx="262">
                  <c:v>29.960388803000001</c:v>
                </c:pt>
                <c:pt idx="263">
                  <c:v>28.861659862</c:v>
                </c:pt>
                <c:pt idx="264">
                  <c:v>27.651975789000002</c:v>
                </c:pt>
                <c:pt idx="265">
                  <c:v>29.777223697</c:v>
                </c:pt>
                <c:pt idx="266">
                  <c:v>30.650736512999998</c:v>
                </c:pt>
                <c:pt idx="267">
                  <c:v>29.181781240999999</c:v>
                </c:pt>
                <c:pt idx="268">
                  <c:v>32.984832386999997</c:v>
                </c:pt>
                <c:pt idx="269">
                  <c:v>33.258517329</c:v>
                </c:pt>
                <c:pt idx="270">
                  <c:v>29.273498296</c:v>
                </c:pt>
                <c:pt idx="271">
                  <c:v>31.546362242000001</c:v>
                </c:pt>
                <c:pt idx="272">
                  <c:v>32.524423267000003</c:v>
                </c:pt>
                <c:pt idx="273">
                  <c:v>31.110617006999998</c:v>
                </c:pt>
                <c:pt idx="274">
                  <c:v>31.165414556000002</c:v>
                </c:pt>
                <c:pt idx="275">
                  <c:v>30.882015002999999</c:v>
                </c:pt>
                <c:pt idx="276">
                  <c:v>30.303835628000002</c:v>
                </c:pt>
                <c:pt idx="277">
                  <c:v>31.311895929999999</c:v>
                </c:pt>
                <c:pt idx="278">
                  <c:v>31.134716911999998</c:v>
                </c:pt>
                <c:pt idx="279">
                  <c:v>30.257281027000001</c:v>
                </c:pt>
                <c:pt idx="280">
                  <c:v>30.584151804000001</c:v>
                </c:pt>
                <c:pt idx="281">
                  <c:v>34.100317930000003</c:v>
                </c:pt>
                <c:pt idx="282">
                  <c:v>33.071102963000001</c:v>
                </c:pt>
                <c:pt idx="283">
                  <c:v>27.803615872999998</c:v>
                </c:pt>
                <c:pt idx="284">
                  <c:v>29.490569632</c:v>
                </c:pt>
                <c:pt idx="285">
                  <c:v>30.530496366000001</c:v>
                </c:pt>
                <c:pt idx="286">
                  <c:v>31.345924329999999</c:v>
                </c:pt>
                <c:pt idx="287">
                  <c:v>33.112517459999999</c:v>
                </c:pt>
                <c:pt idx="288">
                  <c:v>32.723119377000003</c:v>
                </c:pt>
                <c:pt idx="289">
                  <c:v>28.936019629</c:v>
                </c:pt>
                <c:pt idx="290">
                  <c:v>31.126288937000002</c:v>
                </c:pt>
                <c:pt idx="291">
                  <c:v>30.925354082999998</c:v>
                </c:pt>
                <c:pt idx="292">
                  <c:v>30.508357513</c:v>
                </c:pt>
                <c:pt idx="293">
                  <c:v>29.992114893</c:v>
                </c:pt>
                <c:pt idx="294">
                  <c:v>29.861745809999999</c:v>
                </c:pt>
                <c:pt idx="295">
                  <c:v>29.865510022999999</c:v>
                </c:pt>
                <c:pt idx="296">
                  <c:v>32.234730697000003</c:v>
                </c:pt>
                <c:pt idx="297">
                  <c:v>30.013456300000001</c:v>
                </c:pt>
                <c:pt idx="298">
                  <c:v>31.167399956000001</c:v>
                </c:pt>
                <c:pt idx="299">
                  <c:v>31.076151102000001</c:v>
                </c:pt>
                <c:pt idx="300">
                  <c:v>30.481875220999999</c:v>
                </c:pt>
                <c:pt idx="301">
                  <c:v>29.144540717999998</c:v>
                </c:pt>
                <c:pt idx="302">
                  <c:v>34.194612601999999</c:v>
                </c:pt>
                <c:pt idx="303">
                  <c:v>32.331342501000002</c:v>
                </c:pt>
                <c:pt idx="304">
                  <c:v>28.738812289999998</c:v>
                </c:pt>
                <c:pt idx="305">
                  <c:v>31.834861846999999</c:v>
                </c:pt>
                <c:pt idx="306">
                  <c:v>31.233790447000001</c:v>
                </c:pt>
                <c:pt idx="307">
                  <c:v>31.873131282999999</c:v>
                </c:pt>
                <c:pt idx="308">
                  <c:v>34.643326297000002</c:v>
                </c:pt>
                <c:pt idx="309">
                  <c:v>30.946548636999999</c:v>
                </c:pt>
                <c:pt idx="310">
                  <c:v>30.375299502000001</c:v>
                </c:pt>
                <c:pt idx="311">
                  <c:v>30.429673186999999</c:v>
                </c:pt>
                <c:pt idx="312">
                  <c:v>29.963448267</c:v>
                </c:pt>
                <c:pt idx="313">
                  <c:v>28.810814189999999</c:v>
                </c:pt>
                <c:pt idx="314">
                  <c:v>27.048911765</c:v>
                </c:pt>
                <c:pt idx="315">
                  <c:v>32.284198513</c:v>
                </c:pt>
                <c:pt idx="316">
                  <c:v>31.204307787000001</c:v>
                </c:pt>
                <c:pt idx="317">
                  <c:v>30.055763164999998</c:v>
                </c:pt>
                <c:pt idx="318">
                  <c:v>30.258703650000001</c:v>
                </c:pt>
                <c:pt idx="319">
                  <c:v>34.280614888999999</c:v>
                </c:pt>
                <c:pt idx="320">
                  <c:v>30.810974537</c:v>
                </c:pt>
                <c:pt idx="321">
                  <c:v>29.697157149999999</c:v>
                </c:pt>
                <c:pt idx="322">
                  <c:v>28.550025651999999</c:v>
                </c:pt>
                <c:pt idx="323">
                  <c:v>29.072139129</c:v>
                </c:pt>
                <c:pt idx="324">
                  <c:v>29.865350056</c:v>
                </c:pt>
                <c:pt idx="325">
                  <c:v>28.865632682000001</c:v>
                </c:pt>
                <c:pt idx="326">
                  <c:v>28.182399442000001</c:v>
                </c:pt>
                <c:pt idx="327">
                  <c:v>26.364685723000001</c:v>
                </c:pt>
                <c:pt idx="328">
                  <c:v>25.162090880000001</c:v>
                </c:pt>
                <c:pt idx="329">
                  <c:v>23.501095402000001</c:v>
                </c:pt>
                <c:pt idx="330">
                  <c:v>25.437613674000001</c:v>
                </c:pt>
                <c:pt idx="331">
                  <c:v>33.842953303999998</c:v>
                </c:pt>
                <c:pt idx="332">
                  <c:v>31.110105202</c:v>
                </c:pt>
                <c:pt idx="333">
                  <c:v>29.430347327</c:v>
                </c:pt>
                <c:pt idx="334">
                  <c:v>27.539338666999999</c:v>
                </c:pt>
                <c:pt idx="335">
                  <c:v>28.090778974999999</c:v>
                </c:pt>
                <c:pt idx="336">
                  <c:v>27.186678437000001</c:v>
                </c:pt>
                <c:pt idx="337">
                  <c:v>32.858002251000002</c:v>
                </c:pt>
                <c:pt idx="338">
                  <c:v>31.311900225999999</c:v>
                </c:pt>
                <c:pt idx="339">
                  <c:v>30.587920874999998</c:v>
                </c:pt>
                <c:pt idx="340">
                  <c:v>28.891487128000001</c:v>
                </c:pt>
                <c:pt idx="341">
                  <c:v>28.153795997</c:v>
                </c:pt>
                <c:pt idx="342">
                  <c:v>26.725757635000001</c:v>
                </c:pt>
                <c:pt idx="345">
                  <c:v>21.580911344</c:v>
                </c:pt>
                <c:pt idx="346">
                  <c:v>20.776902228000001</c:v>
                </c:pt>
                <c:pt idx="347">
                  <c:v>21.334576780999999</c:v>
                </c:pt>
                <c:pt idx="348">
                  <c:v>21.523241875</c:v>
                </c:pt>
                <c:pt idx="349">
                  <c:v>21.697148445</c:v>
                </c:pt>
                <c:pt idx="350">
                  <c:v>22.240051221000002</c:v>
                </c:pt>
                <c:pt idx="351">
                  <c:v>22.730549771</c:v>
                </c:pt>
                <c:pt idx="357">
                  <c:v>18.98526678</c:v>
                </c:pt>
                <c:pt idx="358">
                  <c:v>18.628810518000002</c:v>
                </c:pt>
                <c:pt idx="359">
                  <c:v>22.214593839999999</c:v>
                </c:pt>
                <c:pt idx="360">
                  <c:v>27.027507351000001</c:v>
                </c:pt>
                <c:pt idx="361">
                  <c:v>24.817247182999999</c:v>
                </c:pt>
                <c:pt idx="362">
                  <c:v>21.951033840000001</c:v>
                </c:pt>
                <c:pt idx="363">
                  <c:v>20.032068447</c:v>
                </c:pt>
                <c:pt idx="364">
                  <c:v>19.022349559999999</c:v>
                </c:pt>
                <c:pt idx="365">
                  <c:v>18.044443700999999</c:v>
                </c:pt>
                <c:pt idx="366">
                  <c:v>16.943621232999998</c:v>
                </c:pt>
                <c:pt idx="367">
                  <c:v>15.903141429</c:v>
                </c:pt>
                <c:pt idx="368">
                  <c:v>15.069059900999999</c:v>
                </c:pt>
                <c:pt idx="369">
                  <c:v>14.380586272</c:v>
                </c:pt>
                <c:pt idx="370">
                  <c:v>14.160663125999999</c:v>
                </c:pt>
                <c:pt idx="371">
                  <c:v>13.298117069</c:v>
                </c:pt>
                <c:pt idx="372">
                  <c:v>12.865955142000001</c:v>
                </c:pt>
                <c:pt idx="373">
                  <c:v>12.458207127</c:v>
                </c:pt>
                <c:pt idx="374">
                  <c:v>11.248943006999999</c:v>
                </c:pt>
                <c:pt idx="375">
                  <c:v>12.322581243</c:v>
                </c:pt>
                <c:pt idx="376">
                  <c:v>16.384339206</c:v>
                </c:pt>
                <c:pt idx="377">
                  <c:v>14.031155301</c:v>
                </c:pt>
                <c:pt idx="378">
                  <c:v>12.235193936</c:v>
                </c:pt>
                <c:pt idx="379">
                  <c:v>18.968582950999998</c:v>
                </c:pt>
                <c:pt idx="380">
                  <c:v>29.877549560999999</c:v>
                </c:pt>
                <c:pt idx="381">
                  <c:v>27.964357360000001</c:v>
                </c:pt>
                <c:pt idx="382">
                  <c:v>29.625301747000002</c:v>
                </c:pt>
                <c:pt idx="383">
                  <c:v>33.060668587999999</c:v>
                </c:pt>
                <c:pt idx="384">
                  <c:v>31.381367149999999</c:v>
                </c:pt>
                <c:pt idx="385">
                  <c:v>30.161120421</c:v>
                </c:pt>
                <c:pt idx="386">
                  <c:v>32.085671953000002</c:v>
                </c:pt>
                <c:pt idx="387">
                  <c:v>32.251045480999998</c:v>
                </c:pt>
                <c:pt idx="388">
                  <c:v>33.647107923</c:v>
                </c:pt>
                <c:pt idx="389">
                  <c:v>31.305703475000001</c:v>
                </c:pt>
                <c:pt idx="390">
                  <c:v>31.369327911999999</c:v>
                </c:pt>
                <c:pt idx="391">
                  <c:v>30.987135975000001</c:v>
                </c:pt>
                <c:pt idx="392">
                  <c:v>30.451444129999999</c:v>
                </c:pt>
                <c:pt idx="393">
                  <c:v>29.832238666999999</c:v>
                </c:pt>
                <c:pt idx="394">
                  <c:v>28.708149333000001</c:v>
                </c:pt>
                <c:pt idx="395">
                  <c:v>27.916334349</c:v>
                </c:pt>
                <c:pt idx="396">
                  <c:v>26.280560051999998</c:v>
                </c:pt>
                <c:pt idx="397">
                  <c:v>24.398848331</c:v>
                </c:pt>
                <c:pt idx="398">
                  <c:v>24.013074919000001</c:v>
                </c:pt>
                <c:pt idx="399">
                  <c:v>25.137535238000002</c:v>
                </c:pt>
                <c:pt idx="400">
                  <c:v>25.488437704999999</c:v>
                </c:pt>
                <c:pt idx="401">
                  <c:v>29.110568193999999</c:v>
                </c:pt>
                <c:pt idx="402">
                  <c:v>32.731139974999998</c:v>
                </c:pt>
                <c:pt idx="403">
                  <c:v>31.997279941999999</c:v>
                </c:pt>
                <c:pt idx="404">
                  <c:v>29.119777721999998</c:v>
                </c:pt>
                <c:pt idx="405">
                  <c:v>29.488397941999999</c:v>
                </c:pt>
                <c:pt idx="406">
                  <c:v>30.219204678000001</c:v>
                </c:pt>
                <c:pt idx="407">
                  <c:v>29.462585440000002</c:v>
                </c:pt>
                <c:pt idx="408">
                  <c:v>28.947141228</c:v>
                </c:pt>
                <c:pt idx="409">
                  <c:v>29.556702834999999</c:v>
                </c:pt>
                <c:pt idx="410">
                  <c:v>31.5938725</c:v>
                </c:pt>
                <c:pt idx="411">
                  <c:v>30.460631458000002</c:v>
                </c:pt>
                <c:pt idx="412">
                  <c:v>29.601969517000001</c:v>
                </c:pt>
                <c:pt idx="413">
                  <c:v>29.561266992</c:v>
                </c:pt>
                <c:pt idx="414">
                  <c:v>29.279415826000001</c:v>
                </c:pt>
                <c:pt idx="415">
                  <c:v>30.966728542999999</c:v>
                </c:pt>
                <c:pt idx="416">
                  <c:v>31.056803315</c:v>
                </c:pt>
                <c:pt idx="417">
                  <c:v>29.449660474000002</c:v>
                </c:pt>
                <c:pt idx="418">
                  <c:v>30.388175979</c:v>
                </c:pt>
                <c:pt idx="419">
                  <c:v>30.398295122</c:v>
                </c:pt>
                <c:pt idx="420">
                  <c:v>31.518035775000001</c:v>
                </c:pt>
                <c:pt idx="421">
                  <c:v>30.350461461999998</c:v>
                </c:pt>
                <c:pt idx="422">
                  <c:v>29.987110643000001</c:v>
                </c:pt>
                <c:pt idx="423">
                  <c:v>28.907096411000001</c:v>
                </c:pt>
                <c:pt idx="424">
                  <c:v>30.338423694999999</c:v>
                </c:pt>
                <c:pt idx="425">
                  <c:v>32.053073791999999</c:v>
                </c:pt>
                <c:pt idx="426">
                  <c:v>30.797592284</c:v>
                </c:pt>
                <c:pt idx="427">
                  <c:v>29.404632750000001</c:v>
                </c:pt>
                <c:pt idx="428">
                  <c:v>28.060923286000001</c:v>
                </c:pt>
                <c:pt idx="429">
                  <c:v>27.249559933</c:v>
                </c:pt>
                <c:pt idx="430">
                  <c:v>26.073422370999999</c:v>
                </c:pt>
                <c:pt idx="431">
                  <c:v>24.951238740000001</c:v>
                </c:pt>
                <c:pt idx="432">
                  <c:v>23.708533885000001</c:v>
                </c:pt>
                <c:pt idx="433">
                  <c:v>23.292484457</c:v>
                </c:pt>
                <c:pt idx="434">
                  <c:v>23.579463018999999</c:v>
                </c:pt>
                <c:pt idx="435">
                  <c:v>22.116958655000001</c:v>
                </c:pt>
                <c:pt idx="436">
                  <c:v>20.28911725</c:v>
                </c:pt>
                <c:pt idx="437">
                  <c:v>18.409257196999999</c:v>
                </c:pt>
                <c:pt idx="438">
                  <c:v>17.102849888000001</c:v>
                </c:pt>
                <c:pt idx="439">
                  <c:v>17.318676254</c:v>
                </c:pt>
                <c:pt idx="440">
                  <c:v>16.779640233999999</c:v>
                </c:pt>
                <c:pt idx="441">
                  <c:v>15.969410218</c:v>
                </c:pt>
                <c:pt idx="442">
                  <c:v>15.408068353000001</c:v>
                </c:pt>
                <c:pt idx="443">
                  <c:v>15.224891687</c:v>
                </c:pt>
              </c:numCache>
            </c:numRef>
          </c:yVal>
          <c:smooth val="0"/>
        </c:ser>
        <c:dLbls>
          <c:showLegendKey val="0"/>
          <c:showVal val="0"/>
          <c:showCatName val="0"/>
          <c:showSerName val="0"/>
          <c:showPercent val="0"/>
          <c:showBubbleSize val="0"/>
        </c:dLbls>
        <c:axId val="81196544"/>
        <c:axId val="81190272"/>
      </c:scatterChart>
      <c:dateAx>
        <c:axId val="81187200"/>
        <c:scaling>
          <c:orientation val="minMax"/>
        </c:scaling>
        <c:delete val="0"/>
        <c:axPos val="b"/>
        <c:numFmt formatCode="[$-409]d\-mmm\-yy;@" sourceLinked="1"/>
        <c:majorTickMark val="out"/>
        <c:minorTickMark val="none"/>
        <c:tickLblPos val="nextTo"/>
        <c:crossAx val="81188736"/>
        <c:crosses val="autoZero"/>
        <c:auto val="1"/>
        <c:lblOffset val="100"/>
        <c:baseTimeUnit val="days"/>
      </c:dateAx>
      <c:valAx>
        <c:axId val="81188736"/>
        <c:scaling>
          <c:orientation val="minMax"/>
        </c:scaling>
        <c:delete val="0"/>
        <c:axPos val="l"/>
        <c:majorGridlines/>
        <c:title>
          <c:tx>
            <c:rich>
              <a:bodyPr rot="-5400000" vert="horz"/>
              <a:lstStyle/>
              <a:p>
                <a:pPr>
                  <a:defRPr/>
                </a:pPr>
                <a:r>
                  <a:rPr lang="en-US"/>
                  <a:t>Precipitation (cm)</a:t>
                </a:r>
              </a:p>
            </c:rich>
          </c:tx>
          <c:overlay val="0"/>
        </c:title>
        <c:numFmt formatCode="General" sourceLinked="1"/>
        <c:majorTickMark val="out"/>
        <c:minorTickMark val="none"/>
        <c:tickLblPos val="nextTo"/>
        <c:crossAx val="81187200"/>
        <c:crosses val="autoZero"/>
        <c:crossBetween val="between"/>
      </c:valAx>
      <c:valAx>
        <c:axId val="81190272"/>
        <c:scaling>
          <c:orientation val="minMax"/>
          <c:max val="35"/>
        </c:scaling>
        <c:delete val="0"/>
        <c:axPos val="r"/>
        <c:title>
          <c:tx>
            <c:rich>
              <a:bodyPr rot="-5400000" vert="horz"/>
              <a:lstStyle/>
              <a:p>
                <a:pPr>
                  <a:defRPr/>
                </a:pPr>
                <a:r>
                  <a:rPr lang="en-US"/>
                  <a:t>Soil Moisture (%)</a:t>
                </a:r>
              </a:p>
            </c:rich>
          </c:tx>
          <c:overlay val="0"/>
        </c:title>
        <c:numFmt formatCode="General" sourceLinked="1"/>
        <c:majorTickMark val="out"/>
        <c:minorTickMark val="none"/>
        <c:tickLblPos val="nextTo"/>
        <c:crossAx val="81196544"/>
        <c:crosses val="max"/>
        <c:crossBetween val="midCat"/>
      </c:valAx>
      <c:valAx>
        <c:axId val="81196544"/>
        <c:scaling>
          <c:orientation val="minMax"/>
        </c:scaling>
        <c:delete val="1"/>
        <c:axPos val="t"/>
        <c:numFmt formatCode="[$-409]d\-mmm\-yy;@" sourceLinked="1"/>
        <c:majorTickMark val="out"/>
        <c:minorTickMark val="none"/>
        <c:tickLblPos val="nextTo"/>
        <c:crossAx val="81190272"/>
        <c:crosses val="max"/>
        <c:crossBetween val="midCat"/>
      </c:valAx>
    </c:plotArea>
    <c:legend>
      <c:legendPos val="r"/>
      <c:layout>
        <c:manualLayout>
          <c:xMode val="edge"/>
          <c:yMode val="edge"/>
          <c:x val="0.80755157145609524"/>
          <c:y val="0.40126461865592306"/>
          <c:w val="0.17728883451347052"/>
          <c:h val="0.23894550511729723"/>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0"/>
          <c:tx>
            <c:v>Change SOC 08-11</c:v>
          </c:tx>
          <c:spPr>
            <a:pattFill prst="pct5">
              <a:fgClr>
                <a:schemeClr val="tx1"/>
              </a:fgClr>
              <a:bgClr>
                <a:schemeClr val="bg1"/>
              </a:bgClr>
            </a:pattFill>
            <a:ln>
              <a:solidFill>
                <a:schemeClr val="tx1"/>
              </a:solidFill>
            </a:ln>
          </c:spPr>
          <c:invertIfNegative val="0"/>
          <c:cat>
            <c:strRef>
              <c:f>'C:\Users\Gray\Dropbox\Thesis\[SOC Database.xlsx]Graphs'!$J$1:$P$1</c:f>
              <c:strCache>
                <c:ptCount val="7"/>
                <c:pt idx="0">
                  <c:v>0-5cm</c:v>
                </c:pt>
                <c:pt idx="1">
                  <c:v>5-10cm</c:v>
                </c:pt>
                <c:pt idx="2">
                  <c:v>10-15cm</c:v>
                </c:pt>
                <c:pt idx="3">
                  <c:v>15-30cm</c:v>
                </c:pt>
                <c:pt idx="4">
                  <c:v>30-60cm</c:v>
                </c:pt>
                <c:pt idx="5">
                  <c:v>60-90cm</c:v>
                </c:pt>
                <c:pt idx="6">
                  <c:v>90-120cm</c:v>
                </c:pt>
              </c:strCache>
            </c:strRef>
          </c:cat>
          <c:val>
            <c:numRef>
              <c:f>'C:\Users\Gray\Dropbox\Thesis\[SOC Database.xlsx]Graphs'!$J$11:$P$11</c:f>
              <c:numCache>
                <c:formatCode>General</c:formatCode>
                <c:ptCount val="7"/>
                <c:pt idx="0">
                  <c:v>-4.1877814556475528</c:v>
                </c:pt>
                <c:pt idx="1">
                  <c:v>-13.061340923099365</c:v>
                </c:pt>
                <c:pt idx="2">
                  <c:v>-8.8548621598965269</c:v>
                </c:pt>
                <c:pt idx="3">
                  <c:v>-7.168158336133061</c:v>
                </c:pt>
                <c:pt idx="4">
                  <c:v>6.167786968980792</c:v>
                </c:pt>
                <c:pt idx="5">
                  <c:v>27.472809362928245</c:v>
                </c:pt>
                <c:pt idx="6">
                  <c:v>35.581669253890198</c:v>
                </c:pt>
              </c:numCache>
            </c:numRef>
          </c:val>
        </c:ser>
        <c:dLbls>
          <c:showLegendKey val="0"/>
          <c:showVal val="0"/>
          <c:showCatName val="0"/>
          <c:showSerName val="0"/>
          <c:showPercent val="0"/>
          <c:showBubbleSize val="0"/>
        </c:dLbls>
        <c:gapWidth val="150"/>
        <c:axId val="38150528"/>
        <c:axId val="38152448"/>
      </c:barChart>
      <c:catAx>
        <c:axId val="38150528"/>
        <c:scaling>
          <c:orientation val="minMax"/>
        </c:scaling>
        <c:delete val="0"/>
        <c:axPos val="b"/>
        <c:title>
          <c:tx>
            <c:rich>
              <a:bodyPr/>
              <a:lstStyle/>
              <a:p>
                <a:pPr>
                  <a:defRPr/>
                </a:pPr>
                <a:r>
                  <a:rPr lang="en-US"/>
                  <a:t>Depth</a:t>
                </a:r>
              </a:p>
            </c:rich>
          </c:tx>
          <c:overlay val="0"/>
        </c:title>
        <c:majorTickMark val="out"/>
        <c:minorTickMark val="none"/>
        <c:tickLblPos val="low"/>
        <c:crossAx val="38152448"/>
        <c:crosses val="autoZero"/>
        <c:auto val="1"/>
        <c:lblAlgn val="ctr"/>
        <c:lblOffset val="0"/>
        <c:noMultiLvlLbl val="0"/>
      </c:catAx>
      <c:valAx>
        <c:axId val="38152448"/>
        <c:scaling>
          <c:orientation val="minMax"/>
        </c:scaling>
        <c:delete val="0"/>
        <c:axPos val="l"/>
        <c:majorGridlines/>
        <c:title>
          <c:tx>
            <c:rich>
              <a:bodyPr rot="-5400000" vert="horz"/>
              <a:lstStyle/>
              <a:p>
                <a:pPr>
                  <a:defRPr/>
                </a:pPr>
                <a:r>
                  <a:rPr lang="en-US"/>
                  <a:t>Change (%)</a:t>
                </a:r>
              </a:p>
            </c:rich>
          </c:tx>
          <c:overlay val="0"/>
        </c:title>
        <c:numFmt formatCode="General" sourceLinked="1"/>
        <c:majorTickMark val="out"/>
        <c:minorTickMark val="none"/>
        <c:tickLblPos val="nextTo"/>
        <c:crossAx val="38150528"/>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SOC 2008</c:v>
          </c:tx>
          <c:spPr>
            <a:pattFill prst="pct50">
              <a:fgClr>
                <a:schemeClr val="tx1"/>
              </a:fgClr>
              <a:bgClr>
                <a:schemeClr val="bg1"/>
              </a:bgClr>
            </a:pattFill>
            <a:ln>
              <a:solidFill>
                <a:schemeClr val="tx1"/>
              </a:solidFill>
            </a:ln>
          </c:spPr>
          <c:invertIfNegative val="0"/>
          <c:errBars>
            <c:errBarType val="both"/>
            <c:errValType val="cust"/>
            <c:noEndCap val="0"/>
            <c:plus>
              <c:numRef>
                <c:f>SOC!$B$54:$H$54</c:f>
                <c:numCache>
                  <c:formatCode>General</c:formatCode>
                  <c:ptCount val="7"/>
                  <c:pt idx="0">
                    <c:v>5.8749999999999997E-2</c:v>
                  </c:pt>
                  <c:pt idx="1">
                    <c:v>9.0289999999999995E-2</c:v>
                  </c:pt>
                  <c:pt idx="2">
                    <c:v>0.1094</c:v>
                  </c:pt>
                  <c:pt idx="3">
                    <c:v>0.1351</c:v>
                  </c:pt>
                  <c:pt idx="4">
                    <c:v>2.5229999999999999E-2</c:v>
                  </c:pt>
                  <c:pt idx="5">
                    <c:v>0.27679999999999999</c:v>
                  </c:pt>
                  <c:pt idx="6">
                    <c:v>0.16539999999999999</c:v>
                  </c:pt>
                </c:numCache>
              </c:numRef>
            </c:plus>
            <c:minus>
              <c:numRef>
                <c:f>SOC!$B$54:$H$54</c:f>
                <c:numCache>
                  <c:formatCode>General</c:formatCode>
                  <c:ptCount val="7"/>
                  <c:pt idx="0">
                    <c:v>5.8749999999999997E-2</c:v>
                  </c:pt>
                  <c:pt idx="1">
                    <c:v>9.0289999999999995E-2</c:v>
                  </c:pt>
                  <c:pt idx="2">
                    <c:v>0.1094</c:v>
                  </c:pt>
                  <c:pt idx="3">
                    <c:v>0.1351</c:v>
                  </c:pt>
                  <c:pt idx="4">
                    <c:v>2.5229999999999999E-2</c:v>
                  </c:pt>
                  <c:pt idx="5">
                    <c:v>0.27679999999999999</c:v>
                  </c:pt>
                  <c:pt idx="6">
                    <c:v>0.16539999999999999</c:v>
                  </c:pt>
                </c:numCache>
              </c:numRef>
            </c:minus>
          </c:errBars>
          <c:cat>
            <c:strRef>
              <c:f>SOC!$B$52:$H$52</c:f>
              <c:strCache>
                <c:ptCount val="7"/>
                <c:pt idx="0">
                  <c:v>Corn </c:v>
                </c:pt>
                <c:pt idx="1">
                  <c:v>Fallow </c:v>
                </c:pt>
                <c:pt idx="2">
                  <c:v>Greenbeans </c:v>
                </c:pt>
                <c:pt idx="3">
                  <c:v>Pasture </c:v>
                </c:pt>
                <c:pt idx="4">
                  <c:v>Soybeans </c:v>
                </c:pt>
                <c:pt idx="5">
                  <c:v>Switchgrass </c:v>
                </c:pt>
                <c:pt idx="6">
                  <c:v>Wheat</c:v>
                </c:pt>
              </c:strCache>
            </c:strRef>
          </c:cat>
          <c:val>
            <c:numRef>
              <c:f>SOC!$B$53:$H$53</c:f>
              <c:numCache>
                <c:formatCode>0.00</c:formatCode>
                <c:ptCount val="7"/>
                <c:pt idx="0">
                  <c:v>1.5178</c:v>
                </c:pt>
                <c:pt idx="1">
                  <c:v>1.2647999999999999</c:v>
                </c:pt>
                <c:pt idx="2">
                  <c:v>1.0243</c:v>
                </c:pt>
                <c:pt idx="3">
                  <c:v>1.4136</c:v>
                </c:pt>
                <c:pt idx="4">
                  <c:v>1.3086</c:v>
                </c:pt>
                <c:pt idx="5">
                  <c:v>1.9674</c:v>
                </c:pt>
                <c:pt idx="6">
                  <c:v>1.3991</c:v>
                </c:pt>
              </c:numCache>
            </c:numRef>
          </c:val>
        </c:ser>
        <c:ser>
          <c:idx val="1"/>
          <c:order val="1"/>
          <c:tx>
            <c:v>SOC 2009</c:v>
          </c:tx>
          <c:spPr>
            <a:pattFill prst="ltDnDiag">
              <a:fgClr>
                <a:schemeClr val="tx1"/>
              </a:fgClr>
              <a:bgClr>
                <a:schemeClr val="bg1"/>
              </a:bgClr>
            </a:pattFill>
            <a:ln>
              <a:solidFill>
                <a:schemeClr val="tx1"/>
              </a:solidFill>
            </a:ln>
          </c:spPr>
          <c:invertIfNegative val="0"/>
          <c:errBars>
            <c:errBarType val="both"/>
            <c:errValType val="cust"/>
            <c:noEndCap val="0"/>
            <c:plus>
              <c:numRef>
                <c:f>SOC!$B$58:$H$58</c:f>
                <c:numCache>
                  <c:formatCode>General</c:formatCode>
                  <c:ptCount val="7"/>
                  <c:pt idx="0">
                    <c:v>6.0990000000000003E-2</c:v>
                  </c:pt>
                  <c:pt idx="1">
                    <c:v>9.0289999999999995E-2</c:v>
                  </c:pt>
                  <c:pt idx="2">
                    <c:v>0.1263</c:v>
                  </c:pt>
                  <c:pt idx="3">
                    <c:v>0.1351</c:v>
                  </c:pt>
                  <c:pt idx="4">
                    <c:v>2.5860000000000001E-2</c:v>
                  </c:pt>
                  <c:pt idx="5">
                    <c:v>0.61899999999999999</c:v>
                  </c:pt>
                  <c:pt idx="6">
                    <c:v>0.1547</c:v>
                  </c:pt>
                </c:numCache>
              </c:numRef>
            </c:plus>
            <c:minus>
              <c:numRef>
                <c:f>SOC!$B$58:$H$58</c:f>
                <c:numCache>
                  <c:formatCode>General</c:formatCode>
                  <c:ptCount val="7"/>
                  <c:pt idx="0">
                    <c:v>6.0990000000000003E-2</c:v>
                  </c:pt>
                  <c:pt idx="1">
                    <c:v>9.0289999999999995E-2</c:v>
                  </c:pt>
                  <c:pt idx="2">
                    <c:v>0.1263</c:v>
                  </c:pt>
                  <c:pt idx="3">
                    <c:v>0.1351</c:v>
                  </c:pt>
                  <c:pt idx="4">
                    <c:v>2.5860000000000001E-2</c:v>
                  </c:pt>
                  <c:pt idx="5">
                    <c:v>0.61899999999999999</c:v>
                  </c:pt>
                  <c:pt idx="6">
                    <c:v>0.1547</c:v>
                  </c:pt>
                </c:numCache>
              </c:numRef>
            </c:minus>
          </c:errBars>
          <c:cat>
            <c:strRef>
              <c:f>SOC!$B$52:$H$52</c:f>
              <c:strCache>
                <c:ptCount val="7"/>
                <c:pt idx="0">
                  <c:v>Corn </c:v>
                </c:pt>
                <c:pt idx="1">
                  <c:v>Fallow </c:v>
                </c:pt>
                <c:pt idx="2">
                  <c:v>Greenbeans </c:v>
                </c:pt>
                <c:pt idx="3">
                  <c:v>Pasture </c:v>
                </c:pt>
                <c:pt idx="4">
                  <c:v>Soybeans </c:v>
                </c:pt>
                <c:pt idx="5">
                  <c:v>Switchgrass </c:v>
                </c:pt>
                <c:pt idx="6">
                  <c:v>Wheat</c:v>
                </c:pt>
              </c:strCache>
            </c:strRef>
          </c:cat>
          <c:val>
            <c:numRef>
              <c:f>SOC!$B$57:$H$57</c:f>
              <c:numCache>
                <c:formatCode>0.00</c:formatCode>
                <c:ptCount val="7"/>
                <c:pt idx="0">
                  <c:v>1.3502000000000001</c:v>
                </c:pt>
                <c:pt idx="1">
                  <c:v>1.1405000000000001</c:v>
                </c:pt>
                <c:pt idx="2">
                  <c:v>1.0925</c:v>
                </c:pt>
                <c:pt idx="3">
                  <c:v>1.5338000000000001</c:v>
                </c:pt>
                <c:pt idx="4">
                  <c:v>1.2212000000000001</c:v>
                </c:pt>
                <c:pt idx="5">
                  <c:v>1.0465</c:v>
                </c:pt>
                <c:pt idx="6">
                  <c:v>1.1336999999999999</c:v>
                </c:pt>
              </c:numCache>
            </c:numRef>
          </c:val>
        </c:ser>
        <c:ser>
          <c:idx val="2"/>
          <c:order val="2"/>
          <c:tx>
            <c:v>SOC 2010</c:v>
          </c:tx>
          <c:spPr>
            <a:pattFill prst="dashDnDiag">
              <a:fgClr>
                <a:schemeClr val="tx1"/>
              </a:fgClr>
              <a:bgClr>
                <a:schemeClr val="bg1"/>
              </a:bgClr>
            </a:pattFill>
            <a:ln>
              <a:solidFill>
                <a:schemeClr val="tx1"/>
              </a:solidFill>
            </a:ln>
          </c:spPr>
          <c:invertIfNegative val="0"/>
          <c:errBars>
            <c:errBarType val="both"/>
            <c:errValType val="cust"/>
            <c:noEndCap val="0"/>
            <c:plus>
              <c:numRef>
                <c:f>SOC!$B$62:$H$62</c:f>
                <c:numCache>
                  <c:formatCode>General</c:formatCode>
                  <c:ptCount val="7"/>
                  <c:pt idx="0">
                    <c:v>5.9290000000000002E-2</c:v>
                  </c:pt>
                  <c:pt idx="1">
                    <c:v>9.1259999999999994E-2</c:v>
                  </c:pt>
                  <c:pt idx="2">
                    <c:v>5.772E-2</c:v>
                  </c:pt>
                  <c:pt idx="3">
                    <c:v>8.9340000000000003E-2</c:v>
                  </c:pt>
                  <c:pt idx="4">
                    <c:v>2.486E-2</c:v>
                  </c:pt>
                  <c:pt idx="5">
                    <c:v>0.61899999999999999</c:v>
                  </c:pt>
                  <c:pt idx="6">
                    <c:v>0.1547</c:v>
                  </c:pt>
                </c:numCache>
              </c:numRef>
            </c:plus>
            <c:minus>
              <c:numRef>
                <c:f>SOC!$B$62:$H$62</c:f>
                <c:numCache>
                  <c:formatCode>General</c:formatCode>
                  <c:ptCount val="7"/>
                  <c:pt idx="0">
                    <c:v>5.9290000000000002E-2</c:v>
                  </c:pt>
                  <c:pt idx="1">
                    <c:v>9.1259999999999994E-2</c:v>
                  </c:pt>
                  <c:pt idx="2">
                    <c:v>5.772E-2</c:v>
                  </c:pt>
                  <c:pt idx="3">
                    <c:v>8.9340000000000003E-2</c:v>
                  </c:pt>
                  <c:pt idx="4">
                    <c:v>2.486E-2</c:v>
                  </c:pt>
                  <c:pt idx="5">
                    <c:v>0.61899999999999999</c:v>
                  </c:pt>
                  <c:pt idx="6">
                    <c:v>0.1547</c:v>
                  </c:pt>
                </c:numCache>
              </c:numRef>
            </c:minus>
          </c:errBars>
          <c:cat>
            <c:strRef>
              <c:f>SOC!$B$52:$H$52</c:f>
              <c:strCache>
                <c:ptCount val="7"/>
                <c:pt idx="0">
                  <c:v>Corn </c:v>
                </c:pt>
                <c:pt idx="1">
                  <c:v>Fallow </c:v>
                </c:pt>
                <c:pt idx="2">
                  <c:v>Greenbeans </c:v>
                </c:pt>
                <c:pt idx="3">
                  <c:v>Pasture </c:v>
                </c:pt>
                <c:pt idx="4">
                  <c:v>Soybeans </c:v>
                </c:pt>
                <c:pt idx="5">
                  <c:v>Switchgrass </c:v>
                </c:pt>
                <c:pt idx="6">
                  <c:v>Wheat</c:v>
                </c:pt>
              </c:strCache>
            </c:strRef>
          </c:cat>
          <c:val>
            <c:numRef>
              <c:f>SOC!$B$61:$H$61</c:f>
              <c:numCache>
                <c:formatCode>0.00</c:formatCode>
                <c:ptCount val="7"/>
                <c:pt idx="0">
                  <c:v>1.3671</c:v>
                </c:pt>
                <c:pt idx="1">
                  <c:v>1.1685000000000001</c:v>
                </c:pt>
                <c:pt idx="2">
                  <c:v>1.1031</c:v>
                </c:pt>
                <c:pt idx="3">
                  <c:v>1.5381</c:v>
                </c:pt>
                <c:pt idx="4">
                  <c:v>1.2001999999999999</c:v>
                </c:pt>
                <c:pt idx="5">
                  <c:v>0.5</c:v>
                </c:pt>
                <c:pt idx="6">
                  <c:v>1.2269000000000001</c:v>
                </c:pt>
              </c:numCache>
            </c:numRef>
          </c:val>
        </c:ser>
        <c:ser>
          <c:idx val="3"/>
          <c:order val="3"/>
          <c:tx>
            <c:v>SOC 2011</c:v>
          </c:tx>
          <c:spPr>
            <a:pattFill prst="horzBrick">
              <a:fgClr>
                <a:schemeClr val="tx1"/>
              </a:fgClr>
              <a:bgClr>
                <a:schemeClr val="bg1"/>
              </a:bgClr>
            </a:pattFill>
            <a:ln>
              <a:solidFill>
                <a:schemeClr val="tx1"/>
              </a:solidFill>
            </a:ln>
          </c:spPr>
          <c:invertIfNegative val="0"/>
          <c:errBars>
            <c:errBarType val="both"/>
            <c:errValType val="cust"/>
            <c:noEndCap val="0"/>
            <c:plus>
              <c:numRef>
                <c:f>SOC!$B$66:$H$66</c:f>
                <c:numCache>
                  <c:formatCode>General</c:formatCode>
                  <c:ptCount val="7"/>
                  <c:pt idx="0">
                    <c:v>5.849E-2</c:v>
                  </c:pt>
                  <c:pt idx="1">
                    <c:v>8.9340000000000003E-2</c:v>
                  </c:pt>
                  <c:pt idx="2">
                    <c:v>0.11700000000000001</c:v>
                  </c:pt>
                  <c:pt idx="3">
                    <c:v>8.2710000000000006E-2</c:v>
                  </c:pt>
                  <c:pt idx="4">
                    <c:v>2.6509999999999999E-2</c:v>
                  </c:pt>
                  <c:pt idx="5">
                    <c:v>0.1384</c:v>
                  </c:pt>
                  <c:pt idx="6">
                    <c:v>0.1547</c:v>
                  </c:pt>
                </c:numCache>
              </c:numRef>
            </c:plus>
            <c:minus>
              <c:numRef>
                <c:f>SOC!$B$66:$H$66</c:f>
                <c:numCache>
                  <c:formatCode>General</c:formatCode>
                  <c:ptCount val="7"/>
                  <c:pt idx="0">
                    <c:v>5.849E-2</c:v>
                  </c:pt>
                  <c:pt idx="1">
                    <c:v>8.9340000000000003E-2</c:v>
                  </c:pt>
                  <c:pt idx="2">
                    <c:v>0.11700000000000001</c:v>
                  </c:pt>
                  <c:pt idx="3">
                    <c:v>8.2710000000000006E-2</c:v>
                  </c:pt>
                  <c:pt idx="4">
                    <c:v>2.6509999999999999E-2</c:v>
                  </c:pt>
                  <c:pt idx="5">
                    <c:v>0.1384</c:v>
                  </c:pt>
                  <c:pt idx="6">
                    <c:v>0.1547</c:v>
                  </c:pt>
                </c:numCache>
              </c:numRef>
            </c:minus>
          </c:errBars>
          <c:cat>
            <c:strRef>
              <c:f>SOC!$B$52:$H$52</c:f>
              <c:strCache>
                <c:ptCount val="7"/>
                <c:pt idx="0">
                  <c:v>Corn </c:v>
                </c:pt>
                <c:pt idx="1">
                  <c:v>Fallow </c:v>
                </c:pt>
                <c:pt idx="2">
                  <c:v>Greenbeans </c:v>
                </c:pt>
                <c:pt idx="3">
                  <c:v>Pasture </c:v>
                </c:pt>
                <c:pt idx="4">
                  <c:v>Soybeans </c:v>
                </c:pt>
                <c:pt idx="5">
                  <c:v>Switchgrass </c:v>
                </c:pt>
                <c:pt idx="6">
                  <c:v>Wheat</c:v>
                </c:pt>
              </c:strCache>
            </c:strRef>
          </c:cat>
          <c:val>
            <c:numRef>
              <c:f>SOC!$B$65:$H$65</c:f>
              <c:numCache>
                <c:formatCode>0.00</c:formatCode>
                <c:ptCount val="7"/>
                <c:pt idx="0">
                  <c:v>1.4072</c:v>
                </c:pt>
                <c:pt idx="1">
                  <c:v>1.1247</c:v>
                </c:pt>
                <c:pt idx="2">
                  <c:v>1.1281000000000001</c:v>
                </c:pt>
                <c:pt idx="3">
                  <c:v>1.4533</c:v>
                </c:pt>
                <c:pt idx="4">
                  <c:v>1.1787000000000001</c:v>
                </c:pt>
                <c:pt idx="5">
                  <c:v>0.88700000000000001</c:v>
                </c:pt>
                <c:pt idx="6">
                  <c:v>1.0532999999999999</c:v>
                </c:pt>
              </c:numCache>
            </c:numRef>
          </c:val>
        </c:ser>
        <c:dLbls>
          <c:showLegendKey val="0"/>
          <c:showVal val="0"/>
          <c:showCatName val="0"/>
          <c:showSerName val="0"/>
          <c:showPercent val="0"/>
          <c:showBubbleSize val="0"/>
        </c:dLbls>
        <c:gapWidth val="150"/>
        <c:axId val="37845248"/>
        <c:axId val="38178816"/>
      </c:barChart>
      <c:catAx>
        <c:axId val="37845248"/>
        <c:scaling>
          <c:orientation val="minMax"/>
        </c:scaling>
        <c:delete val="0"/>
        <c:axPos val="b"/>
        <c:numFmt formatCode="0" sourceLinked="1"/>
        <c:majorTickMark val="out"/>
        <c:minorTickMark val="none"/>
        <c:tickLblPos val="nextTo"/>
        <c:txPr>
          <a:bodyPr rot="0"/>
          <a:lstStyle/>
          <a:p>
            <a:pPr>
              <a:defRPr/>
            </a:pPr>
            <a:endParaRPr lang="en-US"/>
          </a:p>
        </c:txPr>
        <c:crossAx val="38178816"/>
        <c:crosses val="autoZero"/>
        <c:auto val="1"/>
        <c:lblAlgn val="ctr"/>
        <c:lblOffset val="100"/>
        <c:noMultiLvlLbl val="0"/>
      </c:catAx>
      <c:valAx>
        <c:axId val="38178816"/>
        <c:scaling>
          <c:orientation val="minMax"/>
        </c:scaling>
        <c:delete val="0"/>
        <c:axPos val="l"/>
        <c:majorGridlines/>
        <c:title>
          <c:tx>
            <c:rich>
              <a:bodyPr rot="-5400000" vert="horz"/>
              <a:lstStyle/>
              <a:p>
                <a:pPr>
                  <a:defRPr/>
                </a:pPr>
                <a:r>
                  <a:rPr lang="en-US"/>
                  <a:t>Soil Organic Carbon (%)</a:t>
                </a:r>
              </a:p>
            </c:rich>
          </c:tx>
          <c:overlay val="0"/>
        </c:title>
        <c:numFmt formatCode="0.00" sourceLinked="1"/>
        <c:majorTickMark val="out"/>
        <c:minorTickMark val="none"/>
        <c:tickLblPos val="nextTo"/>
        <c:crossAx val="37845248"/>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SOC 2008</c:v>
          </c:tx>
          <c:spPr>
            <a:pattFill prst="pct50">
              <a:fgClr>
                <a:schemeClr val="tx1"/>
              </a:fgClr>
              <a:bgClr>
                <a:schemeClr val="bg1"/>
              </a:bgClr>
            </a:pattFill>
            <a:ln>
              <a:solidFill>
                <a:schemeClr val="tx1"/>
              </a:solidFill>
            </a:ln>
          </c:spPr>
          <c:invertIfNegative val="0"/>
          <c:errBars>
            <c:errBarType val="both"/>
            <c:errValType val="cust"/>
            <c:noEndCap val="0"/>
            <c:plus>
              <c:numRef>
                <c:f>SOC!$B$124:$M$124</c:f>
                <c:numCache>
                  <c:formatCode>General</c:formatCode>
                  <c:ptCount val="12"/>
                  <c:pt idx="0">
                    <c:v>0.15440000000000001</c:v>
                  </c:pt>
                  <c:pt idx="1">
                    <c:v>0.155165</c:v>
                  </c:pt>
                  <c:pt idx="2">
                    <c:v>0.1074</c:v>
                  </c:pt>
                  <c:pt idx="3">
                    <c:v>6.1359999999999998E-2</c:v>
                  </c:pt>
                  <c:pt idx="4">
                    <c:v>0.1057</c:v>
                  </c:pt>
                  <c:pt idx="5">
                    <c:v>0.14949999999999999</c:v>
                  </c:pt>
                  <c:pt idx="6">
                    <c:v>4.0599999999999997E-2</c:v>
                  </c:pt>
                  <c:pt idx="7">
                    <c:v>0.12306500000000001</c:v>
                  </c:pt>
                  <c:pt idx="8">
                    <c:v>6.1359999999999998E-2</c:v>
                  </c:pt>
                  <c:pt idx="9">
                    <c:v>0.14949999999999999</c:v>
                  </c:pt>
                  <c:pt idx="10">
                    <c:v>0.1057</c:v>
                  </c:pt>
                  <c:pt idx="11">
                    <c:v>0.26750000000000002</c:v>
                  </c:pt>
                </c:numCache>
              </c:numRef>
            </c:plus>
            <c:minus>
              <c:numRef>
                <c:f>SOC!$B$124:$M$124</c:f>
                <c:numCache>
                  <c:formatCode>General</c:formatCode>
                  <c:ptCount val="12"/>
                  <c:pt idx="0">
                    <c:v>0.15440000000000001</c:v>
                  </c:pt>
                  <c:pt idx="1">
                    <c:v>0.155165</c:v>
                  </c:pt>
                  <c:pt idx="2">
                    <c:v>0.1074</c:v>
                  </c:pt>
                  <c:pt idx="3">
                    <c:v>6.1359999999999998E-2</c:v>
                  </c:pt>
                  <c:pt idx="4">
                    <c:v>0.1057</c:v>
                  </c:pt>
                  <c:pt idx="5">
                    <c:v>0.14949999999999999</c:v>
                  </c:pt>
                  <c:pt idx="6">
                    <c:v>4.0599999999999997E-2</c:v>
                  </c:pt>
                  <c:pt idx="7">
                    <c:v>0.12306500000000001</c:v>
                  </c:pt>
                  <c:pt idx="8">
                    <c:v>6.1359999999999998E-2</c:v>
                  </c:pt>
                  <c:pt idx="9">
                    <c:v>0.14949999999999999</c:v>
                  </c:pt>
                  <c:pt idx="10">
                    <c:v>0.1057</c:v>
                  </c:pt>
                  <c:pt idx="11">
                    <c:v>0.26750000000000002</c:v>
                  </c:pt>
                </c:numCache>
              </c:numRef>
            </c:minus>
          </c:errBars>
          <c:cat>
            <c:strRef>
              <c:f>SOC!$B$122:$M$122</c:f>
              <c:strCache>
                <c:ptCount val="12"/>
                <c:pt idx="0">
                  <c:v>2 (Fallow)</c:v>
                </c:pt>
                <c:pt idx="1">
                  <c:v>4 (Soy/Switch)</c:v>
                </c:pt>
                <c:pt idx="2">
                  <c:v>5 (Soy)</c:v>
                </c:pt>
                <c:pt idx="3">
                  <c:v>6 (Soy)</c:v>
                </c:pt>
                <c:pt idx="4">
                  <c:v>7 (Fall)</c:v>
                </c:pt>
                <c:pt idx="5">
                  <c:v>8 (Corn/Past)</c:v>
                </c:pt>
                <c:pt idx="6">
                  <c:v>9 (Soy)</c:v>
                </c:pt>
                <c:pt idx="7">
                  <c:v>10 (Soy/ Wht)</c:v>
                </c:pt>
                <c:pt idx="8">
                  <c:v>11 (Corn)</c:v>
                </c:pt>
                <c:pt idx="9">
                  <c:v>12 (Soy)</c:v>
                </c:pt>
                <c:pt idx="10">
                  <c:v>13 (GB)</c:v>
                </c:pt>
                <c:pt idx="11">
                  <c:v>15 (Past)</c:v>
                </c:pt>
              </c:strCache>
            </c:strRef>
          </c:cat>
          <c:val>
            <c:numRef>
              <c:f>SOC!$B$123:$M$123</c:f>
              <c:numCache>
                <c:formatCode>0.00</c:formatCode>
                <c:ptCount val="12"/>
                <c:pt idx="0">
                  <c:v>1.4597</c:v>
                </c:pt>
                <c:pt idx="1">
                  <c:v>1.7675000000000001</c:v>
                </c:pt>
                <c:pt idx="2">
                  <c:v>0.82010000000000005</c:v>
                </c:pt>
                <c:pt idx="3">
                  <c:v>1.2513000000000001</c:v>
                </c:pt>
                <c:pt idx="4">
                  <c:v>1.1735</c:v>
                </c:pt>
                <c:pt idx="5">
                  <c:v>1.6266</c:v>
                </c:pt>
                <c:pt idx="6">
                  <c:v>1.2182999999999999</c:v>
                </c:pt>
                <c:pt idx="7">
                  <c:v>1.2857500000000002</c:v>
                </c:pt>
                <c:pt idx="8">
                  <c:v>1.4174</c:v>
                </c:pt>
                <c:pt idx="9">
                  <c:v>1.0701000000000001</c:v>
                </c:pt>
                <c:pt idx="10">
                  <c:v>1.0243</c:v>
                </c:pt>
                <c:pt idx="11">
                  <c:v>2.2907000000000002</c:v>
                </c:pt>
              </c:numCache>
            </c:numRef>
          </c:val>
        </c:ser>
        <c:ser>
          <c:idx val="1"/>
          <c:order val="1"/>
          <c:tx>
            <c:v>SOC 2009</c:v>
          </c:tx>
          <c:spPr>
            <a:pattFill prst="ltDnDiag">
              <a:fgClr>
                <a:schemeClr val="tx1"/>
              </a:fgClr>
              <a:bgClr>
                <a:schemeClr val="bg1"/>
              </a:bgClr>
            </a:pattFill>
            <a:ln>
              <a:solidFill>
                <a:schemeClr val="tx1"/>
              </a:solidFill>
            </a:ln>
          </c:spPr>
          <c:invertIfNegative val="0"/>
          <c:errBars>
            <c:errBarType val="both"/>
            <c:errValType val="cust"/>
            <c:noEndCap val="0"/>
            <c:plus>
              <c:numRef>
                <c:f>SOC!$B$128:$M$128</c:f>
                <c:numCache>
                  <c:formatCode>General</c:formatCode>
                  <c:ptCount val="12"/>
                  <c:pt idx="0">
                    <c:v>0.14949999999999999</c:v>
                  </c:pt>
                  <c:pt idx="1">
                    <c:v>0.32121499999999997</c:v>
                  </c:pt>
                  <c:pt idx="2">
                    <c:v>0.10920000000000001</c:v>
                  </c:pt>
                  <c:pt idx="3">
                    <c:v>6.2700000000000006E-2</c:v>
                  </c:pt>
                  <c:pt idx="4">
                    <c:v>0.1074</c:v>
                  </c:pt>
                  <c:pt idx="5">
                    <c:v>0.16355</c:v>
                  </c:pt>
                  <c:pt idx="6">
                    <c:v>4.1369999999999997E-2</c:v>
                  </c:pt>
                  <c:pt idx="7">
                    <c:v>0.11837</c:v>
                  </c:pt>
                  <c:pt idx="8">
                    <c:v>6.2700000000000006E-2</c:v>
                  </c:pt>
                  <c:pt idx="9">
                    <c:v>0.1598</c:v>
                  </c:pt>
                  <c:pt idx="10">
                    <c:v>0.1221</c:v>
                  </c:pt>
                  <c:pt idx="11">
                    <c:v>0.2442</c:v>
                  </c:pt>
                </c:numCache>
              </c:numRef>
            </c:plus>
            <c:minus>
              <c:numRef>
                <c:f>SOC!$B$128:$M$128</c:f>
                <c:numCache>
                  <c:formatCode>General</c:formatCode>
                  <c:ptCount val="12"/>
                  <c:pt idx="0">
                    <c:v>0.14949999999999999</c:v>
                  </c:pt>
                  <c:pt idx="1">
                    <c:v>0.32121499999999997</c:v>
                  </c:pt>
                  <c:pt idx="2">
                    <c:v>0.10920000000000001</c:v>
                  </c:pt>
                  <c:pt idx="3">
                    <c:v>6.2700000000000006E-2</c:v>
                  </c:pt>
                  <c:pt idx="4">
                    <c:v>0.1074</c:v>
                  </c:pt>
                  <c:pt idx="5">
                    <c:v>0.16355</c:v>
                  </c:pt>
                  <c:pt idx="6">
                    <c:v>4.1369999999999997E-2</c:v>
                  </c:pt>
                  <c:pt idx="7">
                    <c:v>0.11837</c:v>
                  </c:pt>
                  <c:pt idx="8">
                    <c:v>6.2700000000000006E-2</c:v>
                  </c:pt>
                  <c:pt idx="9">
                    <c:v>0.1598</c:v>
                  </c:pt>
                  <c:pt idx="10">
                    <c:v>0.1221</c:v>
                  </c:pt>
                  <c:pt idx="11">
                    <c:v>0.2442</c:v>
                  </c:pt>
                </c:numCache>
              </c:numRef>
            </c:minus>
          </c:errBars>
          <c:cat>
            <c:strRef>
              <c:f>SOC!$B$122:$M$122</c:f>
              <c:strCache>
                <c:ptCount val="12"/>
                <c:pt idx="0">
                  <c:v>2 (Fallow)</c:v>
                </c:pt>
                <c:pt idx="1">
                  <c:v>4 (Soy/Switch)</c:v>
                </c:pt>
                <c:pt idx="2">
                  <c:v>5 (Soy)</c:v>
                </c:pt>
                <c:pt idx="3">
                  <c:v>6 (Soy)</c:v>
                </c:pt>
                <c:pt idx="4">
                  <c:v>7 (Fall)</c:v>
                </c:pt>
                <c:pt idx="5">
                  <c:v>8 (Corn/Past)</c:v>
                </c:pt>
                <c:pt idx="6">
                  <c:v>9 (Soy)</c:v>
                </c:pt>
                <c:pt idx="7">
                  <c:v>10 (Soy/ Wht)</c:v>
                </c:pt>
                <c:pt idx="8">
                  <c:v>11 (Corn)</c:v>
                </c:pt>
                <c:pt idx="9">
                  <c:v>12 (Soy)</c:v>
                </c:pt>
                <c:pt idx="10">
                  <c:v>13 (GB)</c:v>
                </c:pt>
                <c:pt idx="11">
                  <c:v>15 (Past)</c:v>
                </c:pt>
              </c:strCache>
            </c:strRef>
          </c:cat>
          <c:val>
            <c:numRef>
              <c:f>SOC!$B$127:$M$127</c:f>
              <c:numCache>
                <c:formatCode>0.00</c:formatCode>
                <c:ptCount val="12"/>
                <c:pt idx="0">
                  <c:v>1.399</c:v>
                </c:pt>
                <c:pt idx="1">
                  <c:v>1.1974499999999999</c:v>
                </c:pt>
                <c:pt idx="2">
                  <c:v>0.82950000000000002</c:v>
                </c:pt>
                <c:pt idx="3">
                  <c:v>1.2497</c:v>
                </c:pt>
                <c:pt idx="4">
                  <c:v>1.0071000000000001</c:v>
                </c:pt>
                <c:pt idx="5">
                  <c:v>1.24275</c:v>
                </c:pt>
                <c:pt idx="6">
                  <c:v>1.1848000000000001</c:v>
                </c:pt>
                <c:pt idx="7">
                  <c:v>1.1346499999999999</c:v>
                </c:pt>
                <c:pt idx="8">
                  <c:v>1.3308</c:v>
                </c:pt>
                <c:pt idx="9">
                  <c:v>1.0548</c:v>
                </c:pt>
                <c:pt idx="10">
                  <c:v>1.0925</c:v>
                </c:pt>
                <c:pt idx="11">
                  <c:v>2.8973</c:v>
                </c:pt>
              </c:numCache>
            </c:numRef>
          </c:val>
        </c:ser>
        <c:ser>
          <c:idx val="2"/>
          <c:order val="2"/>
          <c:tx>
            <c:v>SOC 2010</c:v>
          </c:tx>
          <c:spPr>
            <a:pattFill prst="dashDnDiag">
              <a:fgClr>
                <a:schemeClr val="tx1"/>
              </a:fgClr>
              <a:bgClr>
                <a:schemeClr val="bg1"/>
              </a:bgClr>
            </a:pattFill>
            <a:ln>
              <a:solidFill>
                <a:schemeClr val="tx1"/>
              </a:solidFill>
            </a:ln>
          </c:spPr>
          <c:invertIfNegative val="0"/>
          <c:errBars>
            <c:errBarType val="both"/>
            <c:errValType val="cust"/>
            <c:noEndCap val="0"/>
            <c:plus>
              <c:numRef>
                <c:f>SOC!$B$132:$M$132</c:f>
                <c:numCache>
                  <c:formatCode>General</c:formatCode>
                  <c:ptCount val="12"/>
                  <c:pt idx="0">
                    <c:v>0.14949999999999999</c:v>
                  </c:pt>
                  <c:pt idx="1">
                    <c:v>0.32330499999999995</c:v>
                  </c:pt>
                  <c:pt idx="2">
                    <c:v>6.1690000000000002E-2</c:v>
                  </c:pt>
                  <c:pt idx="3">
                    <c:v>6.1690000000000002E-2</c:v>
                  </c:pt>
                  <c:pt idx="4">
                    <c:v>0.10920000000000001</c:v>
                  </c:pt>
                  <c:pt idx="5">
                    <c:v>0.13370000000000001</c:v>
                  </c:pt>
                  <c:pt idx="6">
                    <c:v>4.0599999999999997E-2</c:v>
                  </c:pt>
                  <c:pt idx="7">
                    <c:v>0.11791499999999999</c:v>
                  </c:pt>
                  <c:pt idx="8">
                    <c:v>6.1690000000000002E-2</c:v>
                  </c:pt>
                  <c:pt idx="9">
                    <c:v>0.15440000000000001</c:v>
                  </c:pt>
                  <c:pt idx="10">
                    <c:v>5.577E-2</c:v>
                  </c:pt>
                  <c:pt idx="11">
                    <c:v>0.13370000000000001</c:v>
                  </c:pt>
                </c:numCache>
              </c:numRef>
            </c:plus>
            <c:minus>
              <c:numRef>
                <c:f>SOC!$B$132:$M$132</c:f>
                <c:numCache>
                  <c:formatCode>General</c:formatCode>
                  <c:ptCount val="12"/>
                  <c:pt idx="0">
                    <c:v>0.14949999999999999</c:v>
                  </c:pt>
                  <c:pt idx="1">
                    <c:v>0.32330499999999995</c:v>
                  </c:pt>
                  <c:pt idx="2">
                    <c:v>6.1690000000000002E-2</c:v>
                  </c:pt>
                  <c:pt idx="3">
                    <c:v>6.1690000000000002E-2</c:v>
                  </c:pt>
                  <c:pt idx="4">
                    <c:v>0.10920000000000001</c:v>
                  </c:pt>
                  <c:pt idx="5">
                    <c:v>0.13370000000000001</c:v>
                  </c:pt>
                  <c:pt idx="6">
                    <c:v>4.0599999999999997E-2</c:v>
                  </c:pt>
                  <c:pt idx="7">
                    <c:v>0.11791499999999999</c:v>
                  </c:pt>
                  <c:pt idx="8">
                    <c:v>6.1690000000000002E-2</c:v>
                  </c:pt>
                  <c:pt idx="9">
                    <c:v>0.15440000000000001</c:v>
                  </c:pt>
                  <c:pt idx="10">
                    <c:v>5.577E-2</c:v>
                  </c:pt>
                  <c:pt idx="11">
                    <c:v>0.13370000000000001</c:v>
                  </c:pt>
                </c:numCache>
              </c:numRef>
            </c:minus>
          </c:errBars>
          <c:cat>
            <c:strRef>
              <c:f>SOC!$B$122:$M$122</c:f>
              <c:strCache>
                <c:ptCount val="12"/>
                <c:pt idx="0">
                  <c:v>2 (Fallow)</c:v>
                </c:pt>
                <c:pt idx="1">
                  <c:v>4 (Soy/Switch)</c:v>
                </c:pt>
                <c:pt idx="2">
                  <c:v>5 (Soy)</c:v>
                </c:pt>
                <c:pt idx="3">
                  <c:v>6 (Soy)</c:v>
                </c:pt>
                <c:pt idx="4">
                  <c:v>7 (Fall)</c:v>
                </c:pt>
                <c:pt idx="5">
                  <c:v>8 (Corn/Past)</c:v>
                </c:pt>
                <c:pt idx="6">
                  <c:v>9 (Soy)</c:v>
                </c:pt>
                <c:pt idx="7">
                  <c:v>10 (Soy/ Wht)</c:v>
                </c:pt>
                <c:pt idx="8">
                  <c:v>11 (Corn)</c:v>
                </c:pt>
                <c:pt idx="9">
                  <c:v>12 (Soy)</c:v>
                </c:pt>
                <c:pt idx="10">
                  <c:v>13 (GB)</c:v>
                </c:pt>
                <c:pt idx="11">
                  <c:v>15 (Past)</c:v>
                </c:pt>
              </c:strCache>
            </c:strRef>
          </c:cat>
          <c:val>
            <c:numRef>
              <c:f>SOC!$B$131:$M$131</c:f>
              <c:numCache>
                <c:formatCode>0.00</c:formatCode>
                <c:ptCount val="12"/>
                <c:pt idx="0">
                  <c:v>1.4087000000000001</c:v>
                </c:pt>
                <c:pt idx="1">
                  <c:v>0.96399999999999997</c:v>
                </c:pt>
                <c:pt idx="2">
                  <c:v>0.90649999999999997</c:v>
                </c:pt>
                <c:pt idx="3">
                  <c:v>1.1147</c:v>
                </c:pt>
                <c:pt idx="4">
                  <c:v>1.0403</c:v>
                </c:pt>
                <c:pt idx="5">
                  <c:v>1.5113500000000002</c:v>
                </c:pt>
                <c:pt idx="6">
                  <c:v>1.1852</c:v>
                </c:pt>
                <c:pt idx="7">
                  <c:v>1.26</c:v>
                </c:pt>
                <c:pt idx="8">
                  <c:v>1.3214999999999999</c:v>
                </c:pt>
                <c:pt idx="9">
                  <c:v>1.1893</c:v>
                </c:pt>
                <c:pt idx="10">
                  <c:v>1.1031</c:v>
                </c:pt>
                <c:pt idx="11">
                  <c:v>1.7735000000000001</c:v>
                </c:pt>
              </c:numCache>
            </c:numRef>
          </c:val>
        </c:ser>
        <c:ser>
          <c:idx val="3"/>
          <c:order val="3"/>
          <c:tx>
            <c:v>SOC 2011</c:v>
          </c:tx>
          <c:spPr>
            <a:pattFill prst="horzBrick">
              <a:fgClr>
                <a:schemeClr val="tx1"/>
              </a:fgClr>
              <a:bgClr>
                <a:schemeClr val="bg1"/>
              </a:bgClr>
            </a:pattFill>
            <a:ln>
              <a:solidFill>
                <a:schemeClr val="tx1"/>
              </a:solidFill>
            </a:ln>
          </c:spPr>
          <c:invertIfNegative val="0"/>
          <c:errBars>
            <c:errBarType val="both"/>
            <c:errValType val="cust"/>
            <c:noEndCap val="0"/>
            <c:plus>
              <c:numRef>
                <c:f>SOC!$B$136:$M$136</c:f>
                <c:numCache>
                  <c:formatCode>General</c:formatCode>
                  <c:ptCount val="12"/>
                  <c:pt idx="0">
                    <c:v>0.14949999999999999</c:v>
                  </c:pt>
                  <c:pt idx="1">
                    <c:v>8.7245000000000003E-2</c:v>
                  </c:pt>
                  <c:pt idx="2">
                    <c:v>0.1057</c:v>
                  </c:pt>
                  <c:pt idx="3">
                    <c:v>6.1039999999999997E-2</c:v>
                  </c:pt>
                  <c:pt idx="4">
                    <c:v>0.1057</c:v>
                  </c:pt>
                  <c:pt idx="5">
                    <c:v>0.12759999999999999</c:v>
                  </c:pt>
                  <c:pt idx="6">
                    <c:v>5.0909999999999997E-2</c:v>
                  </c:pt>
                  <c:pt idx="7">
                    <c:v>0.11791499999999999</c:v>
                  </c:pt>
                  <c:pt idx="8">
                    <c:v>6.1039999999999997E-2</c:v>
                  </c:pt>
                  <c:pt idx="9">
                    <c:v>0.14949999999999999</c:v>
                  </c:pt>
                  <c:pt idx="10">
                    <c:v>0.113</c:v>
                  </c:pt>
                  <c:pt idx="11">
                    <c:v>0.1221</c:v>
                  </c:pt>
                </c:numCache>
              </c:numRef>
            </c:plus>
            <c:minus>
              <c:numRef>
                <c:f>SOC!$B$136:$M$136</c:f>
                <c:numCache>
                  <c:formatCode>General</c:formatCode>
                  <c:ptCount val="12"/>
                  <c:pt idx="0">
                    <c:v>0.14949999999999999</c:v>
                  </c:pt>
                  <c:pt idx="1">
                    <c:v>8.7245000000000003E-2</c:v>
                  </c:pt>
                  <c:pt idx="2">
                    <c:v>0.1057</c:v>
                  </c:pt>
                  <c:pt idx="3">
                    <c:v>6.1039999999999997E-2</c:v>
                  </c:pt>
                  <c:pt idx="4">
                    <c:v>0.1057</c:v>
                  </c:pt>
                  <c:pt idx="5">
                    <c:v>0.12759999999999999</c:v>
                  </c:pt>
                  <c:pt idx="6">
                    <c:v>5.0909999999999997E-2</c:v>
                  </c:pt>
                  <c:pt idx="7">
                    <c:v>0.11791499999999999</c:v>
                  </c:pt>
                  <c:pt idx="8">
                    <c:v>6.1039999999999997E-2</c:v>
                  </c:pt>
                  <c:pt idx="9">
                    <c:v>0.14949999999999999</c:v>
                  </c:pt>
                  <c:pt idx="10">
                    <c:v>0.113</c:v>
                  </c:pt>
                  <c:pt idx="11">
                    <c:v>0.1221</c:v>
                  </c:pt>
                </c:numCache>
              </c:numRef>
            </c:minus>
          </c:errBars>
          <c:cat>
            <c:strRef>
              <c:f>SOC!$B$122:$M$122</c:f>
              <c:strCache>
                <c:ptCount val="12"/>
                <c:pt idx="0">
                  <c:v>2 (Fallow)</c:v>
                </c:pt>
                <c:pt idx="1">
                  <c:v>4 (Soy/Switch)</c:v>
                </c:pt>
                <c:pt idx="2">
                  <c:v>5 (Soy)</c:v>
                </c:pt>
                <c:pt idx="3">
                  <c:v>6 (Soy)</c:v>
                </c:pt>
                <c:pt idx="4">
                  <c:v>7 (Fall)</c:v>
                </c:pt>
                <c:pt idx="5">
                  <c:v>8 (Corn/Past)</c:v>
                </c:pt>
                <c:pt idx="6">
                  <c:v>9 (Soy)</c:v>
                </c:pt>
                <c:pt idx="7">
                  <c:v>10 (Soy/ Wht)</c:v>
                </c:pt>
                <c:pt idx="8">
                  <c:v>11 (Corn)</c:v>
                </c:pt>
                <c:pt idx="9">
                  <c:v>12 (Soy)</c:v>
                </c:pt>
                <c:pt idx="10">
                  <c:v>13 (GB)</c:v>
                </c:pt>
                <c:pt idx="11">
                  <c:v>15 (Past)</c:v>
                </c:pt>
              </c:strCache>
            </c:strRef>
          </c:cat>
          <c:val>
            <c:numRef>
              <c:f>SOC!$B$135:$M$135</c:f>
              <c:numCache>
                <c:formatCode>0.00</c:formatCode>
                <c:ptCount val="12"/>
                <c:pt idx="0">
                  <c:v>1.319</c:v>
                </c:pt>
                <c:pt idx="1">
                  <c:v>1.0960999999999999</c:v>
                </c:pt>
                <c:pt idx="2">
                  <c:v>0.83840000000000003</c:v>
                </c:pt>
                <c:pt idx="3">
                  <c:v>1.077</c:v>
                </c:pt>
                <c:pt idx="4">
                  <c:v>1.0275000000000001</c:v>
                </c:pt>
                <c:pt idx="5">
                  <c:v>1.3771500000000001</c:v>
                </c:pt>
                <c:pt idx="6">
                  <c:v>1.1637</c:v>
                </c:pt>
                <c:pt idx="7">
                  <c:v>1.06965</c:v>
                </c:pt>
                <c:pt idx="8">
                  <c:v>1.3938999999999999</c:v>
                </c:pt>
                <c:pt idx="9">
                  <c:v>1.1773</c:v>
                </c:pt>
                <c:pt idx="10">
                  <c:v>1.1281000000000001</c:v>
                </c:pt>
                <c:pt idx="11">
                  <c:v>1.7012</c:v>
                </c:pt>
              </c:numCache>
            </c:numRef>
          </c:val>
        </c:ser>
        <c:dLbls>
          <c:showLegendKey val="0"/>
          <c:showVal val="0"/>
          <c:showCatName val="0"/>
          <c:showSerName val="0"/>
          <c:showPercent val="0"/>
          <c:showBubbleSize val="0"/>
        </c:dLbls>
        <c:gapWidth val="150"/>
        <c:axId val="81335040"/>
        <c:axId val="81336960"/>
      </c:barChart>
      <c:catAx>
        <c:axId val="81335040"/>
        <c:scaling>
          <c:orientation val="minMax"/>
        </c:scaling>
        <c:delete val="0"/>
        <c:axPos val="b"/>
        <c:title>
          <c:tx>
            <c:rich>
              <a:bodyPr/>
              <a:lstStyle/>
              <a:p>
                <a:pPr>
                  <a:defRPr/>
                </a:pPr>
                <a:r>
                  <a:rPr lang="en-US"/>
                  <a:t>Farm</a:t>
                </a:r>
              </a:p>
            </c:rich>
          </c:tx>
          <c:overlay val="0"/>
        </c:title>
        <c:majorTickMark val="out"/>
        <c:minorTickMark val="none"/>
        <c:tickLblPos val="nextTo"/>
        <c:crossAx val="81336960"/>
        <c:crosses val="autoZero"/>
        <c:auto val="1"/>
        <c:lblAlgn val="ctr"/>
        <c:lblOffset val="100"/>
        <c:noMultiLvlLbl val="0"/>
      </c:catAx>
      <c:valAx>
        <c:axId val="81336960"/>
        <c:scaling>
          <c:orientation val="minMax"/>
        </c:scaling>
        <c:delete val="0"/>
        <c:axPos val="l"/>
        <c:majorGridlines/>
        <c:title>
          <c:tx>
            <c:rich>
              <a:bodyPr rot="-5400000" vert="horz"/>
              <a:lstStyle/>
              <a:p>
                <a:pPr>
                  <a:defRPr/>
                </a:pPr>
                <a:r>
                  <a:rPr lang="en-US"/>
                  <a:t>Soil Organic Carbon (%)</a:t>
                </a:r>
              </a:p>
            </c:rich>
          </c:tx>
          <c:overlay val="0"/>
        </c:title>
        <c:numFmt formatCode="0.00" sourceLinked="1"/>
        <c:majorTickMark val="out"/>
        <c:minorTickMark val="none"/>
        <c:tickLblPos val="nextTo"/>
        <c:crossAx val="81335040"/>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SOC 2008</c:v>
          </c:tx>
          <c:spPr>
            <a:pattFill prst="pct50">
              <a:fgClr>
                <a:schemeClr val="tx1"/>
              </a:fgClr>
              <a:bgClr>
                <a:schemeClr val="bg1"/>
              </a:bgClr>
            </a:pattFill>
            <a:ln>
              <a:solidFill>
                <a:schemeClr val="tx1"/>
              </a:solidFill>
            </a:ln>
          </c:spPr>
          <c:invertIfNegative val="0"/>
          <c:errBars>
            <c:errBarType val="both"/>
            <c:errValType val="cust"/>
            <c:noEndCap val="0"/>
            <c:plus>
              <c:numRef>
                <c:f>SOC!$B$102:$E$102</c:f>
                <c:numCache>
                  <c:formatCode>General</c:formatCode>
                  <c:ptCount val="4"/>
                  <c:pt idx="0">
                    <c:v>8.8270000000000001E-2</c:v>
                  </c:pt>
                  <c:pt idx="1">
                    <c:v>5.9220000000000002E-2</c:v>
                  </c:pt>
                  <c:pt idx="2">
                    <c:v>5.5879999999999999E-2</c:v>
                  </c:pt>
                  <c:pt idx="3">
                    <c:v>4.4990000000000002E-2</c:v>
                  </c:pt>
                </c:numCache>
              </c:numRef>
            </c:plus>
            <c:minus>
              <c:numRef>
                <c:f>SOC!$B$102:$E$102</c:f>
                <c:numCache>
                  <c:formatCode>General</c:formatCode>
                  <c:ptCount val="4"/>
                  <c:pt idx="0">
                    <c:v>8.8270000000000001E-2</c:v>
                  </c:pt>
                  <c:pt idx="1">
                    <c:v>5.9220000000000002E-2</c:v>
                  </c:pt>
                  <c:pt idx="2">
                    <c:v>5.5879999999999999E-2</c:v>
                  </c:pt>
                  <c:pt idx="3">
                    <c:v>4.4990000000000002E-2</c:v>
                  </c:pt>
                </c:numCache>
              </c:numRef>
            </c:minus>
          </c:errBars>
          <c:cat>
            <c:strRef>
              <c:f>SOC!$B$100:$E$100</c:f>
              <c:strCache>
                <c:ptCount val="4"/>
                <c:pt idx="0">
                  <c:v>Clay Loam</c:v>
                </c:pt>
                <c:pt idx="1">
                  <c:v>Silty Clay Loam</c:v>
                </c:pt>
                <c:pt idx="2">
                  <c:v>Loam</c:v>
                </c:pt>
                <c:pt idx="3">
                  <c:v>Silt Loam</c:v>
                </c:pt>
              </c:strCache>
            </c:strRef>
          </c:cat>
          <c:val>
            <c:numRef>
              <c:f>SOC!$B$101:$E$101</c:f>
              <c:numCache>
                <c:formatCode>0.00</c:formatCode>
                <c:ptCount val="4"/>
                <c:pt idx="0">
                  <c:v>1.3836999999999999</c:v>
                </c:pt>
                <c:pt idx="1">
                  <c:v>1.2654000000000001</c:v>
                </c:pt>
                <c:pt idx="2">
                  <c:v>1.5158</c:v>
                </c:pt>
                <c:pt idx="3">
                  <c:v>1.1872</c:v>
                </c:pt>
              </c:numCache>
            </c:numRef>
          </c:val>
        </c:ser>
        <c:ser>
          <c:idx val="1"/>
          <c:order val="1"/>
          <c:tx>
            <c:v>SOC 2009</c:v>
          </c:tx>
          <c:spPr>
            <a:pattFill prst="ltDnDiag">
              <a:fgClr>
                <a:schemeClr val="tx1"/>
              </a:fgClr>
              <a:bgClr>
                <a:schemeClr val="bg1"/>
              </a:bgClr>
            </a:pattFill>
            <a:ln>
              <a:solidFill>
                <a:schemeClr val="tx1"/>
              </a:solidFill>
            </a:ln>
          </c:spPr>
          <c:invertIfNegative val="0"/>
          <c:errBars>
            <c:errBarType val="both"/>
            <c:errValType val="cust"/>
            <c:noEndCap val="0"/>
            <c:plus>
              <c:numRef>
                <c:f>SOC!$B$106:$E$106</c:f>
                <c:numCache>
                  <c:formatCode>General</c:formatCode>
                  <c:ptCount val="4"/>
                  <c:pt idx="0">
                    <c:v>8.8749999999999996E-2</c:v>
                  </c:pt>
                  <c:pt idx="1">
                    <c:v>6.2E-2</c:v>
                  </c:pt>
                  <c:pt idx="2">
                    <c:v>5.8790000000000002E-2</c:v>
                  </c:pt>
                  <c:pt idx="3">
                    <c:v>4.6870000000000002E-2</c:v>
                  </c:pt>
                </c:numCache>
              </c:numRef>
            </c:plus>
            <c:minus>
              <c:numRef>
                <c:f>SOC!$B$106:$E$106</c:f>
                <c:numCache>
                  <c:formatCode>General</c:formatCode>
                  <c:ptCount val="4"/>
                  <c:pt idx="0">
                    <c:v>8.8749999999999996E-2</c:v>
                  </c:pt>
                  <c:pt idx="1">
                    <c:v>6.2E-2</c:v>
                  </c:pt>
                  <c:pt idx="2">
                    <c:v>5.8790000000000002E-2</c:v>
                  </c:pt>
                  <c:pt idx="3">
                    <c:v>4.6870000000000002E-2</c:v>
                  </c:pt>
                </c:numCache>
              </c:numRef>
            </c:minus>
          </c:errBars>
          <c:cat>
            <c:strRef>
              <c:f>SOC!$B$100:$E$100</c:f>
              <c:strCache>
                <c:ptCount val="4"/>
                <c:pt idx="0">
                  <c:v>Clay Loam</c:v>
                </c:pt>
                <c:pt idx="1">
                  <c:v>Silty Clay Loam</c:v>
                </c:pt>
                <c:pt idx="2">
                  <c:v>Loam</c:v>
                </c:pt>
                <c:pt idx="3">
                  <c:v>Silt Loam</c:v>
                </c:pt>
              </c:strCache>
            </c:strRef>
          </c:cat>
          <c:val>
            <c:numRef>
              <c:f>SOC!$B$105:$E$105</c:f>
              <c:numCache>
                <c:formatCode>0.00</c:formatCode>
                <c:ptCount val="4"/>
                <c:pt idx="0">
                  <c:v>1.2297</c:v>
                </c:pt>
                <c:pt idx="1">
                  <c:v>1.2687999999999999</c:v>
                </c:pt>
                <c:pt idx="2">
                  <c:v>1.3418000000000001</c:v>
                </c:pt>
                <c:pt idx="3">
                  <c:v>1.1687000000000001</c:v>
                </c:pt>
              </c:numCache>
            </c:numRef>
          </c:val>
        </c:ser>
        <c:ser>
          <c:idx val="2"/>
          <c:order val="2"/>
          <c:tx>
            <c:v>SOC 2010</c:v>
          </c:tx>
          <c:spPr>
            <a:pattFill prst="dashDnDiag">
              <a:fgClr>
                <a:schemeClr val="tx1"/>
              </a:fgClr>
              <a:bgClr>
                <a:schemeClr val="bg1"/>
              </a:bgClr>
            </a:pattFill>
            <a:ln>
              <a:solidFill>
                <a:schemeClr val="tx1"/>
              </a:solidFill>
            </a:ln>
          </c:spPr>
          <c:invertIfNegative val="0"/>
          <c:errBars>
            <c:errBarType val="both"/>
            <c:errValType val="cust"/>
            <c:noEndCap val="0"/>
            <c:plus>
              <c:numRef>
                <c:f>SOC!$B$110:$E$110</c:f>
                <c:numCache>
                  <c:formatCode>General</c:formatCode>
                  <c:ptCount val="4"/>
                  <c:pt idx="0">
                    <c:v>8.5769999999999999E-2</c:v>
                  </c:pt>
                  <c:pt idx="1">
                    <c:v>5.6770000000000001E-2</c:v>
                  </c:pt>
                  <c:pt idx="2">
                    <c:v>5.6279999999999997E-2</c:v>
                  </c:pt>
                  <c:pt idx="3">
                    <c:v>3.9910000000000001E-2</c:v>
                  </c:pt>
                </c:numCache>
              </c:numRef>
            </c:plus>
            <c:minus>
              <c:numRef>
                <c:f>SOC!$B$110:$E$110</c:f>
                <c:numCache>
                  <c:formatCode>General</c:formatCode>
                  <c:ptCount val="4"/>
                  <c:pt idx="0">
                    <c:v>8.5769999999999999E-2</c:v>
                  </c:pt>
                  <c:pt idx="1">
                    <c:v>5.6770000000000001E-2</c:v>
                  </c:pt>
                  <c:pt idx="2">
                    <c:v>5.6279999999999997E-2</c:v>
                  </c:pt>
                  <c:pt idx="3">
                    <c:v>3.9910000000000001E-2</c:v>
                  </c:pt>
                </c:numCache>
              </c:numRef>
            </c:minus>
          </c:errBars>
          <c:cat>
            <c:strRef>
              <c:f>SOC!$B$100:$E$100</c:f>
              <c:strCache>
                <c:ptCount val="4"/>
                <c:pt idx="0">
                  <c:v>Clay Loam</c:v>
                </c:pt>
                <c:pt idx="1">
                  <c:v>Silty Clay Loam</c:v>
                </c:pt>
                <c:pt idx="2">
                  <c:v>Loam</c:v>
                </c:pt>
                <c:pt idx="3">
                  <c:v>Silt Loam</c:v>
                </c:pt>
              </c:strCache>
            </c:strRef>
          </c:cat>
          <c:val>
            <c:numRef>
              <c:f>SOC!$B$109:$E$109</c:f>
              <c:numCache>
                <c:formatCode>0.00</c:formatCode>
                <c:ptCount val="4"/>
                <c:pt idx="0">
                  <c:v>1.3299000000000001</c:v>
                </c:pt>
                <c:pt idx="1">
                  <c:v>1.2948</c:v>
                </c:pt>
                <c:pt idx="2">
                  <c:v>1.425</c:v>
                </c:pt>
                <c:pt idx="3">
                  <c:v>1.2161</c:v>
                </c:pt>
              </c:numCache>
            </c:numRef>
          </c:val>
        </c:ser>
        <c:ser>
          <c:idx val="3"/>
          <c:order val="3"/>
          <c:tx>
            <c:v>SOC 2011</c:v>
          </c:tx>
          <c:spPr>
            <a:pattFill prst="horzBrick">
              <a:fgClr>
                <a:schemeClr val="tx1"/>
              </a:fgClr>
              <a:bgClr>
                <a:schemeClr val="bg1"/>
              </a:bgClr>
            </a:pattFill>
            <a:ln>
              <a:solidFill>
                <a:schemeClr val="tx1"/>
              </a:solidFill>
            </a:ln>
          </c:spPr>
          <c:invertIfNegative val="0"/>
          <c:errBars>
            <c:errBarType val="both"/>
            <c:errValType val="cust"/>
            <c:noEndCap val="0"/>
            <c:plus>
              <c:numRef>
                <c:f>SOC!$B$114:$E$114</c:f>
                <c:numCache>
                  <c:formatCode>General</c:formatCode>
                  <c:ptCount val="4"/>
                  <c:pt idx="0">
                    <c:v>9.8400000000000001E-2</c:v>
                  </c:pt>
                  <c:pt idx="1">
                    <c:v>6.1420000000000002E-2</c:v>
                  </c:pt>
                  <c:pt idx="2">
                    <c:v>5.4640000000000001E-2</c:v>
                  </c:pt>
                  <c:pt idx="3">
                    <c:v>4.648E-2</c:v>
                  </c:pt>
                </c:numCache>
              </c:numRef>
            </c:plus>
            <c:minus>
              <c:numRef>
                <c:f>SOC!$B$114:$E$114</c:f>
                <c:numCache>
                  <c:formatCode>General</c:formatCode>
                  <c:ptCount val="4"/>
                  <c:pt idx="0">
                    <c:v>9.8400000000000001E-2</c:v>
                  </c:pt>
                  <c:pt idx="1">
                    <c:v>6.1420000000000002E-2</c:v>
                  </c:pt>
                  <c:pt idx="2">
                    <c:v>5.4640000000000001E-2</c:v>
                  </c:pt>
                  <c:pt idx="3">
                    <c:v>4.648E-2</c:v>
                  </c:pt>
                </c:numCache>
              </c:numRef>
            </c:minus>
          </c:errBars>
          <c:cat>
            <c:strRef>
              <c:f>SOC!$B$100:$E$100</c:f>
              <c:strCache>
                <c:ptCount val="4"/>
                <c:pt idx="0">
                  <c:v>Clay Loam</c:v>
                </c:pt>
                <c:pt idx="1">
                  <c:v>Silty Clay Loam</c:v>
                </c:pt>
                <c:pt idx="2">
                  <c:v>Loam</c:v>
                </c:pt>
                <c:pt idx="3">
                  <c:v>Silt Loam</c:v>
                </c:pt>
              </c:strCache>
            </c:strRef>
          </c:cat>
          <c:val>
            <c:numRef>
              <c:f>SOC!$B$113:$E$113</c:f>
              <c:numCache>
                <c:formatCode>0.00</c:formatCode>
                <c:ptCount val="4"/>
                <c:pt idx="0">
                  <c:v>1.3689</c:v>
                </c:pt>
                <c:pt idx="1">
                  <c:v>1.3324</c:v>
                </c:pt>
                <c:pt idx="2">
                  <c:v>1.2612000000000001</c:v>
                </c:pt>
                <c:pt idx="3">
                  <c:v>1.1924999999999999</c:v>
                </c:pt>
              </c:numCache>
            </c:numRef>
          </c:val>
        </c:ser>
        <c:dLbls>
          <c:showLegendKey val="0"/>
          <c:showVal val="0"/>
          <c:showCatName val="0"/>
          <c:showSerName val="0"/>
          <c:showPercent val="0"/>
          <c:showBubbleSize val="0"/>
        </c:dLbls>
        <c:gapWidth val="150"/>
        <c:axId val="65253760"/>
        <c:axId val="65255296"/>
      </c:barChart>
      <c:catAx>
        <c:axId val="65253760"/>
        <c:scaling>
          <c:orientation val="minMax"/>
        </c:scaling>
        <c:delete val="0"/>
        <c:axPos val="b"/>
        <c:majorTickMark val="out"/>
        <c:minorTickMark val="none"/>
        <c:tickLblPos val="nextTo"/>
        <c:crossAx val="65255296"/>
        <c:crosses val="autoZero"/>
        <c:auto val="1"/>
        <c:lblAlgn val="ctr"/>
        <c:lblOffset val="100"/>
        <c:noMultiLvlLbl val="0"/>
      </c:catAx>
      <c:valAx>
        <c:axId val="65255296"/>
        <c:scaling>
          <c:orientation val="minMax"/>
        </c:scaling>
        <c:delete val="0"/>
        <c:axPos val="l"/>
        <c:majorGridlines/>
        <c:title>
          <c:tx>
            <c:rich>
              <a:bodyPr rot="-5400000" vert="horz"/>
              <a:lstStyle/>
              <a:p>
                <a:pPr>
                  <a:defRPr/>
                </a:pPr>
                <a:r>
                  <a:rPr lang="en-US"/>
                  <a:t>Soil Organic Carbon (%)</a:t>
                </a:r>
              </a:p>
            </c:rich>
          </c:tx>
          <c:overlay val="0"/>
        </c:title>
        <c:numFmt formatCode="0.00" sourceLinked="1"/>
        <c:majorTickMark val="out"/>
        <c:minorTickMark val="none"/>
        <c:tickLblPos val="nextTo"/>
        <c:crossAx val="65253760"/>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SOC 2008</c:v>
          </c:tx>
          <c:spPr>
            <a:pattFill prst="pct50">
              <a:fgClr>
                <a:schemeClr val="tx1"/>
              </a:fgClr>
              <a:bgClr>
                <a:schemeClr val="bg1"/>
              </a:bgClr>
            </a:pattFill>
            <a:ln>
              <a:solidFill>
                <a:schemeClr val="tx1"/>
              </a:solidFill>
            </a:ln>
          </c:spPr>
          <c:invertIfNegative val="0"/>
          <c:errBars>
            <c:errBarType val="both"/>
            <c:errValType val="cust"/>
            <c:noEndCap val="0"/>
            <c:plus>
              <c:numRef>
                <c:f>SOC!$B$146:$E$146</c:f>
                <c:numCache>
                  <c:formatCode>General</c:formatCode>
                  <c:ptCount val="4"/>
                  <c:pt idx="0">
                    <c:v>0.11219999999999999</c:v>
                  </c:pt>
                  <c:pt idx="1">
                    <c:v>7.1080000000000004E-2</c:v>
                  </c:pt>
                  <c:pt idx="2">
                    <c:v>8.6370000000000002E-2</c:v>
                  </c:pt>
                  <c:pt idx="3">
                    <c:v>2.8709999999999999E-2</c:v>
                  </c:pt>
                </c:numCache>
              </c:numRef>
            </c:plus>
            <c:minus>
              <c:numRef>
                <c:f>SOC!$B$146:$E$146</c:f>
                <c:numCache>
                  <c:formatCode>General</c:formatCode>
                  <c:ptCount val="4"/>
                  <c:pt idx="0">
                    <c:v>0.11219999999999999</c:v>
                  </c:pt>
                  <c:pt idx="1">
                    <c:v>7.1080000000000004E-2</c:v>
                  </c:pt>
                  <c:pt idx="2">
                    <c:v>8.6370000000000002E-2</c:v>
                  </c:pt>
                  <c:pt idx="3">
                    <c:v>2.8709999999999999E-2</c:v>
                  </c:pt>
                </c:numCache>
              </c:numRef>
            </c:minus>
          </c:errBars>
          <c:cat>
            <c:strRef>
              <c:f>SOC!$B$144:$E$144</c:f>
              <c:strCache>
                <c:ptCount val="4"/>
                <c:pt idx="0">
                  <c:v>Alfisol</c:v>
                </c:pt>
                <c:pt idx="1">
                  <c:v>Inceptisol</c:v>
                </c:pt>
                <c:pt idx="2">
                  <c:v>Mollisol</c:v>
                </c:pt>
                <c:pt idx="3">
                  <c:v>Ultisol</c:v>
                </c:pt>
              </c:strCache>
            </c:strRef>
          </c:cat>
          <c:val>
            <c:numRef>
              <c:f>SOC!$B$145:$E$145</c:f>
              <c:numCache>
                <c:formatCode>0.00</c:formatCode>
                <c:ptCount val="4"/>
                <c:pt idx="0">
                  <c:v>1.1597</c:v>
                </c:pt>
                <c:pt idx="1">
                  <c:v>1.3037000000000001</c:v>
                </c:pt>
                <c:pt idx="2">
                  <c:v>1.5114000000000001</c:v>
                </c:pt>
                <c:pt idx="3">
                  <c:v>1.3774</c:v>
                </c:pt>
              </c:numCache>
            </c:numRef>
          </c:val>
        </c:ser>
        <c:ser>
          <c:idx val="1"/>
          <c:order val="1"/>
          <c:tx>
            <c:v>SOC 2009</c:v>
          </c:tx>
          <c:spPr>
            <a:pattFill prst="ltDnDiag">
              <a:fgClr>
                <a:schemeClr val="tx1"/>
              </a:fgClr>
              <a:bgClr>
                <a:schemeClr val="bg1"/>
              </a:bgClr>
            </a:pattFill>
            <a:ln>
              <a:solidFill>
                <a:schemeClr val="tx1"/>
              </a:solidFill>
            </a:ln>
          </c:spPr>
          <c:invertIfNegative val="0"/>
          <c:errBars>
            <c:errBarType val="both"/>
            <c:errValType val="cust"/>
            <c:noEndCap val="0"/>
            <c:plus>
              <c:numRef>
                <c:f>SOC!$B$150:$E$150</c:f>
                <c:numCache>
                  <c:formatCode>General</c:formatCode>
                  <c:ptCount val="4"/>
                  <c:pt idx="0">
                    <c:v>0.11559999999999999</c:v>
                  </c:pt>
                  <c:pt idx="1">
                    <c:v>7.3380000000000001E-2</c:v>
                  </c:pt>
                  <c:pt idx="2">
                    <c:v>9.554E-2</c:v>
                  </c:pt>
                  <c:pt idx="3">
                    <c:v>2.9100000000000001E-2</c:v>
                  </c:pt>
                </c:numCache>
              </c:numRef>
            </c:plus>
            <c:minus>
              <c:numRef>
                <c:f>SOC!$B$150:$E$150</c:f>
                <c:numCache>
                  <c:formatCode>General</c:formatCode>
                  <c:ptCount val="4"/>
                  <c:pt idx="0">
                    <c:v>0.11559999999999999</c:v>
                  </c:pt>
                  <c:pt idx="1">
                    <c:v>7.3380000000000001E-2</c:v>
                  </c:pt>
                  <c:pt idx="2">
                    <c:v>9.554E-2</c:v>
                  </c:pt>
                  <c:pt idx="3">
                    <c:v>2.9100000000000001E-2</c:v>
                  </c:pt>
                </c:numCache>
              </c:numRef>
            </c:minus>
          </c:errBars>
          <c:cat>
            <c:strRef>
              <c:f>SOC!$B$144:$E$144</c:f>
              <c:strCache>
                <c:ptCount val="4"/>
                <c:pt idx="0">
                  <c:v>Alfisol</c:v>
                </c:pt>
                <c:pt idx="1">
                  <c:v>Inceptisol</c:v>
                </c:pt>
                <c:pt idx="2">
                  <c:v>Mollisol</c:v>
                </c:pt>
                <c:pt idx="3">
                  <c:v>Ultisol</c:v>
                </c:pt>
              </c:strCache>
            </c:strRef>
          </c:cat>
          <c:val>
            <c:numRef>
              <c:f>SOC!$B$149:$E$149</c:f>
              <c:numCache>
                <c:formatCode>0.00</c:formatCode>
                <c:ptCount val="4"/>
                <c:pt idx="0">
                  <c:v>1.1259999999999999</c:v>
                </c:pt>
                <c:pt idx="1">
                  <c:v>1.2024999999999999</c:v>
                </c:pt>
                <c:pt idx="2">
                  <c:v>1.4231</c:v>
                </c:pt>
                <c:pt idx="3">
                  <c:v>1.2573000000000001</c:v>
                </c:pt>
              </c:numCache>
            </c:numRef>
          </c:val>
        </c:ser>
        <c:ser>
          <c:idx val="2"/>
          <c:order val="2"/>
          <c:tx>
            <c:v>SOC 2010</c:v>
          </c:tx>
          <c:spPr>
            <a:pattFill prst="dashDnDiag">
              <a:fgClr>
                <a:schemeClr val="tx1"/>
              </a:fgClr>
              <a:bgClr>
                <a:schemeClr val="bg1"/>
              </a:bgClr>
            </a:pattFill>
            <a:ln>
              <a:solidFill>
                <a:schemeClr val="tx1"/>
              </a:solidFill>
            </a:ln>
          </c:spPr>
          <c:invertIfNegative val="0"/>
          <c:errBars>
            <c:errBarType val="both"/>
            <c:errValType val="cust"/>
            <c:noEndCap val="0"/>
            <c:plus>
              <c:numRef>
                <c:f>SOC!$B$154:$E$154</c:f>
                <c:numCache>
                  <c:formatCode>General</c:formatCode>
                  <c:ptCount val="4"/>
                  <c:pt idx="0">
                    <c:v>7.2160000000000002E-2</c:v>
                  </c:pt>
                  <c:pt idx="1">
                    <c:v>6.6530000000000006E-2</c:v>
                  </c:pt>
                  <c:pt idx="2">
                    <c:v>0.1091</c:v>
                  </c:pt>
                  <c:pt idx="3">
                    <c:v>2.8129999999999999E-2</c:v>
                  </c:pt>
                </c:numCache>
              </c:numRef>
            </c:plus>
            <c:minus>
              <c:numRef>
                <c:f>SOC!$B$154:$E$154</c:f>
                <c:numCache>
                  <c:formatCode>General</c:formatCode>
                  <c:ptCount val="4"/>
                  <c:pt idx="0">
                    <c:v>7.2160000000000002E-2</c:v>
                  </c:pt>
                  <c:pt idx="1">
                    <c:v>6.6530000000000006E-2</c:v>
                  </c:pt>
                  <c:pt idx="2">
                    <c:v>0.1091</c:v>
                  </c:pt>
                  <c:pt idx="3">
                    <c:v>2.8129999999999999E-2</c:v>
                  </c:pt>
                </c:numCache>
              </c:numRef>
            </c:minus>
          </c:errBars>
          <c:cat>
            <c:strRef>
              <c:f>SOC!$B$144:$E$144</c:f>
              <c:strCache>
                <c:ptCount val="4"/>
                <c:pt idx="0">
                  <c:v>Alfisol</c:v>
                </c:pt>
                <c:pt idx="1">
                  <c:v>Inceptisol</c:v>
                </c:pt>
                <c:pt idx="2">
                  <c:v>Mollisol</c:v>
                </c:pt>
                <c:pt idx="3">
                  <c:v>Ultisol</c:v>
                </c:pt>
              </c:strCache>
            </c:strRef>
          </c:cat>
          <c:val>
            <c:numRef>
              <c:f>SOC!$B$153:$E$153</c:f>
              <c:numCache>
                <c:formatCode>0.00</c:formatCode>
                <c:ptCount val="4"/>
                <c:pt idx="0">
                  <c:v>1.2022999999999999</c:v>
                </c:pt>
                <c:pt idx="1">
                  <c:v>1.2534000000000001</c:v>
                </c:pt>
                <c:pt idx="2">
                  <c:v>1.5477000000000001</c:v>
                </c:pt>
                <c:pt idx="3">
                  <c:v>1.2625</c:v>
                </c:pt>
              </c:numCache>
            </c:numRef>
          </c:val>
        </c:ser>
        <c:ser>
          <c:idx val="3"/>
          <c:order val="3"/>
          <c:tx>
            <c:v>SOC 2011</c:v>
          </c:tx>
          <c:spPr>
            <a:pattFill prst="horzBrick">
              <a:fgClr>
                <a:schemeClr val="tx1"/>
              </a:fgClr>
              <a:bgClr>
                <a:schemeClr val="bg1"/>
              </a:bgClr>
            </a:pattFill>
            <a:ln>
              <a:solidFill>
                <a:schemeClr val="tx1"/>
              </a:solidFill>
            </a:ln>
          </c:spPr>
          <c:invertIfNegative val="0"/>
          <c:errBars>
            <c:errBarType val="both"/>
            <c:errValType val="cust"/>
            <c:noEndCap val="0"/>
            <c:plus>
              <c:numRef>
                <c:f>SOC!$B$158:$E$158</c:f>
                <c:numCache>
                  <c:formatCode>General</c:formatCode>
                  <c:ptCount val="4"/>
                  <c:pt idx="0">
                    <c:v>0.11269999999999999</c:v>
                  </c:pt>
                  <c:pt idx="1">
                    <c:v>8.4570000000000006E-2</c:v>
                  </c:pt>
                  <c:pt idx="2">
                    <c:v>8.5470000000000004E-2</c:v>
                  </c:pt>
                  <c:pt idx="3">
                    <c:v>3.0439999999999998E-2</c:v>
                  </c:pt>
                </c:numCache>
              </c:numRef>
            </c:plus>
            <c:minus>
              <c:numRef>
                <c:f>SOC!$B$158:$E$158</c:f>
                <c:numCache>
                  <c:formatCode>General</c:formatCode>
                  <c:ptCount val="4"/>
                  <c:pt idx="0">
                    <c:v>0.11269999999999999</c:v>
                  </c:pt>
                  <c:pt idx="1">
                    <c:v>8.4570000000000006E-2</c:v>
                  </c:pt>
                  <c:pt idx="2">
                    <c:v>8.5470000000000004E-2</c:v>
                  </c:pt>
                  <c:pt idx="3">
                    <c:v>3.0439999999999998E-2</c:v>
                  </c:pt>
                </c:numCache>
              </c:numRef>
            </c:minus>
          </c:errBars>
          <c:cat>
            <c:strRef>
              <c:f>SOC!$B$144:$E$144</c:f>
              <c:strCache>
                <c:ptCount val="4"/>
                <c:pt idx="0">
                  <c:v>Alfisol</c:v>
                </c:pt>
                <c:pt idx="1">
                  <c:v>Inceptisol</c:v>
                </c:pt>
                <c:pt idx="2">
                  <c:v>Mollisol</c:v>
                </c:pt>
                <c:pt idx="3">
                  <c:v>Ultisol</c:v>
                </c:pt>
              </c:strCache>
            </c:strRef>
          </c:cat>
          <c:val>
            <c:numRef>
              <c:f>SOC!$B$157:$E$157</c:f>
              <c:numCache>
                <c:formatCode>0.00</c:formatCode>
                <c:ptCount val="4"/>
                <c:pt idx="0">
                  <c:v>1.1922999999999999</c:v>
                </c:pt>
                <c:pt idx="1">
                  <c:v>1.1950000000000001</c:v>
                </c:pt>
                <c:pt idx="2">
                  <c:v>1.5294000000000001</c:v>
                </c:pt>
                <c:pt idx="3">
                  <c:v>1.2383</c:v>
                </c:pt>
              </c:numCache>
            </c:numRef>
          </c:val>
        </c:ser>
        <c:dLbls>
          <c:showLegendKey val="0"/>
          <c:showVal val="0"/>
          <c:showCatName val="0"/>
          <c:showSerName val="0"/>
          <c:showPercent val="0"/>
          <c:showBubbleSize val="0"/>
        </c:dLbls>
        <c:gapWidth val="150"/>
        <c:axId val="81282944"/>
        <c:axId val="81321984"/>
      </c:barChart>
      <c:catAx>
        <c:axId val="81282944"/>
        <c:scaling>
          <c:orientation val="minMax"/>
        </c:scaling>
        <c:delete val="0"/>
        <c:axPos val="b"/>
        <c:title>
          <c:tx>
            <c:rich>
              <a:bodyPr/>
              <a:lstStyle/>
              <a:p>
                <a:pPr>
                  <a:defRPr/>
                </a:pPr>
                <a:r>
                  <a:rPr lang="en-US"/>
                  <a:t>Taxonomy</a:t>
                </a:r>
              </a:p>
            </c:rich>
          </c:tx>
          <c:overlay val="0"/>
        </c:title>
        <c:majorTickMark val="out"/>
        <c:minorTickMark val="none"/>
        <c:tickLblPos val="nextTo"/>
        <c:crossAx val="81321984"/>
        <c:crosses val="autoZero"/>
        <c:auto val="1"/>
        <c:lblAlgn val="ctr"/>
        <c:lblOffset val="100"/>
        <c:noMultiLvlLbl val="0"/>
      </c:catAx>
      <c:valAx>
        <c:axId val="81321984"/>
        <c:scaling>
          <c:orientation val="minMax"/>
        </c:scaling>
        <c:delete val="0"/>
        <c:axPos val="l"/>
        <c:majorGridlines/>
        <c:title>
          <c:tx>
            <c:rich>
              <a:bodyPr rot="-5400000" vert="horz"/>
              <a:lstStyle/>
              <a:p>
                <a:pPr>
                  <a:defRPr/>
                </a:pPr>
                <a:r>
                  <a:rPr lang="en-US"/>
                  <a:t>Soil Organic Carbon (%)</a:t>
                </a:r>
              </a:p>
            </c:rich>
          </c:tx>
          <c:overlay val="0"/>
        </c:title>
        <c:numFmt formatCode="0.00" sourceLinked="1"/>
        <c:majorTickMark val="out"/>
        <c:minorTickMark val="none"/>
        <c:tickLblPos val="nextTo"/>
        <c:crossAx val="81282944"/>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2008</c:v>
          </c:tx>
          <c:spPr>
            <a:pattFill prst="pct50">
              <a:fgClr>
                <a:schemeClr val="tx1"/>
              </a:fgClr>
              <a:bgClr>
                <a:schemeClr val="bg1"/>
              </a:bgClr>
            </a:pattFill>
            <a:ln>
              <a:solidFill>
                <a:schemeClr val="tx1"/>
              </a:solidFill>
            </a:ln>
          </c:spPr>
          <c:invertIfNegative val="0"/>
          <c:errBars>
            <c:errBarType val="both"/>
            <c:errValType val="cust"/>
            <c:noEndCap val="0"/>
            <c:plus>
              <c:numRef>
                <c:f>('[carbon&amp;bulkden08-11.xlsx]Averages_STDEV'!$B$9,'[carbon&amp;bulkden08-11.xlsx]Averages_STDEV'!$C$9,'[carbon&amp;bulkden08-11.xlsx]Averages_STDEV'!$D$9,'[carbon&amp;bulkden08-11.xlsx]Averages_STDEV'!$E$9,'[carbon&amp;bulkden08-11.xlsx]Averages_STDEV'!$F$9,'[carbon&amp;bulkden08-11.xlsx]Averages_STDEV'!$G$9,'[carbon&amp;bulkden08-11.xlsx]Averages_STDEV'!$H$9)</c:f>
                <c:numCache>
                  <c:formatCode>General</c:formatCode>
                  <c:ptCount val="7"/>
                  <c:pt idx="0">
                    <c:v>0.11</c:v>
                  </c:pt>
                  <c:pt idx="1">
                    <c:v>0.1</c:v>
                  </c:pt>
                  <c:pt idx="2">
                    <c:v>0.09</c:v>
                  </c:pt>
                  <c:pt idx="3">
                    <c:v>0.12</c:v>
                  </c:pt>
                  <c:pt idx="4">
                    <c:v>0.3</c:v>
                  </c:pt>
                  <c:pt idx="5">
                    <c:v>0.42</c:v>
                  </c:pt>
                  <c:pt idx="6">
                    <c:v>0.39</c:v>
                  </c:pt>
                </c:numCache>
              </c:numRef>
            </c:plus>
            <c:minus>
              <c:numRef>
                <c:f>('[carbon&amp;bulkden08-11.xlsx]Averages_STDEV'!$B$9,'[carbon&amp;bulkden08-11.xlsx]Averages_STDEV'!$C$9,'[carbon&amp;bulkden08-11.xlsx]Averages_STDEV'!$D$9,'[carbon&amp;bulkden08-11.xlsx]Averages_STDEV'!$E$9,'[carbon&amp;bulkden08-11.xlsx]Averages_STDEV'!$F$9,'[carbon&amp;bulkden08-11.xlsx]Averages_STDEV'!$G$9,'[carbon&amp;bulkden08-11.xlsx]Averages_STDEV'!$H$9)</c:f>
                <c:numCache>
                  <c:formatCode>General</c:formatCode>
                  <c:ptCount val="7"/>
                  <c:pt idx="0">
                    <c:v>0.11</c:v>
                  </c:pt>
                  <c:pt idx="1">
                    <c:v>0.1</c:v>
                  </c:pt>
                  <c:pt idx="2">
                    <c:v>0.09</c:v>
                  </c:pt>
                  <c:pt idx="3">
                    <c:v>0.12</c:v>
                  </c:pt>
                  <c:pt idx="4">
                    <c:v>0.3</c:v>
                  </c:pt>
                  <c:pt idx="5">
                    <c:v>0.42</c:v>
                  </c:pt>
                  <c:pt idx="6">
                    <c:v>0.39</c:v>
                  </c:pt>
                </c:numCache>
              </c:numRef>
            </c:minus>
          </c:errBars>
          <c:cat>
            <c:strRef>
              <c:f>('[carbon&amp;bulkden08-11.xlsx]Averages_STDEV'!$B$6,'[carbon&amp;bulkden08-11.xlsx]Averages_STDEV'!$C$6,'[carbon&amp;bulkden08-11.xlsx]Averages_STDEV'!$D$6,'[carbon&amp;bulkden08-11.xlsx]Averages_STDEV'!$E$6,'[carbon&amp;bulkden08-11.xlsx]Averages_STDEV'!$F$6,'[carbon&amp;bulkden08-11.xlsx]Averages_STDEV'!$G$6,'[carbon&amp;bulkden08-11.xlsx]Averages_STDEV'!$H$6)</c:f>
              <c:strCache>
                <c:ptCount val="7"/>
                <c:pt idx="0">
                  <c:v>0-5cm</c:v>
                </c:pt>
                <c:pt idx="1">
                  <c:v>5-10cm</c:v>
                </c:pt>
                <c:pt idx="2">
                  <c:v>10-15cm</c:v>
                </c:pt>
                <c:pt idx="3">
                  <c:v>15-30cm</c:v>
                </c:pt>
                <c:pt idx="4">
                  <c:v>30-60cm</c:v>
                </c:pt>
                <c:pt idx="5">
                  <c:v>60-90cm</c:v>
                </c:pt>
                <c:pt idx="6">
                  <c:v>90-120cm</c:v>
                </c:pt>
              </c:strCache>
            </c:strRef>
          </c:cat>
          <c:val>
            <c:numRef>
              <c:f>('[carbon&amp;bulkden08-11.xlsx]Averages_STDEV'!$B$7,'[carbon&amp;bulkden08-11.xlsx]Averages_STDEV'!$C$7,'[carbon&amp;bulkden08-11.xlsx]Averages_STDEV'!$D$7,'[carbon&amp;bulkden08-11.xlsx]Averages_STDEV'!$E$7,'[carbon&amp;bulkden08-11.xlsx]Averages_STDEV'!$F$7,'[carbon&amp;bulkden08-11.xlsx]Averages_STDEV'!$G$7,'[carbon&amp;bulkden08-11.xlsx]Averages_STDEV'!$H$7)</c:f>
              <c:numCache>
                <c:formatCode>General</c:formatCode>
                <c:ptCount val="7"/>
                <c:pt idx="0">
                  <c:v>1.1299999999999999</c:v>
                </c:pt>
                <c:pt idx="1">
                  <c:v>1.18</c:v>
                </c:pt>
                <c:pt idx="2">
                  <c:v>1.22</c:v>
                </c:pt>
                <c:pt idx="3">
                  <c:v>1.19</c:v>
                </c:pt>
                <c:pt idx="4">
                  <c:v>1.57</c:v>
                </c:pt>
                <c:pt idx="5">
                  <c:v>1.41</c:v>
                </c:pt>
                <c:pt idx="6">
                  <c:v>1.39</c:v>
                </c:pt>
              </c:numCache>
            </c:numRef>
          </c:val>
        </c:ser>
        <c:ser>
          <c:idx val="1"/>
          <c:order val="1"/>
          <c:tx>
            <c:v>2009</c:v>
          </c:tx>
          <c:spPr>
            <a:pattFill prst="ltDnDiag">
              <a:fgClr>
                <a:schemeClr val="tx1"/>
              </a:fgClr>
              <a:bgClr>
                <a:schemeClr val="bg1"/>
              </a:bgClr>
            </a:pattFill>
            <a:ln>
              <a:solidFill>
                <a:schemeClr val="tx1"/>
              </a:solidFill>
            </a:ln>
          </c:spPr>
          <c:invertIfNegative val="0"/>
          <c:errBars>
            <c:errBarType val="both"/>
            <c:errValType val="cust"/>
            <c:noEndCap val="0"/>
            <c:plus>
              <c:numRef>
                <c:f>('[carbon&amp;bulkden08-11.xlsx]Averages_STDEV'!$B$17,'[carbon&amp;bulkden08-11.xlsx]Averages_STDEV'!$C$17,'[carbon&amp;bulkden08-11.xlsx]Averages_STDEV'!$D$17,'[carbon&amp;bulkden08-11.xlsx]Averages_STDEV'!$E$17,'[carbon&amp;bulkden08-11.xlsx]Averages_STDEV'!$F$17,'[carbon&amp;bulkden08-11.xlsx]Averages_STDEV'!$G$17,'[carbon&amp;bulkden08-11.xlsx]Averages_STDEV'!$H$17)</c:f>
                <c:numCache>
                  <c:formatCode>General</c:formatCode>
                  <c:ptCount val="7"/>
                  <c:pt idx="0">
                    <c:v>0.24803055870617971</c:v>
                  </c:pt>
                  <c:pt idx="1">
                    <c:v>0.19055056246241325</c:v>
                  </c:pt>
                  <c:pt idx="2">
                    <c:v>0.21666080626387849</c:v>
                  </c:pt>
                  <c:pt idx="3">
                    <c:v>0.14968730044037476</c:v>
                  </c:pt>
                  <c:pt idx="4">
                    <c:v>0.25473617520241099</c:v>
                  </c:pt>
                  <c:pt idx="5">
                    <c:v>0.11361343363138707</c:v>
                  </c:pt>
                  <c:pt idx="6">
                    <c:v>0.14480007738412434</c:v>
                  </c:pt>
                </c:numCache>
              </c:numRef>
            </c:plus>
            <c:minus>
              <c:numRef>
                <c:f>('[carbon&amp;bulkden08-11.xlsx]Averages_STDEV'!$B$17,'[carbon&amp;bulkden08-11.xlsx]Averages_STDEV'!$C$17,'[carbon&amp;bulkden08-11.xlsx]Averages_STDEV'!$D$17,'[carbon&amp;bulkden08-11.xlsx]Averages_STDEV'!$E$17,'[carbon&amp;bulkden08-11.xlsx]Averages_STDEV'!$F$17,'[carbon&amp;bulkden08-11.xlsx]Averages_STDEV'!$G$17,'[carbon&amp;bulkden08-11.xlsx]Averages_STDEV'!$H$17)</c:f>
                <c:numCache>
                  <c:formatCode>General</c:formatCode>
                  <c:ptCount val="7"/>
                  <c:pt idx="0">
                    <c:v>0.24803055870617971</c:v>
                  </c:pt>
                  <c:pt idx="1">
                    <c:v>0.19055056246241325</c:v>
                  </c:pt>
                  <c:pt idx="2">
                    <c:v>0.21666080626387849</c:v>
                  </c:pt>
                  <c:pt idx="3">
                    <c:v>0.14968730044037476</c:v>
                  </c:pt>
                  <c:pt idx="4">
                    <c:v>0.25473617520241099</c:v>
                  </c:pt>
                  <c:pt idx="5">
                    <c:v>0.11361343363138707</c:v>
                  </c:pt>
                  <c:pt idx="6">
                    <c:v>0.14480007738412434</c:v>
                  </c:pt>
                </c:numCache>
              </c:numRef>
            </c:minus>
          </c:errBars>
          <c:cat>
            <c:strRef>
              <c:f>('[carbon&amp;bulkden08-11.xlsx]Averages_STDEV'!$B$6,'[carbon&amp;bulkden08-11.xlsx]Averages_STDEV'!$C$6,'[carbon&amp;bulkden08-11.xlsx]Averages_STDEV'!$D$6,'[carbon&amp;bulkden08-11.xlsx]Averages_STDEV'!$E$6,'[carbon&amp;bulkden08-11.xlsx]Averages_STDEV'!$F$6,'[carbon&amp;bulkden08-11.xlsx]Averages_STDEV'!$G$6,'[carbon&amp;bulkden08-11.xlsx]Averages_STDEV'!$H$6)</c:f>
              <c:strCache>
                <c:ptCount val="7"/>
                <c:pt idx="0">
                  <c:v>0-5cm</c:v>
                </c:pt>
                <c:pt idx="1">
                  <c:v>5-10cm</c:v>
                </c:pt>
                <c:pt idx="2">
                  <c:v>10-15cm</c:v>
                </c:pt>
                <c:pt idx="3">
                  <c:v>15-30cm</c:v>
                </c:pt>
                <c:pt idx="4">
                  <c:v>30-60cm</c:v>
                </c:pt>
                <c:pt idx="5">
                  <c:v>60-90cm</c:v>
                </c:pt>
                <c:pt idx="6">
                  <c:v>90-120cm</c:v>
                </c:pt>
              </c:strCache>
            </c:strRef>
          </c:cat>
          <c:val>
            <c:numRef>
              <c:f>('[carbon&amp;bulkden08-11.xlsx]Averages_STDEV'!$B$15,'[carbon&amp;bulkden08-11.xlsx]Averages_STDEV'!$C$15,'[carbon&amp;bulkden08-11.xlsx]Averages_STDEV'!$D$15,'[carbon&amp;bulkden08-11.xlsx]Averages_STDEV'!$E$15,'[carbon&amp;bulkden08-11.xlsx]Averages_STDEV'!$F$15,'[carbon&amp;bulkden08-11.xlsx]Averages_STDEV'!$G$15,'[carbon&amp;bulkden08-11.xlsx]Averages_STDEV'!$H$15)</c:f>
              <c:numCache>
                <c:formatCode>General</c:formatCode>
                <c:ptCount val="7"/>
                <c:pt idx="0">
                  <c:v>1.379931434907538</c:v>
                </c:pt>
                <c:pt idx="1">
                  <c:v>1.4736138054492582</c:v>
                </c:pt>
                <c:pt idx="2">
                  <c:v>1.5313441974959232</c:v>
                </c:pt>
                <c:pt idx="3">
                  <c:v>1.5338149975086746</c:v>
                </c:pt>
                <c:pt idx="4">
                  <c:v>1.767947040218742</c:v>
                </c:pt>
                <c:pt idx="5">
                  <c:v>1.6239051277976342</c:v>
                </c:pt>
                <c:pt idx="6">
                  <c:v>1.6585211817806726</c:v>
                </c:pt>
              </c:numCache>
            </c:numRef>
          </c:val>
        </c:ser>
        <c:ser>
          <c:idx val="2"/>
          <c:order val="2"/>
          <c:tx>
            <c:v>2010</c:v>
          </c:tx>
          <c:spPr>
            <a:pattFill prst="dashDnDiag">
              <a:fgClr>
                <a:schemeClr val="tx1"/>
              </a:fgClr>
              <a:bgClr>
                <a:schemeClr val="bg1"/>
              </a:bgClr>
            </a:pattFill>
            <a:ln>
              <a:solidFill>
                <a:schemeClr val="tx1"/>
              </a:solidFill>
            </a:ln>
          </c:spPr>
          <c:invertIfNegative val="0"/>
          <c:errBars>
            <c:errBarType val="both"/>
            <c:errValType val="cust"/>
            <c:noEndCap val="0"/>
            <c:plus>
              <c:numRef>
                <c:f>('[carbon&amp;bulkden08-11.xlsx]Averages_STDEV'!$M$18,'[carbon&amp;bulkden08-11.xlsx]Averages_STDEV'!$N$18,'[carbon&amp;bulkden08-11.xlsx]Averages_STDEV'!$O$18,'[carbon&amp;bulkden08-11.xlsx]Averages_STDEV'!$P$18,'[carbon&amp;bulkden08-11.xlsx]Averages_STDEV'!$Q$18,'[carbon&amp;bulkden08-11.xlsx]Averages_STDEV'!$R$18,'[carbon&amp;bulkden08-11.xlsx]Averages_STDEV'!$S$18)</c:f>
                <c:numCache>
                  <c:formatCode>General</c:formatCode>
                  <c:ptCount val="7"/>
                  <c:pt idx="0">
                    <c:v>0.14609206953303069</c:v>
                  </c:pt>
                  <c:pt idx="1">
                    <c:v>0.12138597314244362</c:v>
                  </c:pt>
                  <c:pt idx="2">
                    <c:v>0.12250837620081285</c:v>
                  </c:pt>
                  <c:pt idx="3">
                    <c:v>0.18375028576493951</c:v>
                  </c:pt>
                  <c:pt idx="4">
                    <c:v>0.2437372620407986</c:v>
                  </c:pt>
                  <c:pt idx="5">
                    <c:v>0.42130376892518495</c:v>
                  </c:pt>
                  <c:pt idx="6">
                    <c:v>0.28840851410092422</c:v>
                  </c:pt>
                </c:numCache>
              </c:numRef>
            </c:plus>
            <c:minus>
              <c:numRef>
                <c:f>('[carbon&amp;bulkden08-11.xlsx]Averages_STDEV'!$M$18,'[carbon&amp;bulkden08-11.xlsx]Averages_STDEV'!$N$18,'[carbon&amp;bulkden08-11.xlsx]Averages_STDEV'!$O$18,'[carbon&amp;bulkden08-11.xlsx]Averages_STDEV'!$P$18,'[carbon&amp;bulkden08-11.xlsx]Averages_STDEV'!$Q$18,'[carbon&amp;bulkden08-11.xlsx]Averages_STDEV'!$R$18,'[carbon&amp;bulkden08-11.xlsx]Averages_STDEV'!$S$18)</c:f>
                <c:numCache>
                  <c:formatCode>General</c:formatCode>
                  <c:ptCount val="7"/>
                  <c:pt idx="0">
                    <c:v>0.14609206953303069</c:v>
                  </c:pt>
                  <c:pt idx="1">
                    <c:v>0.12138597314244362</c:v>
                  </c:pt>
                  <c:pt idx="2">
                    <c:v>0.12250837620081285</c:v>
                  </c:pt>
                  <c:pt idx="3">
                    <c:v>0.18375028576493951</c:v>
                  </c:pt>
                  <c:pt idx="4">
                    <c:v>0.2437372620407986</c:v>
                  </c:pt>
                  <c:pt idx="5">
                    <c:v>0.42130376892518495</c:v>
                  </c:pt>
                  <c:pt idx="6">
                    <c:v>0.28840851410092422</c:v>
                  </c:pt>
                </c:numCache>
              </c:numRef>
            </c:minus>
          </c:errBars>
          <c:cat>
            <c:strRef>
              <c:f>('[carbon&amp;bulkden08-11.xlsx]Averages_STDEV'!$B$6,'[carbon&amp;bulkden08-11.xlsx]Averages_STDEV'!$C$6,'[carbon&amp;bulkden08-11.xlsx]Averages_STDEV'!$D$6,'[carbon&amp;bulkden08-11.xlsx]Averages_STDEV'!$E$6,'[carbon&amp;bulkden08-11.xlsx]Averages_STDEV'!$F$6,'[carbon&amp;bulkden08-11.xlsx]Averages_STDEV'!$G$6,'[carbon&amp;bulkden08-11.xlsx]Averages_STDEV'!$H$6)</c:f>
              <c:strCache>
                <c:ptCount val="7"/>
                <c:pt idx="0">
                  <c:v>0-5cm</c:v>
                </c:pt>
                <c:pt idx="1">
                  <c:v>5-10cm</c:v>
                </c:pt>
                <c:pt idx="2">
                  <c:v>10-15cm</c:v>
                </c:pt>
                <c:pt idx="3">
                  <c:v>15-30cm</c:v>
                </c:pt>
                <c:pt idx="4">
                  <c:v>30-60cm</c:v>
                </c:pt>
                <c:pt idx="5">
                  <c:v>60-90cm</c:v>
                </c:pt>
                <c:pt idx="6">
                  <c:v>90-120cm</c:v>
                </c:pt>
              </c:strCache>
            </c:strRef>
          </c:cat>
          <c:val>
            <c:numRef>
              <c:f>('[carbon&amp;bulkden08-11.xlsx]Averages_STDEV'!$M$16,'[carbon&amp;bulkden08-11.xlsx]Averages_STDEV'!$N$16,'[carbon&amp;bulkden08-11.xlsx]Averages_STDEV'!$O$16,'[carbon&amp;bulkden08-11.xlsx]Averages_STDEV'!$P$16,'[carbon&amp;bulkden08-11.xlsx]Averages_STDEV'!$Q$16,'[carbon&amp;bulkden08-11.xlsx]Averages_STDEV'!$R$16,'[carbon&amp;bulkden08-11.xlsx]Averages_STDEV'!$S$16)</c:f>
              <c:numCache>
                <c:formatCode>General</c:formatCode>
                <c:ptCount val="7"/>
                <c:pt idx="0">
                  <c:v>1.3026803180710136</c:v>
                </c:pt>
                <c:pt idx="1">
                  <c:v>1.4080220114406556</c:v>
                </c:pt>
                <c:pt idx="2">
                  <c:v>1.4188034110860972</c:v>
                </c:pt>
                <c:pt idx="3">
                  <c:v>1.4574497009632144</c:v>
                </c:pt>
                <c:pt idx="4">
                  <c:v>1.53483380016607</c:v>
                </c:pt>
                <c:pt idx="5">
                  <c:v>1.6422796962069812</c:v>
                </c:pt>
                <c:pt idx="6">
                  <c:v>1.5736816471462305</c:v>
                </c:pt>
              </c:numCache>
            </c:numRef>
          </c:val>
        </c:ser>
        <c:ser>
          <c:idx val="3"/>
          <c:order val="3"/>
          <c:tx>
            <c:v>2011</c:v>
          </c:tx>
          <c:spPr>
            <a:pattFill prst="horzBrick">
              <a:fgClr>
                <a:schemeClr val="tx1"/>
              </a:fgClr>
              <a:bgClr>
                <a:schemeClr val="bg1"/>
              </a:bgClr>
            </a:pattFill>
            <a:ln>
              <a:solidFill>
                <a:schemeClr val="tx1"/>
              </a:solidFill>
            </a:ln>
          </c:spPr>
          <c:invertIfNegative val="0"/>
          <c:errBars>
            <c:errBarType val="both"/>
            <c:errValType val="cust"/>
            <c:noEndCap val="0"/>
            <c:plus>
              <c:numRef>
                <c:f>'[carbon&amp;bulkden08-11.xlsx]Averages_STDEV'!$M$26:$S$26</c:f>
                <c:numCache>
                  <c:formatCode>General</c:formatCode>
                  <c:ptCount val="7"/>
                  <c:pt idx="0">
                    <c:v>0.2273458286974526</c:v>
                  </c:pt>
                  <c:pt idx="1">
                    <c:v>0.17038531847755736</c:v>
                  </c:pt>
                  <c:pt idx="2">
                    <c:v>0.13515165084735084</c:v>
                  </c:pt>
                  <c:pt idx="3">
                    <c:v>0.13506899981218495</c:v>
                  </c:pt>
                  <c:pt idx="4">
                    <c:v>0.11738617544903239</c:v>
                  </c:pt>
                  <c:pt idx="5">
                    <c:v>0.10561394819764544</c:v>
                  </c:pt>
                  <c:pt idx="6">
                    <c:v>0.1066851386963025</c:v>
                  </c:pt>
                </c:numCache>
              </c:numRef>
            </c:plus>
            <c:minus>
              <c:numRef>
                <c:f>'[carbon&amp;bulkden08-11.xlsx]Averages_STDEV'!$M$26:$S$26</c:f>
                <c:numCache>
                  <c:formatCode>General</c:formatCode>
                  <c:ptCount val="7"/>
                  <c:pt idx="0">
                    <c:v>0.2273458286974526</c:v>
                  </c:pt>
                  <c:pt idx="1">
                    <c:v>0.17038531847755736</c:v>
                  </c:pt>
                  <c:pt idx="2">
                    <c:v>0.13515165084735084</c:v>
                  </c:pt>
                  <c:pt idx="3">
                    <c:v>0.13506899981218495</c:v>
                  </c:pt>
                  <c:pt idx="4">
                    <c:v>0.11738617544903239</c:v>
                  </c:pt>
                  <c:pt idx="5">
                    <c:v>0.10561394819764544</c:v>
                  </c:pt>
                  <c:pt idx="6">
                    <c:v>0.1066851386963025</c:v>
                  </c:pt>
                </c:numCache>
              </c:numRef>
            </c:minus>
          </c:errBars>
          <c:val>
            <c:numRef>
              <c:f>'[carbon&amp;bulkden08-11.xlsx]Averages_STDEV'!$M$24:$S$24</c:f>
              <c:numCache>
                <c:formatCode>General</c:formatCode>
                <c:ptCount val="7"/>
                <c:pt idx="0">
                  <c:v>1.3555186912900921</c:v>
                </c:pt>
                <c:pt idx="1">
                  <c:v>1.403203071120906</c:v>
                </c:pt>
                <c:pt idx="2">
                  <c:v>1.4205690714966164</c:v>
                </c:pt>
                <c:pt idx="3">
                  <c:v>1.4494908712603864</c:v>
                </c:pt>
                <c:pt idx="4">
                  <c:v>1.6244427444885752</c:v>
                </c:pt>
                <c:pt idx="5">
                  <c:v>1.6464695377745864</c:v>
                </c:pt>
                <c:pt idx="6">
                  <c:v>1.6055187688847434</c:v>
                </c:pt>
              </c:numCache>
            </c:numRef>
          </c:val>
        </c:ser>
        <c:dLbls>
          <c:showLegendKey val="0"/>
          <c:showVal val="0"/>
          <c:showCatName val="0"/>
          <c:showSerName val="0"/>
          <c:showPercent val="0"/>
          <c:showBubbleSize val="0"/>
        </c:dLbls>
        <c:gapWidth val="150"/>
        <c:axId val="81399808"/>
        <c:axId val="81401728"/>
      </c:barChart>
      <c:catAx>
        <c:axId val="81399808"/>
        <c:scaling>
          <c:orientation val="minMax"/>
        </c:scaling>
        <c:delete val="0"/>
        <c:axPos val="b"/>
        <c:title>
          <c:tx>
            <c:rich>
              <a:bodyPr/>
              <a:lstStyle/>
              <a:p>
                <a:pPr>
                  <a:defRPr/>
                </a:pPr>
                <a:r>
                  <a:rPr lang="en-US"/>
                  <a:t>Depth</a:t>
                </a:r>
              </a:p>
            </c:rich>
          </c:tx>
          <c:overlay val="0"/>
        </c:title>
        <c:majorTickMark val="out"/>
        <c:minorTickMark val="none"/>
        <c:tickLblPos val="nextTo"/>
        <c:crossAx val="81401728"/>
        <c:crosses val="autoZero"/>
        <c:auto val="1"/>
        <c:lblAlgn val="ctr"/>
        <c:lblOffset val="100"/>
        <c:noMultiLvlLbl val="0"/>
      </c:catAx>
      <c:valAx>
        <c:axId val="81401728"/>
        <c:scaling>
          <c:orientation val="minMax"/>
        </c:scaling>
        <c:delete val="0"/>
        <c:axPos val="l"/>
        <c:majorGridlines/>
        <c:title>
          <c:tx>
            <c:rich>
              <a:bodyPr rot="-5400000" vert="horz"/>
              <a:lstStyle/>
              <a:p>
                <a:pPr>
                  <a:defRPr/>
                </a:pPr>
                <a:r>
                  <a:rPr lang="en-US"/>
                  <a:t>Bulk Density (g/cm^3)</a:t>
                </a:r>
              </a:p>
            </c:rich>
          </c:tx>
          <c:overlay val="0"/>
        </c:title>
        <c:numFmt formatCode="General" sourceLinked="1"/>
        <c:majorTickMark val="out"/>
        <c:minorTickMark val="none"/>
        <c:tickLblPos val="nextTo"/>
        <c:crossAx val="81399808"/>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Bulk Density (g/cm^3)</c:v>
          </c:tx>
          <c:spPr>
            <a:ln w="28575">
              <a:noFill/>
            </a:ln>
          </c:spPr>
          <c:marker>
            <c:spPr>
              <a:noFill/>
              <a:ln>
                <a:solidFill>
                  <a:schemeClr val="tx1"/>
                </a:solidFill>
              </a:ln>
            </c:spPr>
          </c:marker>
          <c:trendline>
            <c:trendlineType val="linear"/>
            <c:dispRSqr val="1"/>
            <c:dispEq val="1"/>
            <c:trendlineLbl>
              <c:layout>
                <c:manualLayout>
                  <c:x val="1.5931222882853931E-2"/>
                  <c:y val="-0.19492508056746072"/>
                </c:manualLayout>
              </c:layout>
              <c:tx>
                <c:rich>
                  <a:bodyPr/>
                  <a:lstStyle/>
                  <a:p>
                    <a:pPr>
                      <a:defRPr sz="1050"/>
                    </a:pPr>
                    <a:r>
                      <a:rPr lang="en-US" sz="1050" baseline="0"/>
                      <a:t>
R² = 0.4669</a:t>
                    </a:r>
                    <a:endParaRPr lang="en-US" sz="1050"/>
                  </a:p>
                </c:rich>
              </c:tx>
              <c:numFmt formatCode="General" sourceLinked="0"/>
            </c:trendlineLbl>
          </c:trendline>
          <c:xVal>
            <c:numRef>
              <c:f>Sheet1!$B$2:$B$29</c:f>
              <c:numCache>
                <c:formatCode>0.00</c:formatCode>
                <c:ptCount val="28"/>
                <c:pt idx="0">
                  <c:v>0.23580711354309189</c:v>
                </c:pt>
                <c:pt idx="1">
                  <c:v>0.27539779681762555</c:v>
                </c:pt>
                <c:pt idx="2">
                  <c:v>0.29618863049095584</c:v>
                </c:pt>
                <c:pt idx="3">
                  <c:v>0.31971122076114017</c:v>
                </c:pt>
                <c:pt idx="4">
                  <c:v>0.3316106804478901</c:v>
                </c:pt>
                <c:pt idx="5">
                  <c:v>0.34405655729951284</c:v>
                </c:pt>
                <c:pt idx="6">
                  <c:v>0.35728542725829537</c:v>
                </c:pt>
                <c:pt idx="7">
                  <c:v>0.37755996830040411</c:v>
                </c:pt>
                <c:pt idx="8">
                  <c:v>0.43905372894947847</c:v>
                </c:pt>
                <c:pt idx="9">
                  <c:v>0.45118983234180643</c:v>
                </c:pt>
                <c:pt idx="10">
                  <c:v>0.47901826002635062</c:v>
                </c:pt>
                <c:pt idx="11">
                  <c:v>0.5606944071395058</c:v>
                </c:pt>
                <c:pt idx="12">
                  <c:v>0.69301471579426743</c:v>
                </c:pt>
                <c:pt idx="13">
                  <c:v>0.72032482485100413</c:v>
                </c:pt>
                <c:pt idx="14">
                  <c:v>0.75397796817625584</c:v>
                </c:pt>
                <c:pt idx="15">
                  <c:v>0.77594585213467449</c:v>
                </c:pt>
                <c:pt idx="16">
                  <c:v>0.92492780838035726</c:v>
                </c:pt>
                <c:pt idx="17">
                  <c:v>0.92876438806671513</c:v>
                </c:pt>
                <c:pt idx="18">
                  <c:v>0.93129172858832554</c:v>
                </c:pt>
                <c:pt idx="19">
                  <c:v>1.0147856817145466</c:v>
                </c:pt>
                <c:pt idx="20">
                  <c:v>1.2567594532229474</c:v>
                </c:pt>
                <c:pt idx="21">
                  <c:v>1.2893991264313547</c:v>
                </c:pt>
                <c:pt idx="22">
                  <c:v>1.302793340811593</c:v>
                </c:pt>
                <c:pt idx="23">
                  <c:v>1.4455703211517152</c:v>
                </c:pt>
                <c:pt idx="24">
                  <c:v>1.9444767441860467</c:v>
                </c:pt>
                <c:pt idx="25">
                  <c:v>1.9471772085641317</c:v>
                </c:pt>
                <c:pt idx="26">
                  <c:v>1.9620227803703141</c:v>
                </c:pt>
                <c:pt idx="27">
                  <c:v>2.0322848569285177</c:v>
                </c:pt>
              </c:numCache>
            </c:numRef>
          </c:xVal>
          <c:yVal>
            <c:numRef>
              <c:f>Sheet1!$A$2:$A$29</c:f>
              <c:numCache>
                <c:formatCode>0.00</c:formatCode>
                <c:ptCount val="28"/>
                <c:pt idx="0">
                  <c:v>1.3891954256905803</c:v>
                </c:pt>
                <c:pt idx="1">
                  <c:v>1.6585211817806726</c:v>
                </c:pt>
                <c:pt idx="2">
                  <c:v>1.4124794561185718</c:v>
                </c:pt>
                <c:pt idx="3">
                  <c:v>1.6055187688847434</c:v>
                </c:pt>
                <c:pt idx="4">
                  <c:v>1.6239051277976342</c:v>
                </c:pt>
                <c:pt idx="5">
                  <c:v>1.5736816471462305</c:v>
                </c:pt>
                <c:pt idx="6">
                  <c:v>1.6422796962069812</c:v>
                </c:pt>
                <c:pt idx="7">
                  <c:v>1.6464695377745864</c:v>
                </c:pt>
                <c:pt idx="8">
                  <c:v>1.767947040218742</c:v>
                </c:pt>
                <c:pt idx="9">
                  <c:v>1.5686546984672303</c:v>
                </c:pt>
                <c:pt idx="10">
                  <c:v>1.6244427444885752</c:v>
                </c:pt>
                <c:pt idx="11">
                  <c:v>1.53483380016607</c:v>
                </c:pt>
                <c:pt idx="12">
                  <c:v>1.4574497009632144</c:v>
                </c:pt>
                <c:pt idx="13">
                  <c:v>1.4494908712603864</c:v>
                </c:pt>
                <c:pt idx="14">
                  <c:v>1.5338149975086746</c:v>
                </c:pt>
                <c:pt idx="15">
                  <c:v>1.1936661636559249</c:v>
                </c:pt>
                <c:pt idx="16">
                  <c:v>1.4205690714966164</c:v>
                </c:pt>
                <c:pt idx="17">
                  <c:v>1.5313441974959232</c:v>
                </c:pt>
                <c:pt idx="18">
                  <c:v>1.4188034110860972</c:v>
                </c:pt>
                <c:pt idx="19">
                  <c:v>1.2169837524141578</c:v>
                </c:pt>
                <c:pt idx="20">
                  <c:v>1.403203071120906</c:v>
                </c:pt>
                <c:pt idx="21">
                  <c:v>1.4736138054492582</c:v>
                </c:pt>
                <c:pt idx="22">
                  <c:v>1.4080220114406556</c:v>
                </c:pt>
                <c:pt idx="23">
                  <c:v>1.184696199126323</c:v>
                </c:pt>
                <c:pt idx="24">
                  <c:v>1.379931434907538</c:v>
                </c:pt>
                <c:pt idx="25">
                  <c:v>1.3555186912900921</c:v>
                </c:pt>
                <c:pt idx="26">
                  <c:v>1.3026803180710136</c:v>
                </c:pt>
                <c:pt idx="27">
                  <c:v>1.1299106461250596</c:v>
                </c:pt>
              </c:numCache>
            </c:numRef>
          </c:yVal>
          <c:smooth val="0"/>
        </c:ser>
        <c:dLbls>
          <c:showLegendKey val="0"/>
          <c:showVal val="0"/>
          <c:showCatName val="0"/>
          <c:showSerName val="0"/>
          <c:showPercent val="0"/>
          <c:showBubbleSize val="0"/>
        </c:dLbls>
        <c:axId val="81422976"/>
        <c:axId val="81433344"/>
      </c:scatterChart>
      <c:valAx>
        <c:axId val="81422976"/>
        <c:scaling>
          <c:orientation val="minMax"/>
        </c:scaling>
        <c:delete val="0"/>
        <c:axPos val="b"/>
        <c:title>
          <c:tx>
            <c:rich>
              <a:bodyPr/>
              <a:lstStyle/>
              <a:p>
                <a:pPr>
                  <a:defRPr/>
                </a:pPr>
                <a:r>
                  <a:rPr lang="en-US"/>
                  <a:t>SOC (%)</a:t>
                </a:r>
              </a:p>
            </c:rich>
          </c:tx>
          <c:overlay val="0"/>
        </c:title>
        <c:numFmt formatCode="0.00" sourceLinked="1"/>
        <c:majorTickMark val="out"/>
        <c:minorTickMark val="none"/>
        <c:tickLblPos val="nextTo"/>
        <c:crossAx val="81433344"/>
        <c:crosses val="autoZero"/>
        <c:crossBetween val="midCat"/>
      </c:valAx>
      <c:valAx>
        <c:axId val="81433344"/>
        <c:scaling>
          <c:orientation val="minMax"/>
        </c:scaling>
        <c:delete val="0"/>
        <c:axPos val="l"/>
        <c:majorGridlines/>
        <c:title>
          <c:tx>
            <c:rich>
              <a:bodyPr rot="-5400000" vert="horz"/>
              <a:lstStyle/>
              <a:p>
                <a:pPr>
                  <a:defRPr/>
                </a:pPr>
                <a:r>
                  <a:rPr lang="en-US"/>
                  <a:t>Bulk Density </a:t>
                </a:r>
              </a:p>
            </c:rich>
          </c:tx>
          <c:overlay val="0"/>
        </c:title>
        <c:numFmt formatCode="0.00" sourceLinked="1"/>
        <c:majorTickMark val="out"/>
        <c:minorTickMark val="none"/>
        <c:tickLblPos val="nextTo"/>
        <c:crossAx val="81422976"/>
        <c:crosses val="autoZero"/>
        <c:crossBetween val="midCat"/>
      </c:valAx>
    </c:plotArea>
    <c:legend>
      <c:legendPos val="r"/>
      <c:legendEntry>
        <c:idx val="1"/>
        <c:delete val="1"/>
      </c:legendEntry>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Cover</c:v>
          </c:tx>
          <c:spPr>
            <a:pattFill prst="pct5">
              <a:fgClr>
                <a:schemeClr val="tx1"/>
              </a:fgClr>
              <a:bgClr>
                <a:schemeClr val="bg1"/>
              </a:bgClr>
            </a:pattFill>
            <a:ln>
              <a:solidFill>
                <a:schemeClr val="tx1"/>
              </a:solidFill>
            </a:ln>
          </c:spPr>
          <c:invertIfNegative val="0"/>
          <c:errBars>
            <c:errBarType val="both"/>
            <c:errValType val="cust"/>
            <c:noEndCap val="0"/>
            <c:plus>
              <c:numRef>
                <c:f>total!$R$44:$R$47</c:f>
                <c:numCache>
                  <c:formatCode>General</c:formatCode>
                  <c:ptCount val="4"/>
                  <c:pt idx="0">
                    <c:v>11685.850372113999</c:v>
                  </c:pt>
                  <c:pt idx="1">
                    <c:v>11517.002575563998</c:v>
                  </c:pt>
                  <c:pt idx="2">
                    <c:v>3968.4680265120001</c:v>
                  </c:pt>
                  <c:pt idx="3">
                    <c:v>2501.4304493582003</c:v>
                  </c:pt>
                </c:numCache>
              </c:numRef>
            </c:plus>
            <c:minus>
              <c:numRef>
                <c:f>total!$R$44:$R$47</c:f>
                <c:numCache>
                  <c:formatCode>General</c:formatCode>
                  <c:ptCount val="4"/>
                  <c:pt idx="0">
                    <c:v>11685.850372113999</c:v>
                  </c:pt>
                  <c:pt idx="1">
                    <c:v>11517.002575563998</c:v>
                  </c:pt>
                  <c:pt idx="2">
                    <c:v>3968.4680265120001</c:v>
                  </c:pt>
                  <c:pt idx="3">
                    <c:v>2501.4304493582003</c:v>
                  </c:pt>
                </c:numCache>
              </c:numRef>
            </c:minus>
          </c:errBars>
          <c:cat>
            <c:strRef>
              <c:f>total!$P$44:$P$47</c:f>
              <c:strCache>
                <c:ptCount val="4"/>
                <c:pt idx="0">
                  <c:v>Spring</c:v>
                </c:pt>
                <c:pt idx="1">
                  <c:v>Summer</c:v>
                </c:pt>
                <c:pt idx="2">
                  <c:v>Fall </c:v>
                </c:pt>
                <c:pt idx="3">
                  <c:v>Winter</c:v>
                </c:pt>
              </c:strCache>
            </c:strRef>
          </c:cat>
          <c:val>
            <c:numRef>
              <c:f>total!$Q$44:$Q$47</c:f>
              <c:numCache>
                <c:formatCode>General</c:formatCode>
                <c:ptCount val="4"/>
                <c:pt idx="0">
                  <c:v>26905.99812635699</c:v>
                </c:pt>
                <c:pt idx="1">
                  <c:v>38710.345157649994</c:v>
                </c:pt>
                <c:pt idx="2">
                  <c:v>10661.127298227002</c:v>
                </c:pt>
                <c:pt idx="3">
                  <c:v>5448.9947714850005</c:v>
                </c:pt>
              </c:numCache>
            </c:numRef>
          </c:val>
        </c:ser>
        <c:ser>
          <c:idx val="1"/>
          <c:order val="1"/>
          <c:tx>
            <c:v>Bare</c:v>
          </c:tx>
          <c:spPr>
            <a:pattFill prst="ltDnDiag">
              <a:fgClr>
                <a:schemeClr val="tx1"/>
              </a:fgClr>
              <a:bgClr>
                <a:schemeClr val="bg1"/>
              </a:bgClr>
            </a:pattFill>
            <a:ln>
              <a:solidFill>
                <a:schemeClr val="tx1"/>
              </a:solidFill>
            </a:ln>
          </c:spPr>
          <c:invertIfNegative val="0"/>
          <c:errBars>
            <c:errBarType val="both"/>
            <c:errValType val="cust"/>
            <c:noEndCap val="0"/>
            <c:plus>
              <c:numRef>
                <c:f>total!$T$44:$T$47</c:f>
                <c:numCache>
                  <c:formatCode>General</c:formatCode>
                  <c:ptCount val="4"/>
                  <c:pt idx="0">
                    <c:v>7254.4185947779997</c:v>
                  </c:pt>
                  <c:pt idx="1">
                    <c:v>4748.1765591859994</c:v>
                  </c:pt>
                  <c:pt idx="2">
                    <c:v>2143.3307214252</c:v>
                  </c:pt>
                  <c:pt idx="3">
                    <c:v>3254.5817081198998</c:v>
                  </c:pt>
                </c:numCache>
              </c:numRef>
            </c:plus>
            <c:minus>
              <c:numRef>
                <c:f>total!$T$44:$T$47</c:f>
                <c:numCache>
                  <c:formatCode>General</c:formatCode>
                  <c:ptCount val="4"/>
                  <c:pt idx="0">
                    <c:v>7254.4185947779997</c:v>
                  </c:pt>
                  <c:pt idx="1">
                    <c:v>4748.1765591859994</c:v>
                  </c:pt>
                  <c:pt idx="2">
                    <c:v>2143.3307214252</c:v>
                  </c:pt>
                  <c:pt idx="3">
                    <c:v>3254.5817081198998</c:v>
                  </c:pt>
                </c:numCache>
              </c:numRef>
            </c:minus>
          </c:errBars>
          <c:cat>
            <c:strRef>
              <c:f>total!$P$44:$P$47</c:f>
              <c:strCache>
                <c:ptCount val="4"/>
                <c:pt idx="0">
                  <c:v>Spring</c:v>
                </c:pt>
                <c:pt idx="1">
                  <c:v>Summer</c:v>
                </c:pt>
                <c:pt idx="2">
                  <c:v>Fall </c:v>
                </c:pt>
                <c:pt idx="3">
                  <c:v>Winter</c:v>
                </c:pt>
              </c:strCache>
            </c:strRef>
          </c:cat>
          <c:val>
            <c:numRef>
              <c:f>total!$S$44:$S$47</c:f>
              <c:numCache>
                <c:formatCode>General</c:formatCode>
                <c:ptCount val="4"/>
                <c:pt idx="0">
                  <c:v>15878.666902720999</c:v>
                </c:pt>
                <c:pt idx="1">
                  <c:v>25091.931490337993</c:v>
                </c:pt>
                <c:pt idx="2">
                  <c:v>7010.1654051409987</c:v>
                </c:pt>
                <c:pt idx="3">
                  <c:v>4030.7618567369996</c:v>
                </c:pt>
              </c:numCache>
            </c:numRef>
          </c:val>
        </c:ser>
        <c:dLbls>
          <c:showLegendKey val="0"/>
          <c:showVal val="0"/>
          <c:showCatName val="0"/>
          <c:showSerName val="0"/>
          <c:showPercent val="0"/>
          <c:showBubbleSize val="0"/>
        </c:dLbls>
        <c:gapWidth val="150"/>
        <c:axId val="81478016"/>
        <c:axId val="81479936"/>
      </c:barChart>
      <c:scatterChart>
        <c:scatterStyle val="lineMarker"/>
        <c:varyColors val="0"/>
        <c:ser>
          <c:idx val="2"/>
          <c:order val="2"/>
          <c:tx>
            <c:v>Temperature</c:v>
          </c:tx>
          <c:spPr>
            <a:ln w="28575">
              <a:noFill/>
            </a:ln>
          </c:spPr>
          <c:marker>
            <c:spPr>
              <a:solidFill>
                <a:schemeClr val="tx1"/>
              </a:solidFill>
              <a:ln>
                <a:solidFill>
                  <a:schemeClr val="tx1"/>
                </a:solidFill>
              </a:ln>
            </c:spPr>
          </c:marker>
          <c:yVal>
            <c:numRef>
              <c:f>total!$U$44:$U$47</c:f>
              <c:numCache>
                <c:formatCode>General</c:formatCode>
                <c:ptCount val="4"/>
                <c:pt idx="0">
                  <c:v>17.451272513164831</c:v>
                </c:pt>
                <c:pt idx="1">
                  <c:v>26.254526190197531</c:v>
                </c:pt>
                <c:pt idx="2">
                  <c:v>13.248982513796202</c:v>
                </c:pt>
                <c:pt idx="3">
                  <c:v>6.3489050191827152</c:v>
                </c:pt>
              </c:numCache>
            </c:numRef>
          </c:yVal>
          <c:smooth val="0"/>
        </c:ser>
        <c:dLbls>
          <c:showLegendKey val="0"/>
          <c:showVal val="0"/>
          <c:showCatName val="0"/>
          <c:showSerName val="0"/>
          <c:showPercent val="0"/>
          <c:showBubbleSize val="0"/>
        </c:dLbls>
        <c:axId val="81484032"/>
        <c:axId val="81482112"/>
      </c:scatterChart>
      <c:catAx>
        <c:axId val="81478016"/>
        <c:scaling>
          <c:orientation val="minMax"/>
        </c:scaling>
        <c:delete val="0"/>
        <c:axPos val="b"/>
        <c:majorTickMark val="out"/>
        <c:minorTickMark val="none"/>
        <c:tickLblPos val="nextTo"/>
        <c:txPr>
          <a:bodyPr/>
          <a:lstStyle/>
          <a:p>
            <a:pPr>
              <a:defRPr sz="1200"/>
            </a:pPr>
            <a:endParaRPr lang="en-US"/>
          </a:p>
        </c:txPr>
        <c:crossAx val="81479936"/>
        <c:crosses val="autoZero"/>
        <c:auto val="1"/>
        <c:lblAlgn val="ctr"/>
        <c:lblOffset val="100"/>
        <c:noMultiLvlLbl val="0"/>
      </c:catAx>
      <c:valAx>
        <c:axId val="81479936"/>
        <c:scaling>
          <c:orientation val="minMax"/>
        </c:scaling>
        <c:delete val="0"/>
        <c:axPos val="l"/>
        <c:majorGridlines/>
        <c:title>
          <c:tx>
            <c:rich>
              <a:bodyPr rot="-5400000" vert="horz"/>
              <a:lstStyle/>
              <a:p>
                <a:pPr>
                  <a:defRPr sz="1200"/>
                </a:pPr>
                <a:r>
                  <a:rPr lang="en-US" sz="1200"/>
                  <a:t>CO2 Flux (kg/ ha/season)</a:t>
                </a:r>
              </a:p>
            </c:rich>
          </c:tx>
          <c:overlay val="0"/>
        </c:title>
        <c:numFmt formatCode="General" sourceLinked="1"/>
        <c:majorTickMark val="out"/>
        <c:minorTickMark val="none"/>
        <c:tickLblPos val="nextTo"/>
        <c:crossAx val="81478016"/>
        <c:crosses val="autoZero"/>
        <c:crossBetween val="between"/>
      </c:valAx>
      <c:valAx>
        <c:axId val="81482112"/>
        <c:scaling>
          <c:orientation val="minMax"/>
        </c:scaling>
        <c:delete val="0"/>
        <c:axPos val="r"/>
        <c:title>
          <c:tx>
            <c:rich>
              <a:bodyPr rot="-5400000" vert="horz"/>
              <a:lstStyle/>
              <a:p>
                <a:pPr>
                  <a:defRPr sz="1200"/>
                </a:pPr>
                <a:r>
                  <a:rPr lang="en-US" sz="1200"/>
                  <a:t>Soil Temperature (C )</a:t>
                </a:r>
              </a:p>
            </c:rich>
          </c:tx>
          <c:overlay val="0"/>
        </c:title>
        <c:numFmt formatCode="General" sourceLinked="1"/>
        <c:majorTickMark val="out"/>
        <c:minorTickMark val="none"/>
        <c:tickLblPos val="nextTo"/>
        <c:crossAx val="81484032"/>
        <c:crosses val="max"/>
        <c:crossBetween val="midCat"/>
      </c:valAx>
      <c:valAx>
        <c:axId val="81484032"/>
        <c:scaling>
          <c:orientation val="minMax"/>
        </c:scaling>
        <c:delete val="1"/>
        <c:axPos val="b"/>
        <c:majorTickMark val="out"/>
        <c:minorTickMark val="none"/>
        <c:tickLblPos val="nextTo"/>
        <c:crossAx val="81482112"/>
        <c:crosses val="autoZero"/>
        <c:crossBetween val="midCat"/>
      </c:valAx>
    </c:plotArea>
    <c:legend>
      <c:legendPos val="r"/>
      <c:overlay val="0"/>
      <c:txPr>
        <a:bodyPr/>
        <a:lstStyle/>
        <a:p>
          <a:pPr>
            <a:defRPr sz="12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0.08898</cdr:x>
      <cdr:y>0.08844</cdr:y>
    </cdr:from>
    <cdr:to>
      <cdr:x>0.11952</cdr:x>
      <cdr:y>0.15986</cdr:y>
    </cdr:to>
    <cdr:sp macro="" textlink="">
      <cdr:nvSpPr>
        <cdr:cNvPr id="2" name="TextBox 1"/>
        <cdr:cNvSpPr txBox="1"/>
      </cdr:nvSpPr>
      <cdr:spPr>
        <a:xfrm xmlns:a="http://schemas.openxmlformats.org/drawingml/2006/main">
          <a:off x="638175" y="247650"/>
          <a:ext cx="219075"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a:t>
          </a:r>
        </a:p>
      </cdr:txBody>
    </cdr:sp>
  </cdr:relSizeAnchor>
  <cdr:relSizeAnchor xmlns:cdr="http://schemas.openxmlformats.org/drawingml/2006/chartDrawing">
    <cdr:from>
      <cdr:x>0.11023</cdr:x>
      <cdr:y>0.09864</cdr:y>
    </cdr:from>
    <cdr:to>
      <cdr:x>0.14343</cdr:x>
      <cdr:y>0.21429</cdr:y>
    </cdr:to>
    <cdr:sp macro="" textlink="">
      <cdr:nvSpPr>
        <cdr:cNvPr id="3" name="TextBox 2"/>
        <cdr:cNvSpPr txBox="1"/>
      </cdr:nvSpPr>
      <cdr:spPr>
        <a:xfrm xmlns:a="http://schemas.openxmlformats.org/drawingml/2006/main">
          <a:off x="790575" y="276225"/>
          <a:ext cx="238125" cy="323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a:t>
          </a:r>
        </a:p>
      </cdr:txBody>
    </cdr:sp>
  </cdr:relSizeAnchor>
  <cdr:relSizeAnchor xmlns:cdr="http://schemas.openxmlformats.org/drawingml/2006/chartDrawing">
    <cdr:from>
      <cdr:x>0.13015</cdr:x>
      <cdr:y>0.09524</cdr:y>
    </cdr:from>
    <cdr:to>
      <cdr:x>0.16335</cdr:x>
      <cdr:y>0.20748</cdr:y>
    </cdr:to>
    <cdr:sp macro="" textlink="">
      <cdr:nvSpPr>
        <cdr:cNvPr id="4" name="TextBox 3"/>
        <cdr:cNvSpPr txBox="1"/>
      </cdr:nvSpPr>
      <cdr:spPr>
        <a:xfrm xmlns:a="http://schemas.openxmlformats.org/drawingml/2006/main">
          <a:off x="933450" y="266700"/>
          <a:ext cx="238125"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a:t>
          </a:r>
        </a:p>
      </cdr:txBody>
    </cdr:sp>
  </cdr:relSizeAnchor>
  <cdr:relSizeAnchor xmlns:cdr="http://schemas.openxmlformats.org/drawingml/2006/chartDrawing">
    <cdr:from>
      <cdr:x>0.15139</cdr:x>
      <cdr:y>0.10884</cdr:y>
    </cdr:from>
    <cdr:to>
      <cdr:x>0.18991</cdr:x>
      <cdr:y>0.19728</cdr:y>
    </cdr:to>
    <cdr:sp macro="" textlink="">
      <cdr:nvSpPr>
        <cdr:cNvPr id="5" name="TextBox 4"/>
        <cdr:cNvSpPr txBox="1"/>
      </cdr:nvSpPr>
      <cdr:spPr>
        <a:xfrm xmlns:a="http://schemas.openxmlformats.org/drawingml/2006/main">
          <a:off x="1085850" y="304800"/>
          <a:ext cx="27622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a:t>
          </a:r>
        </a:p>
      </cdr:txBody>
    </cdr:sp>
  </cdr:relSizeAnchor>
  <cdr:relSizeAnchor xmlns:cdr="http://schemas.openxmlformats.org/drawingml/2006/chartDrawing">
    <cdr:from>
      <cdr:x>0.20452</cdr:x>
      <cdr:y>0.2517</cdr:y>
    </cdr:from>
    <cdr:to>
      <cdr:x>0.23904</cdr:x>
      <cdr:y>0.33673</cdr:y>
    </cdr:to>
    <cdr:sp macro="" textlink="">
      <cdr:nvSpPr>
        <cdr:cNvPr id="6" name="TextBox 5"/>
        <cdr:cNvSpPr txBox="1"/>
      </cdr:nvSpPr>
      <cdr:spPr>
        <a:xfrm xmlns:a="http://schemas.openxmlformats.org/drawingml/2006/main">
          <a:off x="1466850" y="704850"/>
          <a:ext cx="2476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B</a:t>
          </a:r>
        </a:p>
      </cdr:txBody>
    </cdr:sp>
  </cdr:relSizeAnchor>
  <cdr:relSizeAnchor xmlns:cdr="http://schemas.openxmlformats.org/drawingml/2006/chartDrawing">
    <cdr:from>
      <cdr:x>0.22311</cdr:x>
      <cdr:y>0.34694</cdr:y>
    </cdr:from>
    <cdr:to>
      <cdr:x>0.25764</cdr:x>
      <cdr:y>0.42517</cdr:y>
    </cdr:to>
    <cdr:sp macro="" textlink="">
      <cdr:nvSpPr>
        <cdr:cNvPr id="7" name="TextBox 6"/>
        <cdr:cNvSpPr txBox="1"/>
      </cdr:nvSpPr>
      <cdr:spPr>
        <a:xfrm xmlns:a="http://schemas.openxmlformats.org/drawingml/2006/main">
          <a:off x="1600200" y="971550"/>
          <a:ext cx="247650"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C</a:t>
          </a:r>
        </a:p>
      </cdr:txBody>
    </cdr:sp>
  </cdr:relSizeAnchor>
  <cdr:relSizeAnchor xmlns:cdr="http://schemas.openxmlformats.org/drawingml/2006/chartDrawing">
    <cdr:from>
      <cdr:x>0.23772</cdr:x>
      <cdr:y>0.32653</cdr:y>
    </cdr:from>
    <cdr:to>
      <cdr:x>0.29482</cdr:x>
      <cdr:y>0.41156</cdr:y>
    </cdr:to>
    <cdr:sp macro="" textlink="">
      <cdr:nvSpPr>
        <cdr:cNvPr id="8" name="TextBox 7"/>
        <cdr:cNvSpPr txBox="1"/>
      </cdr:nvSpPr>
      <cdr:spPr>
        <a:xfrm xmlns:a="http://schemas.openxmlformats.org/drawingml/2006/main">
          <a:off x="1704976" y="914401"/>
          <a:ext cx="409574" cy="2381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BC</a:t>
          </a:r>
        </a:p>
      </cdr:txBody>
    </cdr:sp>
  </cdr:relSizeAnchor>
  <cdr:relSizeAnchor xmlns:cdr="http://schemas.openxmlformats.org/drawingml/2006/chartDrawing">
    <cdr:from>
      <cdr:x>0.26428</cdr:x>
      <cdr:y>0.34014</cdr:y>
    </cdr:from>
    <cdr:to>
      <cdr:x>0.30279</cdr:x>
      <cdr:y>0.43197</cdr:y>
    </cdr:to>
    <cdr:sp macro="" textlink="">
      <cdr:nvSpPr>
        <cdr:cNvPr id="9" name="TextBox 8"/>
        <cdr:cNvSpPr txBox="1"/>
      </cdr:nvSpPr>
      <cdr:spPr>
        <a:xfrm xmlns:a="http://schemas.openxmlformats.org/drawingml/2006/main">
          <a:off x="1895475" y="952500"/>
          <a:ext cx="27622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C</a:t>
          </a:r>
        </a:p>
      </cdr:txBody>
    </cdr:sp>
  </cdr:relSizeAnchor>
  <cdr:relSizeAnchor xmlns:cdr="http://schemas.openxmlformats.org/drawingml/2006/chartDrawing">
    <cdr:from>
      <cdr:x>0.31699</cdr:x>
      <cdr:y>0.43991</cdr:y>
    </cdr:from>
    <cdr:to>
      <cdr:x>0.34791</cdr:x>
      <cdr:y>0.53061</cdr:y>
    </cdr:to>
    <cdr:sp macro="" textlink="">
      <cdr:nvSpPr>
        <cdr:cNvPr id="10" name="TextBox 9"/>
        <cdr:cNvSpPr txBox="1"/>
      </cdr:nvSpPr>
      <cdr:spPr>
        <a:xfrm xmlns:a="http://schemas.openxmlformats.org/drawingml/2006/main">
          <a:off x="2278592" y="1231900"/>
          <a:ext cx="222250" cy="25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a:t>
          </a:r>
        </a:p>
      </cdr:txBody>
    </cdr:sp>
  </cdr:relSizeAnchor>
  <cdr:relSizeAnchor xmlns:cdr="http://schemas.openxmlformats.org/drawingml/2006/chartDrawing">
    <cdr:from>
      <cdr:x>0.33319</cdr:x>
      <cdr:y>0.47014</cdr:y>
    </cdr:from>
    <cdr:to>
      <cdr:x>0.3803</cdr:x>
      <cdr:y>0.54195</cdr:y>
    </cdr:to>
    <cdr:sp macro="" textlink="">
      <cdr:nvSpPr>
        <cdr:cNvPr id="11" name="TextBox 10"/>
        <cdr:cNvSpPr txBox="1"/>
      </cdr:nvSpPr>
      <cdr:spPr>
        <a:xfrm xmlns:a="http://schemas.openxmlformats.org/drawingml/2006/main">
          <a:off x="2395008" y="1316567"/>
          <a:ext cx="338667" cy="2010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a:t>
          </a:r>
        </a:p>
      </cdr:txBody>
    </cdr:sp>
  </cdr:relSizeAnchor>
  <cdr:relSizeAnchor xmlns:cdr="http://schemas.openxmlformats.org/drawingml/2006/chartDrawing">
    <cdr:from>
      <cdr:x>0.35822</cdr:x>
      <cdr:y>0.47014</cdr:y>
    </cdr:from>
    <cdr:to>
      <cdr:x>0.38325</cdr:x>
      <cdr:y>0.54951</cdr:y>
    </cdr:to>
    <cdr:sp macro="" textlink="">
      <cdr:nvSpPr>
        <cdr:cNvPr id="12" name="TextBox 11"/>
        <cdr:cNvSpPr txBox="1"/>
      </cdr:nvSpPr>
      <cdr:spPr>
        <a:xfrm xmlns:a="http://schemas.openxmlformats.org/drawingml/2006/main">
          <a:off x="2574925" y="1316567"/>
          <a:ext cx="179918"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a:t>
          </a:r>
        </a:p>
      </cdr:txBody>
    </cdr:sp>
  </cdr:relSizeAnchor>
  <cdr:relSizeAnchor xmlns:cdr="http://schemas.openxmlformats.org/drawingml/2006/chartDrawing">
    <cdr:from>
      <cdr:x>0.37588</cdr:x>
      <cdr:y>0.47014</cdr:y>
    </cdr:from>
    <cdr:to>
      <cdr:x>0.41269</cdr:x>
      <cdr:y>0.54573</cdr:y>
    </cdr:to>
    <cdr:sp macro="" textlink="">
      <cdr:nvSpPr>
        <cdr:cNvPr id="13" name="TextBox 12"/>
        <cdr:cNvSpPr txBox="1"/>
      </cdr:nvSpPr>
      <cdr:spPr>
        <a:xfrm xmlns:a="http://schemas.openxmlformats.org/drawingml/2006/main">
          <a:off x="2701925" y="1316567"/>
          <a:ext cx="264583" cy="2116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a:t>
          </a:r>
        </a:p>
      </cdr:txBody>
    </cdr:sp>
  </cdr:relSizeAnchor>
  <cdr:relSizeAnchor xmlns:cdr="http://schemas.openxmlformats.org/drawingml/2006/chartDrawing">
    <cdr:from>
      <cdr:x>0.42447</cdr:x>
      <cdr:y>0.46636</cdr:y>
    </cdr:from>
    <cdr:to>
      <cdr:x>0.47453</cdr:x>
      <cdr:y>0.54951</cdr:y>
    </cdr:to>
    <cdr:sp macro="" textlink="">
      <cdr:nvSpPr>
        <cdr:cNvPr id="14" name="TextBox 13"/>
        <cdr:cNvSpPr txBox="1"/>
      </cdr:nvSpPr>
      <cdr:spPr>
        <a:xfrm xmlns:a="http://schemas.openxmlformats.org/drawingml/2006/main">
          <a:off x="3051174" y="1305983"/>
          <a:ext cx="359833" cy="2328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EF</a:t>
          </a:r>
        </a:p>
      </cdr:txBody>
    </cdr:sp>
  </cdr:relSizeAnchor>
  <cdr:relSizeAnchor xmlns:cdr="http://schemas.openxmlformats.org/drawingml/2006/chartDrawing">
    <cdr:from>
      <cdr:x>0.44361</cdr:x>
      <cdr:y>0.51172</cdr:y>
    </cdr:from>
    <cdr:to>
      <cdr:x>0.49809</cdr:x>
      <cdr:y>0.59486</cdr:y>
    </cdr:to>
    <cdr:sp macro="" textlink="">
      <cdr:nvSpPr>
        <cdr:cNvPr id="15" name="TextBox 14"/>
        <cdr:cNvSpPr txBox="1"/>
      </cdr:nvSpPr>
      <cdr:spPr>
        <a:xfrm xmlns:a="http://schemas.openxmlformats.org/drawingml/2006/main">
          <a:off x="3188758" y="1432983"/>
          <a:ext cx="391584" cy="2328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FG</a:t>
          </a:r>
        </a:p>
      </cdr:txBody>
    </cdr:sp>
  </cdr:relSizeAnchor>
  <cdr:relSizeAnchor xmlns:cdr="http://schemas.openxmlformats.org/drawingml/2006/chartDrawing">
    <cdr:from>
      <cdr:x>0.47158</cdr:x>
      <cdr:y>0.54573</cdr:y>
    </cdr:from>
    <cdr:to>
      <cdr:x>0.49956</cdr:x>
      <cdr:y>0.6062</cdr:y>
    </cdr:to>
    <cdr:sp macro="" textlink="">
      <cdr:nvSpPr>
        <cdr:cNvPr id="16" name="TextBox 15"/>
        <cdr:cNvSpPr txBox="1"/>
      </cdr:nvSpPr>
      <cdr:spPr>
        <a:xfrm xmlns:a="http://schemas.openxmlformats.org/drawingml/2006/main">
          <a:off x="3389842" y="1528234"/>
          <a:ext cx="201083" cy="1693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F</a:t>
          </a:r>
        </a:p>
      </cdr:txBody>
    </cdr:sp>
  </cdr:relSizeAnchor>
  <cdr:relSizeAnchor xmlns:cdr="http://schemas.openxmlformats.org/drawingml/2006/chartDrawing">
    <cdr:from>
      <cdr:x>0.49072</cdr:x>
      <cdr:y>0.52683</cdr:y>
    </cdr:from>
    <cdr:to>
      <cdr:x>0.52017</cdr:x>
      <cdr:y>0.59864</cdr:y>
    </cdr:to>
    <cdr:sp macro="" textlink="">
      <cdr:nvSpPr>
        <cdr:cNvPr id="17" name="TextBox 16"/>
        <cdr:cNvSpPr txBox="1"/>
      </cdr:nvSpPr>
      <cdr:spPr>
        <a:xfrm xmlns:a="http://schemas.openxmlformats.org/drawingml/2006/main">
          <a:off x="3527425" y="1475317"/>
          <a:ext cx="211668" cy="2010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F</a:t>
          </a:r>
        </a:p>
      </cdr:txBody>
    </cdr:sp>
  </cdr:relSizeAnchor>
  <cdr:relSizeAnchor xmlns:cdr="http://schemas.openxmlformats.org/drawingml/2006/chartDrawing">
    <cdr:from>
      <cdr:x>0.53637</cdr:x>
      <cdr:y>0.60242</cdr:y>
    </cdr:from>
    <cdr:to>
      <cdr:x>0.57906</cdr:x>
      <cdr:y>0.678</cdr:y>
    </cdr:to>
    <cdr:sp macro="" textlink="">
      <cdr:nvSpPr>
        <cdr:cNvPr id="18" name="TextBox 17"/>
        <cdr:cNvSpPr txBox="1"/>
      </cdr:nvSpPr>
      <cdr:spPr>
        <a:xfrm xmlns:a="http://schemas.openxmlformats.org/drawingml/2006/main">
          <a:off x="3855508" y="1686982"/>
          <a:ext cx="306917" cy="2116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HI</a:t>
          </a:r>
        </a:p>
      </cdr:txBody>
    </cdr:sp>
  </cdr:relSizeAnchor>
  <cdr:relSizeAnchor xmlns:cdr="http://schemas.openxmlformats.org/drawingml/2006/chartDrawing">
    <cdr:from>
      <cdr:x>0.55698</cdr:x>
      <cdr:y>0.60242</cdr:y>
    </cdr:from>
    <cdr:to>
      <cdr:x>0.60851</cdr:x>
      <cdr:y>0.678</cdr:y>
    </cdr:to>
    <cdr:sp macro="" textlink="">
      <cdr:nvSpPr>
        <cdr:cNvPr id="19" name="TextBox 18"/>
        <cdr:cNvSpPr txBox="1"/>
      </cdr:nvSpPr>
      <cdr:spPr>
        <a:xfrm xmlns:a="http://schemas.openxmlformats.org/drawingml/2006/main">
          <a:off x="4003675" y="1686983"/>
          <a:ext cx="370417" cy="2116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HIJ</a:t>
          </a:r>
        </a:p>
      </cdr:txBody>
    </cdr:sp>
  </cdr:relSizeAnchor>
  <cdr:relSizeAnchor xmlns:cdr="http://schemas.openxmlformats.org/drawingml/2006/chartDrawing">
    <cdr:from>
      <cdr:x>0.57612</cdr:x>
      <cdr:y>0.56841</cdr:y>
    </cdr:from>
    <cdr:to>
      <cdr:x>0.63059</cdr:x>
      <cdr:y>0.63643</cdr:y>
    </cdr:to>
    <cdr:sp macro="" textlink="">
      <cdr:nvSpPr>
        <cdr:cNvPr id="20" name="TextBox 19"/>
        <cdr:cNvSpPr txBox="1"/>
      </cdr:nvSpPr>
      <cdr:spPr>
        <a:xfrm xmlns:a="http://schemas.openxmlformats.org/drawingml/2006/main">
          <a:off x="4141258" y="1591734"/>
          <a:ext cx="391584"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GH</a:t>
          </a:r>
        </a:p>
      </cdr:txBody>
    </cdr:sp>
  </cdr:relSizeAnchor>
  <cdr:relSizeAnchor xmlns:cdr="http://schemas.openxmlformats.org/drawingml/2006/chartDrawing">
    <cdr:from>
      <cdr:x>0.59673</cdr:x>
      <cdr:y>0.60998</cdr:y>
    </cdr:from>
    <cdr:to>
      <cdr:x>0.65415</cdr:x>
      <cdr:y>0.68934</cdr:y>
    </cdr:to>
    <cdr:sp macro="" textlink="">
      <cdr:nvSpPr>
        <cdr:cNvPr id="21" name="TextBox 20"/>
        <cdr:cNvSpPr txBox="1"/>
      </cdr:nvSpPr>
      <cdr:spPr>
        <a:xfrm xmlns:a="http://schemas.openxmlformats.org/drawingml/2006/main">
          <a:off x="4289425" y="1708150"/>
          <a:ext cx="412749"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HIJ</a:t>
          </a:r>
        </a:p>
      </cdr:txBody>
    </cdr:sp>
  </cdr:relSizeAnchor>
  <cdr:relSizeAnchor xmlns:cdr="http://schemas.openxmlformats.org/drawingml/2006/chartDrawing">
    <cdr:from>
      <cdr:x>0.64385</cdr:x>
      <cdr:y>0.65533</cdr:y>
    </cdr:from>
    <cdr:to>
      <cdr:x>0.69685</cdr:x>
      <cdr:y>0.73469</cdr:y>
    </cdr:to>
    <cdr:sp macro="" textlink="">
      <cdr:nvSpPr>
        <cdr:cNvPr id="22" name="TextBox 21"/>
        <cdr:cNvSpPr txBox="1"/>
      </cdr:nvSpPr>
      <cdr:spPr>
        <a:xfrm xmlns:a="http://schemas.openxmlformats.org/drawingml/2006/main">
          <a:off x="4628092" y="1835150"/>
          <a:ext cx="381000"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HIJ</a:t>
          </a:r>
        </a:p>
      </cdr:txBody>
    </cdr:sp>
  </cdr:relSizeAnchor>
  <cdr:relSizeAnchor xmlns:cdr="http://schemas.openxmlformats.org/drawingml/2006/chartDrawing">
    <cdr:from>
      <cdr:x>0.66887</cdr:x>
      <cdr:y>0.65155</cdr:y>
    </cdr:from>
    <cdr:to>
      <cdr:x>0.72482</cdr:x>
      <cdr:y>0.74225</cdr:y>
    </cdr:to>
    <cdr:sp macro="" textlink="">
      <cdr:nvSpPr>
        <cdr:cNvPr id="23" name="TextBox 22"/>
        <cdr:cNvSpPr txBox="1"/>
      </cdr:nvSpPr>
      <cdr:spPr>
        <a:xfrm xmlns:a="http://schemas.openxmlformats.org/drawingml/2006/main">
          <a:off x="4808007" y="1824567"/>
          <a:ext cx="402167" cy="2540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HIJ</a:t>
          </a:r>
        </a:p>
      </cdr:txBody>
    </cdr:sp>
  </cdr:relSizeAnchor>
  <cdr:relSizeAnchor xmlns:cdr="http://schemas.openxmlformats.org/drawingml/2006/chartDrawing">
    <cdr:from>
      <cdr:x>0.6939</cdr:x>
      <cdr:y>0.64399</cdr:y>
    </cdr:from>
    <cdr:to>
      <cdr:x>0.73366</cdr:x>
      <cdr:y>0.72336</cdr:y>
    </cdr:to>
    <cdr:sp macro="" textlink="">
      <cdr:nvSpPr>
        <cdr:cNvPr id="24" name="TextBox 23"/>
        <cdr:cNvSpPr txBox="1"/>
      </cdr:nvSpPr>
      <cdr:spPr>
        <a:xfrm xmlns:a="http://schemas.openxmlformats.org/drawingml/2006/main">
          <a:off x="4987925" y="1803400"/>
          <a:ext cx="285750"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IJ</a:t>
          </a:r>
        </a:p>
      </cdr:txBody>
    </cdr:sp>
  </cdr:relSizeAnchor>
  <cdr:relSizeAnchor xmlns:cdr="http://schemas.openxmlformats.org/drawingml/2006/chartDrawing">
    <cdr:from>
      <cdr:x>0.70863</cdr:x>
      <cdr:y>0.62887</cdr:y>
    </cdr:from>
    <cdr:to>
      <cdr:x>0.76163</cdr:x>
      <cdr:y>0.71202</cdr:y>
    </cdr:to>
    <cdr:sp macro="" textlink="">
      <cdr:nvSpPr>
        <cdr:cNvPr id="25" name="TextBox 24"/>
        <cdr:cNvSpPr txBox="1"/>
      </cdr:nvSpPr>
      <cdr:spPr>
        <a:xfrm xmlns:a="http://schemas.openxmlformats.org/drawingml/2006/main">
          <a:off x="5093758" y="1761067"/>
          <a:ext cx="381000" cy="2328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HIJ</a:t>
          </a:r>
        </a:p>
      </cdr:txBody>
    </cdr:sp>
  </cdr:relSizeAnchor>
  <cdr:relSizeAnchor xmlns:cdr="http://schemas.openxmlformats.org/drawingml/2006/chartDrawing">
    <cdr:from>
      <cdr:x>0.76605</cdr:x>
      <cdr:y>0.67423</cdr:y>
    </cdr:from>
    <cdr:to>
      <cdr:x>0.78813</cdr:x>
      <cdr:y>0.75359</cdr:y>
    </cdr:to>
    <cdr:sp macro="" textlink="">
      <cdr:nvSpPr>
        <cdr:cNvPr id="26" name="TextBox 25"/>
        <cdr:cNvSpPr txBox="1"/>
      </cdr:nvSpPr>
      <cdr:spPr>
        <a:xfrm xmlns:a="http://schemas.openxmlformats.org/drawingml/2006/main">
          <a:off x="5506508" y="1888068"/>
          <a:ext cx="158750"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J</a:t>
          </a:r>
        </a:p>
      </cdr:txBody>
    </cdr:sp>
  </cdr:relSizeAnchor>
  <cdr:relSizeAnchor xmlns:cdr="http://schemas.openxmlformats.org/drawingml/2006/chartDrawing">
    <cdr:from>
      <cdr:x>0.78077</cdr:x>
      <cdr:y>0.66667</cdr:y>
    </cdr:from>
    <cdr:to>
      <cdr:x>0.82052</cdr:x>
      <cdr:y>0.74603</cdr:y>
    </cdr:to>
    <cdr:sp macro="" textlink="">
      <cdr:nvSpPr>
        <cdr:cNvPr id="27" name="TextBox 26"/>
        <cdr:cNvSpPr txBox="1"/>
      </cdr:nvSpPr>
      <cdr:spPr>
        <a:xfrm xmlns:a="http://schemas.openxmlformats.org/drawingml/2006/main">
          <a:off x="5612341" y="1866901"/>
          <a:ext cx="285751"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IJ</a:t>
          </a:r>
        </a:p>
      </cdr:txBody>
    </cdr:sp>
  </cdr:relSizeAnchor>
  <cdr:relSizeAnchor xmlns:cdr="http://schemas.openxmlformats.org/drawingml/2006/chartDrawing">
    <cdr:from>
      <cdr:x>0.81316</cdr:x>
      <cdr:y>0.59486</cdr:y>
    </cdr:from>
    <cdr:to>
      <cdr:x>0.94037</cdr:x>
      <cdr:y>0.92139</cdr:y>
    </cdr:to>
    <cdr:sp macro="" textlink="">
      <cdr:nvSpPr>
        <cdr:cNvPr id="28" name="TextBox 27"/>
        <cdr:cNvSpPr txBox="1"/>
      </cdr:nvSpPr>
      <cdr:spPr>
        <a:xfrm xmlns:a="http://schemas.openxmlformats.org/drawingml/2006/main">
          <a:off x="5845175" y="1665817"/>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0.80433</cdr:x>
      <cdr:y>0.57218</cdr:y>
    </cdr:from>
    <cdr:to>
      <cdr:x>0.84261</cdr:x>
      <cdr:y>0.65155</cdr:y>
    </cdr:to>
    <cdr:sp macro="" textlink="">
      <cdr:nvSpPr>
        <cdr:cNvPr id="29" name="TextBox 28"/>
        <cdr:cNvSpPr txBox="1"/>
      </cdr:nvSpPr>
      <cdr:spPr>
        <a:xfrm xmlns:a="http://schemas.openxmlformats.org/drawingml/2006/main">
          <a:off x="5781675" y="1602317"/>
          <a:ext cx="275166"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IJ</a:t>
          </a:r>
        </a:p>
      </cdr:txBody>
    </cdr:sp>
  </cdr:relSizeAnchor>
  <cdr:relSizeAnchor xmlns:cdr="http://schemas.openxmlformats.org/drawingml/2006/chartDrawing">
    <cdr:from>
      <cdr:x>0.81905</cdr:x>
      <cdr:y>0.62131</cdr:y>
    </cdr:from>
    <cdr:to>
      <cdr:x>0.87353</cdr:x>
      <cdr:y>0.69312</cdr:y>
    </cdr:to>
    <cdr:sp macro="" textlink="">
      <cdr:nvSpPr>
        <cdr:cNvPr id="30" name="TextBox 29"/>
        <cdr:cNvSpPr txBox="1"/>
      </cdr:nvSpPr>
      <cdr:spPr>
        <a:xfrm xmlns:a="http://schemas.openxmlformats.org/drawingml/2006/main">
          <a:off x="5887508" y="1739899"/>
          <a:ext cx="391584" cy="2010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HIJ</a:t>
          </a:r>
        </a:p>
      </cdr:txBody>
    </cdr:sp>
  </cdr:relSizeAnchor>
  <cdr:relSizeAnchor xmlns:cdr="http://schemas.openxmlformats.org/drawingml/2006/chartDrawing">
    <cdr:from>
      <cdr:x>0.63354</cdr:x>
      <cdr:y>0.06198</cdr:y>
    </cdr:from>
    <cdr:to>
      <cdr:x>0.86617</cdr:x>
      <cdr:y>0.20181</cdr:y>
    </cdr:to>
    <cdr:sp macro="" textlink="">
      <cdr:nvSpPr>
        <cdr:cNvPr id="31" name="TextBox 30"/>
        <cdr:cNvSpPr txBox="1"/>
      </cdr:nvSpPr>
      <cdr:spPr>
        <a:xfrm xmlns:a="http://schemas.openxmlformats.org/drawingml/2006/main">
          <a:off x="4554008" y="173567"/>
          <a:ext cx="1672167" cy="391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a:latin typeface="Times New Roman" pitchFamily="18" charset="0"/>
              <a:cs typeface="Times New Roman" pitchFamily="18" charset="0"/>
            </a:rPr>
            <a:t>LSD (P&lt;0.05)</a:t>
          </a:r>
        </a:p>
      </cdr:txBody>
    </cdr:sp>
  </cdr:relSizeAnchor>
</c:userShapes>
</file>

<file path=word/drawings/drawing2.xml><?xml version="1.0" encoding="utf-8"?>
<c:userShapes xmlns:c="http://schemas.openxmlformats.org/drawingml/2006/chart">
  <cdr:relSizeAnchor xmlns:cdr="http://schemas.openxmlformats.org/drawingml/2006/chartDrawing">
    <cdr:from>
      <cdr:x>0.12169</cdr:x>
      <cdr:y>0.29464</cdr:y>
    </cdr:from>
    <cdr:to>
      <cdr:x>0.16381</cdr:x>
      <cdr:y>0.35045</cdr:y>
    </cdr:to>
    <cdr:sp macro="" textlink="">
      <cdr:nvSpPr>
        <cdr:cNvPr id="3" name="TextBox 2"/>
        <cdr:cNvSpPr txBox="1"/>
      </cdr:nvSpPr>
      <cdr:spPr>
        <a:xfrm xmlns:a="http://schemas.openxmlformats.org/drawingml/2006/main">
          <a:off x="742951" y="1257300"/>
          <a:ext cx="25717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80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46</TotalTime>
  <Pages>94</Pages>
  <Words>19904</Words>
  <Characters>113453</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Gray</dc:creator>
  <cp:lastModifiedBy>Gray</cp:lastModifiedBy>
  <cp:revision>4</cp:revision>
  <dcterms:created xsi:type="dcterms:W3CDTF">2011-10-19T22:53:00Z</dcterms:created>
  <dcterms:modified xsi:type="dcterms:W3CDTF">2011-10-20T00:07:00Z</dcterms:modified>
</cp:coreProperties>
</file>